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5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bookmarkStart w:id="0" w:name="_GoBack"/>
      <w:bookmarkEnd w:id="0"/>
      <w:r>
        <w:rPr>
          <w:sz w:val="32"/>
        </w:rPr>
        <mc:AlternateContent>
          <mc:Choice Requires="wps">
            <w:drawing>
              <wp:anchor distT="0" distB="0" distL="114300" distR="114300" simplePos="0" relativeHeight="251659264" behindDoc="0" locked="0" layoutInCell="1" allowOverlap="1">
                <wp:simplePos x="0" y="0"/>
                <wp:positionH relativeFrom="column">
                  <wp:posOffset>-492125</wp:posOffset>
                </wp:positionH>
                <wp:positionV relativeFrom="paragraph">
                  <wp:posOffset>-25400</wp:posOffset>
                </wp:positionV>
                <wp:extent cx="609600" cy="103886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09600" cy="1029335"/>
                        </a:xfrm>
                        <a:prstGeom prst="rect">
                          <a:avLst/>
                        </a:prstGeom>
                        <a:noFill/>
                        <a:ln>
                          <a:noFill/>
                        </a:ln>
                        <a:effectLst/>
                      </wps:spPr>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6 —</w:t>
                            </w:r>
                          </w:p>
                        </w:txbxContent>
                      </wps:txbx>
                      <wps:bodyPr vert="vert" upright="1"/>
                    </wps:wsp>
                  </a:graphicData>
                </a:graphic>
              </wp:anchor>
            </w:drawing>
          </mc:Choice>
          <mc:Fallback>
            <w:pict>
              <v:shape id="_x0000_s1026" o:spid="_x0000_s1026" o:spt="202" type="#_x0000_t202" style="position:absolute;left:0pt;margin-left:-38.75pt;margin-top:-2pt;height:81.8pt;width:48pt;z-index:251659264;mso-width-relative:page;mso-height-relative:page;" filled="f" stroked="f" coordsize="21600,21600" o:gfxdata="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m58iW1QAAAAkBAAAPAAAAAAAAAAEAIAAAACIAAABkcnMvZG93bnJldi54bWxQSwECFAAUAAAA&#10;CACHTuJA7pa/2rgBAABoAwAADgAAAAAAAAABACAAAAAkAQAAZHJzL2Uyb0RvYy54bWxQSwUGAAAA&#10;AAYABgBZAQAATgUAAAAA&#10;">
                <v:path/>
                <v:fill on="f" focussize="0,0"/>
                <v:stroke on="f"/>
                <v:imagedata o:title=""/>
                <o:lock v:ext="edit" aspectratio="f"/>
                <v:textbox style="layout-flow:vertical;">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6 —</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0" w:after="0"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2021年度沁水县政务公开工作任务分解表</w:t>
      </w:r>
    </w:p>
    <w:p>
      <w:pPr>
        <w:keepNext w:val="0"/>
        <w:keepLines w:val="0"/>
        <w:pageBreakBefore w:val="0"/>
        <w:widowControl w:val="0"/>
        <w:kinsoku/>
        <w:wordWrap/>
        <w:overflowPunct/>
        <w:topLinePunct w:val="0"/>
        <w:autoSpaceDE/>
        <w:autoSpaceDN/>
        <w:bidi w:val="0"/>
        <w:adjustRightInd/>
        <w:snapToGrid/>
        <w:spacing w:before="0" w:after="0" w:line="200" w:lineRule="exact"/>
        <w:jc w:val="center"/>
        <w:textAlignment w:val="auto"/>
        <w:rPr>
          <w:rFonts w:hint="eastAsia" w:ascii="方正小标宋简体" w:hAnsi="方正小标宋简体" w:eastAsia="方正小标宋简体" w:cs="方正小标宋简体"/>
          <w:sz w:val="44"/>
          <w:szCs w:val="44"/>
          <w:lang w:val="en-US" w:eastAsia="zh-CN"/>
        </w:rPr>
      </w:pPr>
    </w:p>
    <w:tbl>
      <w:tblPr>
        <w:tblStyle w:val="4"/>
        <w:tblW w:w="497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7"/>
        <w:gridCol w:w="1327"/>
        <w:gridCol w:w="1890"/>
        <w:gridCol w:w="7586"/>
        <w:gridCol w:w="1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blHeader/>
          <w:jc w:val="center"/>
        </w:trPr>
        <w:tc>
          <w:tcPr>
            <w:tcW w:w="160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spacing w:val="0"/>
                <w:w w:val="100"/>
                <w:kern w:val="0"/>
                <w:position w:val="0"/>
                <w:sz w:val="20"/>
                <w:szCs w:val="20"/>
                <w:u w:val="none"/>
                <w:shd w:val="clear" w:color="auto" w:fill="auto"/>
                <w:lang w:val="en-US" w:eastAsia="zh-CN" w:bidi="ar"/>
              </w:rPr>
              <w:t>工作任务</w:t>
            </w:r>
          </w:p>
        </w:tc>
        <w:tc>
          <w:tcPr>
            <w:tcW w:w="271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spacing w:val="0"/>
                <w:w w:val="100"/>
                <w:kern w:val="0"/>
                <w:position w:val="0"/>
                <w:sz w:val="20"/>
                <w:szCs w:val="20"/>
                <w:u w:val="none"/>
                <w:shd w:val="clear" w:color="auto" w:fill="auto"/>
                <w:lang w:val="en-US" w:eastAsia="zh-CN" w:bidi="ar"/>
              </w:rPr>
              <w:t>具体内容</w:t>
            </w:r>
          </w:p>
        </w:tc>
        <w:tc>
          <w:tcPr>
            <w:tcW w:w="68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spacing w:val="0"/>
                <w:w w:val="100"/>
                <w:kern w:val="0"/>
                <w:position w:val="0"/>
                <w:sz w:val="20"/>
                <w:szCs w:val="20"/>
                <w:u w:val="none"/>
                <w:shd w:val="clear" w:color="auto" w:fill="auto"/>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jc w:val="center"/>
        </w:trPr>
        <w:tc>
          <w:tcPr>
            <w:tcW w:w="456"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组织领导和</w:t>
            </w:r>
          </w:p>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工作保障</w:t>
            </w:r>
          </w:p>
        </w:tc>
        <w:tc>
          <w:tcPr>
            <w:tcW w:w="473" w:type="pct"/>
            <w:vMerge w:val="restar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加强组织领导</w:t>
            </w:r>
          </w:p>
        </w:tc>
        <w:tc>
          <w:tcPr>
            <w:tcW w:w="67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政务公开领导小组研究部署相关工作情况</w:t>
            </w:r>
          </w:p>
        </w:tc>
        <w:tc>
          <w:tcPr>
            <w:tcW w:w="271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对政务公开工作，特别是对行政执法公开、政务服务公开、市场监管公开、征地信息公开、财政信息公开等方面进行会议研究部署</w:t>
            </w:r>
          </w:p>
        </w:tc>
        <w:tc>
          <w:tcPr>
            <w:tcW w:w="684"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政务公开领导小组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45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473" w:type="pct"/>
            <w:vMerge w:val="continue"/>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674"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及时出台或更新</w:t>
            </w:r>
          </w:p>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有关政策文件情况</w:t>
            </w:r>
          </w:p>
        </w:tc>
        <w:tc>
          <w:tcPr>
            <w:tcW w:w="271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制定2021政务公开考核方案及细则</w:t>
            </w:r>
          </w:p>
        </w:tc>
        <w:tc>
          <w:tcPr>
            <w:tcW w:w="684"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政府办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45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473" w:type="pct"/>
            <w:vMerge w:val="continue"/>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674"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271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制定“双公示”工作的落实方案或任务分工等并在政府网站向社会公开</w:t>
            </w:r>
          </w:p>
        </w:tc>
        <w:tc>
          <w:tcPr>
            <w:tcW w:w="684"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jc w:val="center"/>
        </w:trPr>
        <w:tc>
          <w:tcPr>
            <w:tcW w:w="45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473"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强化工作保障</w:t>
            </w:r>
          </w:p>
        </w:tc>
        <w:tc>
          <w:tcPr>
            <w:tcW w:w="67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机构、人员、经费</w:t>
            </w:r>
          </w:p>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保障情况</w:t>
            </w:r>
          </w:p>
        </w:tc>
        <w:tc>
          <w:tcPr>
            <w:tcW w:w="271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对拟发公文公开属性认定、依申请公开的答复办理、政府网站及政务新媒体建设、政策解读咨询回应、公开专栏建设、“双公示”工作等方面依规落实机构、人员、经费等方面保障</w:t>
            </w:r>
          </w:p>
        </w:tc>
        <w:tc>
          <w:tcPr>
            <w:tcW w:w="684"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政府办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56"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基层政务公开标准化规范化</w:t>
            </w:r>
          </w:p>
        </w:tc>
        <w:tc>
          <w:tcPr>
            <w:tcW w:w="473" w:type="pct"/>
            <w:vMerge w:val="restar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目录执行</w:t>
            </w:r>
          </w:p>
        </w:tc>
        <w:tc>
          <w:tcPr>
            <w:tcW w:w="674"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已公布标准目录</w:t>
            </w:r>
          </w:p>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执行情况</w:t>
            </w:r>
          </w:p>
        </w:tc>
        <w:tc>
          <w:tcPr>
            <w:tcW w:w="2710"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按已公布标准执行</w:t>
            </w:r>
          </w:p>
        </w:tc>
        <w:tc>
          <w:tcPr>
            <w:tcW w:w="684"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各有关单位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45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473" w:type="pct"/>
            <w:vMerge w:val="continue"/>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674"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271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每季度对行政区内26个试点领域标准目录的执行情况进行全覆盖检查和通报</w:t>
            </w:r>
          </w:p>
        </w:tc>
        <w:tc>
          <w:tcPr>
            <w:tcW w:w="684" w:type="pct"/>
            <w:vMerge w:val="restar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融媒体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5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473" w:type="pct"/>
            <w:vMerge w:val="continue"/>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674"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2710"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在政府网站增设按要素查找功能</w:t>
            </w:r>
          </w:p>
        </w:tc>
        <w:tc>
          <w:tcPr>
            <w:tcW w:w="684" w:type="pct"/>
            <w:vMerge w:val="continue"/>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1" w:hRule="atLeast"/>
          <w:jc w:val="center"/>
        </w:trPr>
        <w:tc>
          <w:tcPr>
            <w:tcW w:w="456" w:type="pct"/>
            <w:vMerge w:val="restar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主动公开</w:t>
            </w:r>
          </w:p>
        </w:tc>
        <w:tc>
          <w:tcPr>
            <w:tcW w:w="473" w:type="pct"/>
            <w:vMerge w:val="restar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法定主动</w:t>
            </w:r>
          </w:p>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公开内容</w:t>
            </w:r>
          </w:p>
        </w:tc>
        <w:tc>
          <w:tcPr>
            <w:tcW w:w="67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公开主体、流程、</w:t>
            </w:r>
          </w:p>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标准等执行情况</w:t>
            </w:r>
          </w:p>
        </w:tc>
        <w:tc>
          <w:tcPr>
            <w:tcW w:w="271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依据相关法律法规和国家规范性文件公开属于法定主动公开的内容，特别是疫情防控、教育、医疗、社会保障、乡村振兴、促进就业等方面，以及社会公众关注度高的限行、调价、准入、许可、基建、拆迁等重大行政决策、重大建设项目批准和实施等方面内容</w:t>
            </w:r>
          </w:p>
        </w:tc>
        <w:tc>
          <w:tcPr>
            <w:tcW w:w="684"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各有关单位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56" w:type="pct"/>
            <w:vMerge w:val="continue"/>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473" w:type="pct"/>
            <w:vMerge w:val="continue"/>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674"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转型政策专栏</w:t>
            </w:r>
          </w:p>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建设情况</w:t>
            </w:r>
          </w:p>
        </w:tc>
        <w:tc>
          <w:tcPr>
            <w:tcW w:w="271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设置并完善转型政策专栏</w:t>
            </w:r>
          </w:p>
        </w:tc>
        <w:tc>
          <w:tcPr>
            <w:tcW w:w="684"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融媒体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jc w:val="center"/>
        </w:trPr>
        <w:tc>
          <w:tcPr>
            <w:tcW w:w="456" w:type="pct"/>
            <w:vMerge w:val="continue"/>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473" w:type="pct"/>
            <w:vMerge w:val="continue"/>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674"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271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依据相关法律法规和国家规范性文件公开产业转型、项目转型、绿色转型、外贸转型、数字化转型、体制机制转型等方面的政策文件、政策解读、具体举措、典型问题、落实情况等</w:t>
            </w:r>
          </w:p>
        </w:tc>
        <w:tc>
          <w:tcPr>
            <w:tcW w:w="684"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各有关单位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56" w:type="pct"/>
            <w:vMerge w:val="restart"/>
            <w:tcBorders>
              <w:top w:val="single" w:color="000000" w:sz="4" w:space="0"/>
              <w:left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主动公开</w:t>
            </w:r>
          </w:p>
        </w:tc>
        <w:tc>
          <w:tcPr>
            <w:tcW w:w="473" w:type="pct"/>
            <w:vMerge w:val="restart"/>
            <w:tcBorders>
              <w:top w:val="single" w:color="000000" w:sz="4" w:space="0"/>
              <w:left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法定主动</w:t>
            </w:r>
          </w:p>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公开内容</w:t>
            </w:r>
          </w:p>
        </w:tc>
        <w:tc>
          <w:tcPr>
            <w:tcW w:w="674"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规划（计划）专栏建设情况</w:t>
            </w:r>
          </w:p>
        </w:tc>
        <w:tc>
          <w:tcPr>
            <w:tcW w:w="271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4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设置并完善规划（计划）专栏</w:t>
            </w:r>
            <w:r>
              <w:rPr>
                <w:sz w:val="32"/>
              </w:rPr>
              <mc:AlternateContent>
                <mc:Choice Requires="wps">
                  <w:drawing>
                    <wp:anchor distT="0" distB="0" distL="114300" distR="114300" simplePos="0" relativeHeight="251662336" behindDoc="0" locked="0" layoutInCell="1" allowOverlap="1">
                      <wp:simplePos x="0" y="0"/>
                      <wp:positionH relativeFrom="column">
                        <wp:posOffset>-3366770</wp:posOffset>
                      </wp:positionH>
                      <wp:positionV relativeFrom="paragraph">
                        <wp:posOffset>4575175</wp:posOffset>
                      </wp:positionV>
                      <wp:extent cx="609600" cy="926465"/>
                      <wp:effectExtent l="0" t="0" r="0" b="0"/>
                      <wp:wrapNone/>
                      <wp:docPr id="7" name="文本框 7"/>
                      <wp:cNvGraphicFramePr/>
                      <a:graphic xmlns:a="http://schemas.openxmlformats.org/drawingml/2006/main">
                        <a:graphicData uri="http://schemas.microsoft.com/office/word/2010/wordprocessingShape">
                          <wps:wsp>
                            <wps:cNvSpPr txBox="1"/>
                            <wps:spPr>
                              <a:xfrm>
                                <a:off x="0" y="0"/>
                                <a:ext cx="609600" cy="926465"/>
                              </a:xfrm>
                              <a:prstGeom prst="rect">
                                <a:avLst/>
                              </a:prstGeom>
                              <a:noFill/>
                              <a:ln>
                                <a:noFill/>
                              </a:ln>
                              <a:effectLst/>
                            </wps:spPr>
                            <wps:txbx>
                              <w:txbxContent>
                                <w:p>
                                  <w:pPr>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7 —</w:t>
                                  </w:r>
                                </w:p>
                              </w:txbxContent>
                            </wps:txbx>
                            <wps:bodyPr vert="vert" upright="1"/>
                          </wps:wsp>
                        </a:graphicData>
                      </a:graphic>
                    </wp:anchor>
                  </w:drawing>
                </mc:Choice>
                <mc:Fallback>
                  <w:pict>
                    <v:shape id="_x0000_s1026" o:spid="_x0000_s1026" o:spt="202" type="#_x0000_t202" style="position:absolute;left:0pt;margin-left:-265.1pt;margin-top:360.25pt;height:72.95pt;width:48pt;z-index:251662336;mso-width-relative:page;mso-height-relative:page;" filled="f" stroked="f" coordsize="21600,21600" o:gfxdata="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oIE0d2QAAAA0BAAAPAAAAAAAAAAEAIAAAACIAAABkcnMvZG93bnJldi54bWxQSwECFAAU&#10;AAAACACHTuJAA/TYmrcBAABnAwAADgAAAAAAAAABACAAAAAoAQAAZHJzL2Uyb0RvYy54bWxQSwUG&#10;AAAAAAYABgBZAQAAUQUAAAAA&#10;">
                      <v:path/>
                      <v:fill on="f" focussize="0,0"/>
                      <v:stroke on="f"/>
                      <v:imagedata o:title=""/>
                      <o:lock v:ext="edit" aspectratio="f"/>
                      <v:textbox style="layout-flow:vertical;">
                        <w:txbxContent>
                          <w:p>
                            <w:pPr>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7 —</w:t>
                            </w:r>
                          </w:p>
                        </w:txbxContent>
                      </v:textbox>
                    </v:shape>
                  </w:pict>
                </mc:Fallback>
              </mc:AlternateContent>
            </w:r>
          </w:p>
        </w:tc>
        <w:tc>
          <w:tcPr>
            <w:tcW w:w="684"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融媒体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456" w:type="pct"/>
            <w:vMerge w:val="continue"/>
            <w:tcBorders>
              <w:left w:val="single" w:color="000000" w:sz="4" w:space="0"/>
              <w:right w:val="single" w:color="000000" w:sz="4" w:space="0"/>
            </w:tcBorders>
            <w:noWrap/>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473" w:type="pct"/>
            <w:vMerge w:val="continue"/>
            <w:tcBorders>
              <w:left w:val="single" w:color="000000" w:sz="4" w:space="0"/>
              <w:right w:val="single" w:color="000000" w:sz="4" w:space="0"/>
            </w:tcBorders>
            <w:noWrap/>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674"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271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依据相关法律法规和国家规范性文件公开：</w:t>
            </w: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1.县政府“十四五”规划纲要和专项规划、空间规划、区域规划及配套政策文件</w:t>
            </w: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2.县政府历史规划(计划)</w:t>
            </w:r>
          </w:p>
        </w:tc>
        <w:tc>
          <w:tcPr>
            <w:tcW w:w="684"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456" w:type="pct"/>
            <w:vMerge w:val="continue"/>
            <w:tcBorders>
              <w:left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p>
        </w:tc>
        <w:tc>
          <w:tcPr>
            <w:tcW w:w="473" w:type="pct"/>
            <w:vMerge w:val="continue"/>
            <w:tcBorders>
              <w:left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p>
        </w:tc>
        <w:tc>
          <w:tcPr>
            <w:tcW w:w="674"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财政信息专栏建设情况</w:t>
            </w:r>
          </w:p>
        </w:tc>
        <w:tc>
          <w:tcPr>
            <w:tcW w:w="271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设置并完善财政信息专栏</w:t>
            </w:r>
          </w:p>
        </w:tc>
        <w:tc>
          <w:tcPr>
            <w:tcW w:w="684"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融媒体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jc w:val="center"/>
        </w:trPr>
        <w:tc>
          <w:tcPr>
            <w:tcW w:w="456" w:type="pct"/>
            <w:vMerge w:val="continue"/>
            <w:tcBorders>
              <w:left w:val="single" w:color="000000" w:sz="4" w:space="0"/>
              <w:right w:val="single" w:color="000000" w:sz="4" w:space="0"/>
            </w:tcBorders>
            <w:noWrap/>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473" w:type="pct"/>
            <w:vMerge w:val="continue"/>
            <w:tcBorders>
              <w:left w:val="single" w:color="000000" w:sz="4" w:space="0"/>
              <w:right w:val="single" w:color="000000" w:sz="4" w:space="0"/>
            </w:tcBorders>
            <w:noWrap/>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674"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271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依据相关法律法规和国家规范性文件公开：</w:t>
            </w: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1.通过集中统一平合定期公开预决算、地方政府债务限额、余额、还本付息等信息</w:t>
            </w: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2.惠民惠农政策和资金发放信息，并推动补贴信息公开向村和社区延伸，与村(居)务公开有效衔接</w:t>
            </w:r>
          </w:p>
        </w:tc>
        <w:tc>
          <w:tcPr>
            <w:tcW w:w="684"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jc w:val="center"/>
        </w:trPr>
        <w:tc>
          <w:tcPr>
            <w:tcW w:w="456" w:type="pct"/>
            <w:vMerge w:val="continue"/>
            <w:tcBorders>
              <w:left w:val="single" w:color="000000" w:sz="4" w:space="0"/>
              <w:right w:val="single" w:color="000000" w:sz="4" w:space="0"/>
            </w:tcBorders>
            <w:noWrap/>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473" w:type="pct"/>
            <w:vMerge w:val="continue"/>
            <w:tcBorders>
              <w:left w:val="single" w:color="000000" w:sz="4" w:space="0"/>
              <w:right w:val="single" w:color="000000" w:sz="4" w:space="0"/>
            </w:tcBorders>
            <w:noWrap/>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67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与市场主体利益密切相关事项公开专栏建设情况</w:t>
            </w:r>
          </w:p>
        </w:tc>
        <w:tc>
          <w:tcPr>
            <w:tcW w:w="271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针对与各类市场主体利益密切相关的事项，设置并完善法治政府建设、“放管服效改革”、优化营商环境、行政执法公开、政务服务公开、市场监管公开专栏</w:t>
            </w:r>
          </w:p>
        </w:tc>
        <w:tc>
          <w:tcPr>
            <w:tcW w:w="684"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融媒体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jc w:val="center"/>
        </w:trPr>
        <w:tc>
          <w:tcPr>
            <w:tcW w:w="456" w:type="pct"/>
            <w:vMerge w:val="continue"/>
            <w:tcBorders>
              <w:left w:val="single" w:color="000000" w:sz="4" w:space="0"/>
              <w:right w:val="single" w:color="000000" w:sz="4" w:space="0"/>
            </w:tcBorders>
            <w:noWrap/>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473" w:type="pct"/>
            <w:vMerge w:val="continue"/>
            <w:tcBorders>
              <w:left w:val="single" w:color="000000" w:sz="4" w:space="0"/>
              <w:right w:val="single" w:color="000000" w:sz="4" w:space="0"/>
            </w:tcBorders>
            <w:noWrap/>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67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目录、清单类事项主动公开情况</w:t>
            </w:r>
          </w:p>
        </w:tc>
        <w:tc>
          <w:tcPr>
            <w:tcW w:w="271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公开政府部门权责清单，重大行政决策事项目录，证明事项告知承诺目录，行政审批中介服务事项清单，公共资源交易目录清单，政府性基金、涉企行政事业性收费、涉企保证金以及实行政府定价的经营服务性收费目录清单等</w:t>
            </w:r>
          </w:p>
        </w:tc>
        <w:tc>
          <w:tcPr>
            <w:tcW w:w="684"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456" w:type="pct"/>
            <w:vMerge w:val="continue"/>
            <w:tcBorders>
              <w:left w:val="single" w:color="000000" w:sz="4" w:space="0"/>
              <w:right w:val="single" w:color="000000" w:sz="4" w:space="0"/>
            </w:tcBorders>
            <w:noWrap/>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473" w:type="pct"/>
            <w:vMerge w:val="continue"/>
            <w:tcBorders>
              <w:left w:val="single" w:color="000000" w:sz="4" w:space="0"/>
              <w:right w:val="single" w:color="000000" w:sz="4" w:space="0"/>
            </w:tcBorders>
            <w:noWrap/>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67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指南、年报、网站年度报表公开质量</w:t>
            </w:r>
          </w:p>
        </w:tc>
        <w:tc>
          <w:tcPr>
            <w:tcW w:w="271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定期发布符合国家规定的指南、年报、网站年度报表内容</w:t>
            </w:r>
          </w:p>
        </w:tc>
        <w:tc>
          <w:tcPr>
            <w:tcW w:w="684"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各有关单位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456" w:type="pct"/>
            <w:vMerge w:val="continue"/>
            <w:tcBorders>
              <w:left w:val="single" w:color="000000" w:sz="4" w:space="0"/>
              <w:right w:val="single" w:color="000000" w:sz="4" w:space="0"/>
            </w:tcBorders>
            <w:noWrap/>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473" w:type="pct"/>
            <w:vMerge w:val="continue"/>
            <w:tcBorders>
              <w:left w:val="single" w:color="000000" w:sz="4" w:space="0"/>
              <w:right w:val="single" w:color="000000" w:sz="4" w:space="0"/>
            </w:tcBorders>
            <w:noWrap/>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67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公开专区建设情况</w:t>
            </w:r>
          </w:p>
        </w:tc>
        <w:tc>
          <w:tcPr>
            <w:tcW w:w="271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将“政务公开专区”打造成集政府信息査询、信息公开申请、政策解读、政民互动、政策咨询、事项办理等功能于一体的线上线下综合服务平台</w:t>
            </w:r>
          </w:p>
        </w:tc>
        <w:tc>
          <w:tcPr>
            <w:tcW w:w="684"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融媒体、行政审批局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456" w:type="pct"/>
            <w:vMerge w:val="continue"/>
            <w:tcBorders>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473" w:type="pct"/>
            <w:vMerge w:val="continue"/>
            <w:tcBorders>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67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“双公示”数据报送合规性情况</w:t>
            </w:r>
          </w:p>
        </w:tc>
        <w:tc>
          <w:tcPr>
            <w:tcW w:w="271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按照国家发展和改革委现行标准对报送的行政许可和行政处罚数据进行核查</w:t>
            </w:r>
          </w:p>
        </w:tc>
        <w:tc>
          <w:tcPr>
            <w:tcW w:w="684"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jc w:val="center"/>
        </w:trPr>
        <w:tc>
          <w:tcPr>
            <w:tcW w:w="456" w:type="pct"/>
            <w:vMerge w:val="restar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主动公开</w:t>
            </w:r>
          </w:p>
        </w:tc>
        <w:tc>
          <w:tcPr>
            <w:tcW w:w="473" w:type="pct"/>
            <w:vMerge w:val="restar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法定主动</w:t>
            </w:r>
          </w:p>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公开内容</w:t>
            </w:r>
          </w:p>
        </w:tc>
        <w:tc>
          <w:tcPr>
            <w:tcW w:w="67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“双公示”数据报送及时性情况</w:t>
            </w:r>
          </w:p>
        </w:tc>
        <w:tc>
          <w:tcPr>
            <w:tcW w:w="271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36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按</w:t>
            </w:r>
            <w:r>
              <w:rPr>
                <w:sz w:val="32"/>
              </w:rPr>
              <mc:AlternateContent>
                <mc:Choice Requires="wps">
                  <w:drawing>
                    <wp:anchor distT="0" distB="0" distL="114300" distR="114300" simplePos="0" relativeHeight="251660288" behindDoc="0" locked="0" layoutInCell="1" allowOverlap="1">
                      <wp:simplePos x="0" y="0"/>
                      <wp:positionH relativeFrom="column">
                        <wp:posOffset>-3343910</wp:posOffset>
                      </wp:positionH>
                      <wp:positionV relativeFrom="paragraph">
                        <wp:posOffset>-336550</wp:posOffset>
                      </wp:positionV>
                      <wp:extent cx="609600" cy="10388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9600" cy="1029335"/>
                              </a:xfrm>
                              <a:prstGeom prst="rect">
                                <a:avLst/>
                              </a:prstGeom>
                              <a:noFill/>
                              <a:ln>
                                <a:noFill/>
                              </a:ln>
                              <a:effectLst/>
                            </wps:spPr>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8 —</w:t>
                                  </w:r>
                                </w:p>
                              </w:txbxContent>
                            </wps:txbx>
                            <wps:bodyPr vert="vert" upright="1"/>
                          </wps:wsp>
                        </a:graphicData>
                      </a:graphic>
                    </wp:anchor>
                  </w:drawing>
                </mc:Choice>
                <mc:Fallback>
                  <w:pict>
                    <v:shape id="_x0000_s1026" o:spid="_x0000_s1026" o:spt="202" type="#_x0000_t202" style="position:absolute;left:0pt;margin-left:-263.3pt;margin-top:-26.5pt;height:81.8pt;width:48pt;z-index:251660288;mso-width-relative:page;mso-height-relative:page;" filled="f" stroked="f" coordsize="21600,21600" o:gfxdata="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revPhNcAAAANAQAADwAAAAAAAAABACAAAAAiAAAAZHJzL2Rvd25yZXYueG1sUEsBAhQAFAAA&#10;AAgAh07iQIY76da3AQAAaAMAAA4AAAAAAAAAAQAgAAAAJgEAAGRycy9lMm9Eb2MueG1sUEsFBgAA&#10;AAAGAAYAWQEAAE8FAAAAAA==&#10;">
                      <v:path/>
                      <v:fill on="f" focussize="0,0"/>
                      <v:stroke on="f"/>
                      <v:imagedata o:title=""/>
                      <o:lock v:ext="edit" aspectratio="f"/>
                      <v:textbox style="layout-flow:vertical;">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8 —</w:t>
                            </w:r>
                          </w:p>
                        </w:txbxContent>
                      </v:textbox>
                    </v:shape>
                  </w:pict>
                </mc:Fallback>
              </mc:AlternateContent>
            </w: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照国家发展和改革委现行标准对报送的行政许可和行政处罚数据进行核查</w:t>
            </w:r>
          </w:p>
        </w:tc>
        <w:tc>
          <w:tcPr>
            <w:tcW w:w="684"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456" w:type="pct"/>
            <w:vMerge w:val="continue"/>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473" w:type="pct"/>
            <w:vMerge w:val="continue"/>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67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“双公示”数据报送完整性情况</w:t>
            </w:r>
          </w:p>
        </w:tc>
        <w:tc>
          <w:tcPr>
            <w:tcW w:w="271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将被抽查单位提供的“双公示”信息台账记录与山西省信用信息共享平台中上报数据进行比对，合账中有而山西省信用信息共享平台中无的数据为瞒报数据</w:t>
            </w:r>
          </w:p>
        </w:tc>
        <w:tc>
          <w:tcPr>
            <w:tcW w:w="684"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456" w:type="pct"/>
            <w:vMerge w:val="continue"/>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473" w:type="pct"/>
            <w:vMerge w:val="continue"/>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67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征地信息录入情况</w:t>
            </w:r>
          </w:p>
        </w:tc>
        <w:tc>
          <w:tcPr>
            <w:tcW w:w="271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按时限、标准将征地信息录入“山西省征地信息公开查询系统”</w:t>
            </w:r>
          </w:p>
        </w:tc>
        <w:tc>
          <w:tcPr>
            <w:tcW w:w="684"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456" w:type="pct"/>
            <w:vMerge w:val="continue"/>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473" w:type="pct"/>
            <w:vMerge w:val="restar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拟发公文</w:t>
            </w:r>
          </w:p>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属性认定</w:t>
            </w:r>
          </w:p>
        </w:tc>
        <w:tc>
          <w:tcPr>
            <w:tcW w:w="67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非主动公开的政府文件台账管理情况</w:t>
            </w:r>
          </w:p>
        </w:tc>
        <w:tc>
          <w:tcPr>
            <w:tcW w:w="271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对属性为依申请公开、不予公开的公文进行台账管理</w:t>
            </w:r>
          </w:p>
        </w:tc>
        <w:tc>
          <w:tcPr>
            <w:tcW w:w="684"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政府办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456" w:type="pct"/>
            <w:vMerge w:val="continue"/>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473" w:type="pct"/>
            <w:vMerge w:val="continue"/>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67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属性认定审核情况</w:t>
            </w:r>
          </w:p>
        </w:tc>
        <w:tc>
          <w:tcPr>
            <w:tcW w:w="271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上位政府文件为主动公开的，公开属性原则上不得拟定为依申请公开和不予公开</w:t>
            </w:r>
          </w:p>
        </w:tc>
        <w:tc>
          <w:tcPr>
            <w:tcW w:w="684"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各有关单位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456" w:type="pct"/>
            <w:vMerge w:val="continue"/>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473" w:type="pct"/>
            <w:vMerge w:val="continue"/>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67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函复类公文公开属性认定情况</w:t>
            </w:r>
          </w:p>
        </w:tc>
        <w:tc>
          <w:tcPr>
            <w:tcW w:w="271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主动公开内容具有普遍指导意义和作用，或涉及公众利益，有必要让公众知晓并接受公众监督的函复类公文</w:t>
            </w:r>
          </w:p>
        </w:tc>
        <w:tc>
          <w:tcPr>
            <w:tcW w:w="684"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各有关单位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jc w:val="center"/>
        </w:trPr>
        <w:tc>
          <w:tcPr>
            <w:tcW w:w="456" w:type="pct"/>
            <w:vMerge w:val="continue"/>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473" w:type="pct"/>
            <w:vMerge w:val="continue"/>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67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部门联合发文公文属性认定情况</w:t>
            </w:r>
          </w:p>
        </w:tc>
        <w:tc>
          <w:tcPr>
            <w:tcW w:w="271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部门联合发文的，牵头单位对发文进行公开属性认定</w:t>
            </w:r>
          </w:p>
        </w:tc>
        <w:tc>
          <w:tcPr>
            <w:tcW w:w="684"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各有关单位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456"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依申请</w:t>
            </w: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公开</w:t>
            </w:r>
          </w:p>
        </w:tc>
        <w:tc>
          <w:tcPr>
            <w:tcW w:w="473"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函询回复</w:t>
            </w:r>
          </w:p>
        </w:tc>
        <w:tc>
          <w:tcPr>
            <w:tcW w:w="67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对县政府办函询的回复情况</w:t>
            </w:r>
          </w:p>
        </w:tc>
        <w:tc>
          <w:tcPr>
            <w:tcW w:w="2710"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按要求回复县政府办函询</w:t>
            </w:r>
          </w:p>
        </w:tc>
        <w:tc>
          <w:tcPr>
            <w:tcW w:w="684"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各有关单位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45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473"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规范答复</w:t>
            </w:r>
          </w:p>
        </w:tc>
        <w:tc>
          <w:tcPr>
            <w:tcW w:w="67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对依申请公开的规范答复情况</w:t>
            </w:r>
          </w:p>
        </w:tc>
        <w:tc>
          <w:tcPr>
            <w:tcW w:w="2710"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规范对依申请公开的答复办理</w:t>
            </w:r>
          </w:p>
        </w:tc>
        <w:tc>
          <w:tcPr>
            <w:tcW w:w="684"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各有关单位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jc w:val="center"/>
        </w:trPr>
        <w:tc>
          <w:tcPr>
            <w:tcW w:w="45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473"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权利保障</w:t>
            </w:r>
          </w:p>
        </w:tc>
        <w:tc>
          <w:tcPr>
            <w:tcW w:w="67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对申请人投诉举报的处理情况</w:t>
            </w:r>
          </w:p>
        </w:tc>
        <w:tc>
          <w:tcPr>
            <w:tcW w:w="271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收到投诉举报查实的问题依规答复</w:t>
            </w:r>
          </w:p>
        </w:tc>
        <w:tc>
          <w:tcPr>
            <w:tcW w:w="684"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各有关单位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56"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解读咨询回应</w:t>
            </w:r>
          </w:p>
        </w:tc>
        <w:tc>
          <w:tcPr>
            <w:tcW w:w="473"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解读责任</w:t>
            </w:r>
          </w:p>
        </w:tc>
        <w:tc>
          <w:tcPr>
            <w:tcW w:w="67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应解读、尽解读情况</w:t>
            </w:r>
          </w:p>
        </w:tc>
        <w:tc>
          <w:tcPr>
            <w:tcW w:w="271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30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解读政策性文件，或说明不作</w:t>
            </w:r>
            <w:r>
              <w:rPr>
                <w:sz w:val="32"/>
              </w:rPr>
              <mc:AlternateContent>
                <mc:Choice Requires="wps">
                  <w:drawing>
                    <wp:anchor distT="0" distB="0" distL="114300" distR="114300" simplePos="0" relativeHeight="251663360" behindDoc="0" locked="0" layoutInCell="1" allowOverlap="1">
                      <wp:simplePos x="0" y="0"/>
                      <wp:positionH relativeFrom="column">
                        <wp:posOffset>-3366770</wp:posOffset>
                      </wp:positionH>
                      <wp:positionV relativeFrom="paragraph">
                        <wp:posOffset>4575175</wp:posOffset>
                      </wp:positionV>
                      <wp:extent cx="609600" cy="9264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09600" cy="926465"/>
                              </a:xfrm>
                              <a:prstGeom prst="rect">
                                <a:avLst/>
                              </a:prstGeom>
                              <a:noFill/>
                              <a:ln>
                                <a:noFill/>
                              </a:ln>
                              <a:effectLst/>
                            </wps:spPr>
                            <wps:txbx>
                              <w:txbxContent>
                                <w:p>
                                  <w:pPr>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9 —</w:t>
                                  </w:r>
                                </w:p>
                              </w:txbxContent>
                            </wps:txbx>
                            <wps:bodyPr vert="vert" upright="1"/>
                          </wps:wsp>
                        </a:graphicData>
                      </a:graphic>
                    </wp:anchor>
                  </w:drawing>
                </mc:Choice>
                <mc:Fallback>
                  <w:pict>
                    <v:shape id="_x0000_s1026" o:spid="_x0000_s1026" o:spt="202" type="#_x0000_t202" style="position:absolute;left:0pt;margin-left:-265.1pt;margin-top:360.25pt;height:72.95pt;width:48pt;z-index:251663360;mso-width-relative:page;mso-height-relative:page;" filled="f" stroked="f" coordsize="21600,21600" o:gfxdata="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ggTR3ZAAAADQEAAA8AAAAAAAAAAQAgAAAAIgAAAGRycy9kb3ducmV2LnhtbFBLAQIUABQA&#10;AAAIAIdO4kBK8ifZtgEAAGcDAAAOAAAAAAAAAAEAIAAAACgBAABkcnMvZTJvRG9jLnhtbFBLBQYA&#10;AAAABgAGAFkBAABQBQAAAAA=&#10;">
                      <v:path/>
                      <v:fill on="f" focussize="0,0"/>
                      <v:stroke on="f"/>
                      <v:imagedata o:title=""/>
                      <o:lock v:ext="edit" aspectratio="f"/>
                      <v:textbox style="layout-flow:vertical;">
                        <w:txbxContent>
                          <w:p>
                            <w:pPr>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9 —</w:t>
                            </w:r>
                          </w:p>
                        </w:txbxContent>
                      </v:textbox>
                    </v:shape>
                  </w:pict>
                </mc:Fallback>
              </mc:AlternateContent>
            </w: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解读的依据和理由</w:t>
            </w:r>
          </w:p>
        </w:tc>
        <w:tc>
          <w:tcPr>
            <w:tcW w:w="684"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各有关单位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45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473" w:type="pct"/>
            <w:vMerge w:val="restar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解读比例</w:t>
            </w:r>
          </w:p>
        </w:tc>
        <w:tc>
          <w:tcPr>
            <w:tcW w:w="67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多样化解读占比情况</w:t>
            </w:r>
          </w:p>
        </w:tc>
        <w:tc>
          <w:tcPr>
            <w:tcW w:w="271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多样化解读量占政策已解读总量不得少于90％</w:t>
            </w:r>
          </w:p>
        </w:tc>
        <w:tc>
          <w:tcPr>
            <w:tcW w:w="684"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各有关单位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jc w:val="center"/>
        </w:trPr>
        <w:tc>
          <w:tcPr>
            <w:tcW w:w="45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473" w:type="pct"/>
            <w:vMerge w:val="continue"/>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67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发布渠道占比情况</w:t>
            </w:r>
          </w:p>
        </w:tc>
        <w:tc>
          <w:tcPr>
            <w:tcW w:w="271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在政府网站做好政策解读的同时，在非政府网站渠道发布的政策解读量占政策解读总量不得少于50％</w:t>
            </w:r>
          </w:p>
        </w:tc>
        <w:tc>
          <w:tcPr>
            <w:tcW w:w="684"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各有关单位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45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473" w:type="pct"/>
            <w:vMerge w:val="restar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咨询责任</w:t>
            </w:r>
          </w:p>
        </w:tc>
        <w:tc>
          <w:tcPr>
            <w:tcW w:w="674"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谁定政策、谁做咨询的情况</w:t>
            </w:r>
          </w:p>
        </w:tc>
        <w:tc>
          <w:tcPr>
            <w:tcW w:w="271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政策制定机关要积极解答政策执行机关和企业、群众的咨询并开展政策咨询服务</w:t>
            </w:r>
          </w:p>
        </w:tc>
        <w:tc>
          <w:tcPr>
            <w:tcW w:w="684"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各有关单位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45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473" w:type="pct"/>
            <w:vMerge w:val="continue"/>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674"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271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建立政策咨询平台、入口</w:t>
            </w:r>
          </w:p>
        </w:tc>
        <w:tc>
          <w:tcPr>
            <w:tcW w:w="684"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融媒体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jc w:val="center"/>
        </w:trPr>
        <w:tc>
          <w:tcPr>
            <w:tcW w:w="45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473"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精准公开</w:t>
            </w:r>
          </w:p>
        </w:tc>
        <w:tc>
          <w:tcPr>
            <w:tcW w:w="67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提升政务公开服务精准度情况</w:t>
            </w:r>
          </w:p>
        </w:tc>
        <w:tc>
          <w:tcPr>
            <w:tcW w:w="271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针对管理对象或服务对象多样化、个性化、精准化公开举措</w:t>
            </w:r>
          </w:p>
        </w:tc>
        <w:tc>
          <w:tcPr>
            <w:tcW w:w="684"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各有关单位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45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473" w:type="pct"/>
            <w:vMerge w:val="restar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互动回应</w:t>
            </w:r>
          </w:p>
        </w:tc>
        <w:tc>
          <w:tcPr>
            <w:tcW w:w="67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制度建设情况</w:t>
            </w:r>
          </w:p>
        </w:tc>
        <w:tc>
          <w:tcPr>
            <w:tcW w:w="271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建立政务舆情回应台账管理制度和跟踪反馈制度</w:t>
            </w:r>
          </w:p>
        </w:tc>
        <w:tc>
          <w:tcPr>
            <w:tcW w:w="684"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各有关单位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45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473" w:type="pct"/>
            <w:vMerge w:val="continue"/>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674"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互动回应渠道情况</w:t>
            </w:r>
          </w:p>
        </w:tc>
        <w:tc>
          <w:tcPr>
            <w:tcW w:w="271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及时回应政府网站留言板或领导信箱，并定期向社会公开典型政策问答</w:t>
            </w:r>
          </w:p>
        </w:tc>
        <w:tc>
          <w:tcPr>
            <w:tcW w:w="684"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融媒体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5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473" w:type="pct"/>
            <w:vMerge w:val="continue"/>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674"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271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建立政务新媒体在线服务和有效回应渠道</w:t>
            </w:r>
          </w:p>
        </w:tc>
        <w:tc>
          <w:tcPr>
            <w:tcW w:w="684"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融媒体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456"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政务公开平台建设管理与基础工作库数据维护</w:t>
            </w:r>
          </w:p>
        </w:tc>
        <w:tc>
          <w:tcPr>
            <w:tcW w:w="473" w:type="pct"/>
            <w:vMerge w:val="restar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平台安全</w:t>
            </w:r>
          </w:p>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和建设</w:t>
            </w:r>
          </w:p>
        </w:tc>
        <w:tc>
          <w:tcPr>
            <w:tcW w:w="67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“我为政府网站找错”链接及办理情况</w:t>
            </w:r>
          </w:p>
        </w:tc>
        <w:tc>
          <w:tcPr>
            <w:tcW w:w="271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30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在网站</w:t>
            </w:r>
            <w:r>
              <w:rPr>
                <w:sz w:val="32"/>
              </w:rPr>
              <mc:AlternateContent>
                <mc:Choice Requires="wps">
                  <w:drawing>
                    <wp:anchor distT="0" distB="0" distL="114300" distR="114300" simplePos="0" relativeHeight="251661312" behindDoc="0" locked="0" layoutInCell="1" allowOverlap="1">
                      <wp:simplePos x="0" y="0"/>
                      <wp:positionH relativeFrom="column">
                        <wp:posOffset>-3343910</wp:posOffset>
                      </wp:positionH>
                      <wp:positionV relativeFrom="paragraph">
                        <wp:posOffset>-336550</wp:posOffset>
                      </wp:positionV>
                      <wp:extent cx="609600" cy="10388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09600" cy="1029335"/>
                              </a:xfrm>
                              <a:prstGeom prst="rect">
                                <a:avLst/>
                              </a:prstGeom>
                              <a:noFill/>
                              <a:ln>
                                <a:noFill/>
                              </a:ln>
                              <a:effectLst/>
                            </wps:spPr>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10 —</w:t>
                                  </w:r>
                                </w:p>
                              </w:txbxContent>
                            </wps:txbx>
                            <wps:bodyPr vert="vert" upright="1"/>
                          </wps:wsp>
                        </a:graphicData>
                      </a:graphic>
                    </wp:anchor>
                  </w:drawing>
                </mc:Choice>
                <mc:Fallback>
                  <w:pict>
                    <v:shape id="_x0000_s1026" o:spid="_x0000_s1026" o:spt="202" type="#_x0000_t202" style="position:absolute;left:0pt;margin-left:-263.3pt;margin-top:-26.5pt;height:81.8pt;width:48pt;z-index:251661312;mso-width-relative:page;mso-height-relative:page;" filled="f" stroked="f" coordsize="21600,21600" o:gfxdata="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revPhNcAAAANAQAADwAAAAAAAAABACAAAAAiAAAAZHJzL2Rvd25yZXYueG1sUEsBAhQAFAAA&#10;AAgAh07iQDJtwtC3AQAAaAMAAA4AAAAAAAAAAQAgAAAAJgEAAGRycy9lMm9Eb2MueG1sUEsFBgAA&#10;AAAGAAYAWQEAAE8FAAAAAA==&#10;">
                      <v:path/>
                      <v:fill on="f" focussize="0,0"/>
                      <v:stroke on="f"/>
                      <v:imagedata o:title=""/>
                      <o:lock v:ext="edit" aspectratio="f"/>
                      <v:textbox style="layout-flow:vertical;">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10 —</w:t>
                            </w:r>
                          </w:p>
                        </w:txbxContent>
                      </v:textbox>
                    </v:shape>
                  </w:pict>
                </mc:Fallback>
              </mc:AlternateContent>
            </w: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首页及其他页面底部功能区规范添加“我为政府网站找错”入口</w:t>
            </w:r>
          </w:p>
        </w:tc>
        <w:tc>
          <w:tcPr>
            <w:tcW w:w="684"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融媒体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45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473" w:type="pct"/>
            <w:vMerge w:val="continue"/>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67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创办政府公报</w:t>
            </w:r>
          </w:p>
        </w:tc>
        <w:tc>
          <w:tcPr>
            <w:tcW w:w="271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创办县政府公报，开发相应政务新媒体和移动客户端应用或链接，打造“掌上公报”</w:t>
            </w:r>
          </w:p>
        </w:tc>
        <w:tc>
          <w:tcPr>
            <w:tcW w:w="684"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融媒体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45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473" w:type="pct"/>
            <w:vMerge w:val="continue"/>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67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IPV6改造情况</w:t>
            </w:r>
          </w:p>
        </w:tc>
        <w:tc>
          <w:tcPr>
            <w:tcW w:w="271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政府网站完成IPv6改造;二、三级页面链接IPv6支持率达100％</w:t>
            </w:r>
          </w:p>
        </w:tc>
        <w:tc>
          <w:tcPr>
            <w:tcW w:w="684"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融媒体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45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473" w:type="pct"/>
            <w:vMerge w:val="continue"/>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67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公开平台建设情况</w:t>
            </w:r>
          </w:p>
        </w:tc>
        <w:tc>
          <w:tcPr>
            <w:tcW w:w="271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按国家要求建设、管理和维护“政府信息公开平台”</w:t>
            </w:r>
          </w:p>
        </w:tc>
        <w:tc>
          <w:tcPr>
            <w:tcW w:w="684"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融媒体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45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473" w:type="pct"/>
            <w:vMerge w:val="continue"/>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67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网站安全保障情况</w:t>
            </w:r>
          </w:p>
        </w:tc>
        <w:tc>
          <w:tcPr>
            <w:tcW w:w="271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政府三级以上政府网站完成当年等保测评</w:t>
            </w:r>
          </w:p>
        </w:tc>
        <w:tc>
          <w:tcPr>
            <w:tcW w:w="68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融媒体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45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473" w:type="pct"/>
            <w:vMerge w:val="restar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监管责任</w:t>
            </w:r>
          </w:p>
        </w:tc>
        <w:tc>
          <w:tcPr>
            <w:tcW w:w="67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自查情况</w:t>
            </w:r>
          </w:p>
        </w:tc>
        <w:tc>
          <w:tcPr>
            <w:tcW w:w="271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按规定完成每月对本行政区域内政府网站和政务新媒体全覆盖检査和通报</w:t>
            </w:r>
          </w:p>
        </w:tc>
        <w:tc>
          <w:tcPr>
            <w:tcW w:w="68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融媒体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45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473" w:type="pct"/>
            <w:vMerge w:val="continue"/>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67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通报整改情况</w:t>
            </w:r>
          </w:p>
        </w:tc>
        <w:tc>
          <w:tcPr>
            <w:tcW w:w="271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政务新媒体每周更新2次</w:t>
            </w:r>
          </w:p>
        </w:tc>
        <w:tc>
          <w:tcPr>
            <w:tcW w:w="68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融媒体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45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473" w:type="pct"/>
            <w:vMerge w:val="restar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基础工作库</w:t>
            </w:r>
          </w:p>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数据维护</w:t>
            </w:r>
          </w:p>
        </w:tc>
        <w:tc>
          <w:tcPr>
            <w:tcW w:w="67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网站与新媒体报送系统数据维护情况</w:t>
            </w:r>
          </w:p>
        </w:tc>
        <w:tc>
          <w:tcPr>
            <w:tcW w:w="271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及时更新维护全国政府网站信息报送系统、全国政务新媒体信息报送系统中的信息</w:t>
            </w:r>
          </w:p>
        </w:tc>
        <w:tc>
          <w:tcPr>
            <w:tcW w:w="68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融媒体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45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473" w:type="pct"/>
            <w:vMerge w:val="continue"/>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jc w:val="center"/>
              <w:rPr>
                <w:rFonts w:hint="eastAsia" w:ascii="宋体" w:hAnsi="宋体" w:eastAsia="宋体" w:cs="宋体"/>
                <w:i w:val="0"/>
                <w:iCs w:val="0"/>
                <w:color w:val="000000"/>
                <w:sz w:val="19"/>
                <w:szCs w:val="19"/>
                <w:u w:val="none"/>
              </w:rPr>
            </w:pPr>
          </w:p>
        </w:tc>
        <w:tc>
          <w:tcPr>
            <w:tcW w:w="67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信用修复核查情况</w:t>
            </w:r>
          </w:p>
        </w:tc>
        <w:tc>
          <w:tcPr>
            <w:tcW w:w="271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按照国家信用修复工作要求进行核查规范性和时效性</w:t>
            </w:r>
          </w:p>
        </w:tc>
        <w:tc>
          <w:tcPr>
            <w:tcW w:w="68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spacing w:val="0"/>
                <w:w w:val="100"/>
                <w:kern w:val="0"/>
                <w:position w:val="0"/>
                <w:sz w:val="19"/>
                <w:szCs w:val="19"/>
                <w:u w:val="none"/>
                <w:shd w:val="clear" w:color="auto" w:fill="auto"/>
                <w:lang w:val="en-US" w:eastAsia="zh-CN" w:bidi="ar"/>
              </w:rPr>
              <w:t>融媒体</w:t>
            </w: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AC59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圻圻圻圻圻灬</cp:lastModifiedBy>
  <dcterms:modified xsi:type="dcterms:W3CDTF">2022-01-26T08:42:40Z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535D4E26C7D0407D9CF97D82EF79491D</vt:lpwstr>
  </property>
</Properties>
</file>