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36"/>
      <w:bookmarkStart w:id="1" w:name="bookmark34"/>
      <w:bookmarkStart w:id="2" w:name="bookmark3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被考核单位准备工作及印证材料清单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被考核单位在接到考核通知后，应做好以下准备工作，并提供相应印证材料：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7"/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、提供以会议或文件等形式专门研究部署政务公开工作的详情。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38"/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提供目录编制、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工作方案以及完成情况。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39"/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</w:rPr>
        <w:t>、内部机制建设详情，包括公文属性管理机制、解读回应机制、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依申请公开处理机制、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政府网站和政务新媒体信息发布审核及分类机制和运维管理机制等。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单位本年度制发非涉密公文详情列表，按体裁（发文字号）分类，列表要素包括公文全称、文号、公开属性、牵头起草部门、主动公开公文链接、解读文件链接、是否为非纯文字解读等。列表中链接应为超链接形式；其他形式的解读，应做出专门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26个试点领域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、政务公开工作中有创新、有亮点、有特色的，予以特别说明，特别是受到省、市领导批示表扬或被省、市媒体专题正面报道的，附情况汇报及印证材料。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6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当年考核通知中规定的其他准备工作及印证材料。</w:t>
      </w:r>
      <w:bookmarkStart w:id="6" w:name="_GoBack"/>
      <w:bookmarkEnd w:id="6"/>
    </w:p>
    <w:sectPr>
      <w:footerReference r:id="rId5" w:type="default"/>
      <w:pgSz w:w="11906" w:h="16838"/>
      <w:pgMar w:top="1871" w:right="1587" w:bottom="1587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50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 text|2"/>
    <w:basedOn w:val="1"/>
    <w:uiPriority w:val="0"/>
    <w:pPr>
      <w:widowControl w:val="0"/>
      <w:shd w:val="clear" w:color="auto" w:fill="auto"/>
      <w:spacing w:line="586" w:lineRule="exact"/>
      <w:ind w:firstLine="5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圻圻圻圻圻灬</cp:lastModifiedBy>
  <dcterms:modified xsi:type="dcterms:W3CDTF">2022-01-26T08:44:48Z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C906019F1C4B42BBA04AB2BAD705E1A3</vt:lpwstr>
  </property>
</Properties>
</file>