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C61AA" w14:textId="77777777" w:rsidR="004873F5" w:rsidRPr="004873F5" w:rsidRDefault="004873F5" w:rsidP="004873F5">
      <w:pPr>
        <w:widowControl/>
        <w:spacing w:line="432" w:lineRule="auto"/>
        <w:jc w:val="center"/>
        <w:rPr>
          <w:rFonts w:ascii="等线" w:eastAsia="等线" w:hAnsi="等线" w:cs="Arial"/>
          <w:color w:val="333333"/>
          <w:kern w:val="0"/>
          <w:sz w:val="24"/>
          <w:szCs w:val="24"/>
        </w:rPr>
      </w:pPr>
      <w:r w:rsidRPr="004873F5">
        <w:rPr>
          <w:rFonts w:ascii="Calibri" w:eastAsia="黑体" w:hAnsi="Calibri" w:cs="Calibri"/>
          <w:color w:val="333333"/>
          <w:kern w:val="0"/>
          <w:sz w:val="44"/>
          <w:szCs w:val="44"/>
        </w:rPr>
        <w:t> </w:t>
      </w:r>
    </w:p>
    <w:p w14:paraId="21AB9B3D" w14:textId="77777777" w:rsidR="004873F5" w:rsidRPr="004873F5" w:rsidRDefault="004873F5" w:rsidP="004873F5">
      <w:pPr>
        <w:widowControl/>
        <w:spacing w:line="432" w:lineRule="auto"/>
        <w:jc w:val="center"/>
        <w:rPr>
          <w:rFonts w:ascii="等线" w:eastAsia="等线" w:hAnsi="等线" w:cs="Arial" w:hint="eastAsia"/>
          <w:color w:val="333333"/>
          <w:kern w:val="0"/>
          <w:sz w:val="24"/>
          <w:szCs w:val="24"/>
        </w:rPr>
      </w:pPr>
      <w:r w:rsidRPr="004873F5">
        <w:rPr>
          <w:rFonts w:ascii="黑体" w:eastAsia="黑体" w:hAnsi="黑体" w:cs="Arial" w:hint="eastAsia"/>
          <w:color w:val="333333"/>
          <w:kern w:val="0"/>
          <w:sz w:val="44"/>
          <w:szCs w:val="44"/>
        </w:rPr>
        <w:t>沁水县环境保护局</w:t>
      </w:r>
    </w:p>
    <w:p w14:paraId="4F6F3CE4" w14:textId="77777777" w:rsidR="004873F5" w:rsidRPr="004873F5" w:rsidRDefault="004873F5" w:rsidP="004873F5">
      <w:pPr>
        <w:widowControl/>
        <w:spacing w:line="432" w:lineRule="auto"/>
        <w:jc w:val="center"/>
        <w:rPr>
          <w:rFonts w:ascii="等线" w:eastAsia="等线" w:hAnsi="等线" w:cs="Arial" w:hint="eastAsia"/>
          <w:color w:val="333333"/>
          <w:kern w:val="0"/>
          <w:sz w:val="24"/>
          <w:szCs w:val="24"/>
        </w:rPr>
      </w:pPr>
      <w:r w:rsidRPr="004873F5">
        <w:rPr>
          <w:rFonts w:ascii="黑体" w:eastAsia="黑体" w:hAnsi="黑体" w:cs="Arial" w:hint="eastAsia"/>
          <w:color w:val="333333"/>
          <w:kern w:val="0"/>
          <w:sz w:val="44"/>
          <w:szCs w:val="44"/>
        </w:rPr>
        <w:t>2018年政府信息公开年度报告</w:t>
      </w:r>
    </w:p>
    <w:p w14:paraId="797FC679" w14:textId="77777777" w:rsidR="004873F5" w:rsidRPr="004873F5" w:rsidRDefault="004873F5" w:rsidP="004873F5">
      <w:pPr>
        <w:widowControl/>
        <w:spacing w:line="432" w:lineRule="auto"/>
        <w:ind w:firstLine="640"/>
        <w:rPr>
          <w:rFonts w:ascii="等线" w:eastAsia="等线" w:hAnsi="等线" w:cs="Arial" w:hint="eastAsia"/>
          <w:color w:val="333333"/>
          <w:kern w:val="0"/>
          <w:sz w:val="24"/>
          <w:szCs w:val="24"/>
        </w:rPr>
      </w:pPr>
      <w:r w:rsidRPr="004873F5">
        <w:rPr>
          <w:rFonts w:ascii="Calibri" w:eastAsia="仿宋" w:hAnsi="Calibri" w:cs="Calibri"/>
          <w:color w:val="333333"/>
          <w:kern w:val="0"/>
          <w:sz w:val="32"/>
          <w:szCs w:val="32"/>
        </w:rPr>
        <w:t> </w:t>
      </w:r>
    </w:p>
    <w:p w14:paraId="35EE1362" w14:textId="77777777" w:rsidR="004873F5" w:rsidRPr="004873F5" w:rsidRDefault="004873F5" w:rsidP="004873F5">
      <w:pPr>
        <w:widowControl/>
        <w:spacing w:line="432" w:lineRule="auto"/>
        <w:ind w:firstLine="640"/>
        <w:rPr>
          <w:rFonts w:ascii="等线" w:eastAsia="等线" w:hAnsi="等线" w:cs="Arial" w:hint="eastAsia"/>
          <w:color w:val="333333"/>
          <w:kern w:val="0"/>
          <w:sz w:val="24"/>
          <w:szCs w:val="24"/>
        </w:rPr>
      </w:pPr>
      <w:r w:rsidRPr="004873F5">
        <w:rPr>
          <w:rFonts w:ascii="仿宋" w:eastAsia="仿宋" w:hAnsi="仿宋" w:cs="Arial" w:hint="eastAsia"/>
          <w:color w:val="333333"/>
          <w:kern w:val="0"/>
          <w:sz w:val="32"/>
          <w:szCs w:val="32"/>
        </w:rPr>
        <w:t>根据《沁水县人民政府办公室关于做好2018年政府信息公开年度报告和统计报送工作的通知》文件要求，按照《中华人民共和国政府信息公开条例》（以下简称《条例》）有关规定，结合我局实际，从以下几个方面就我局本年度政府信息公开工作存在的主要问题及改进措施等情况总结报告如下。</w:t>
      </w:r>
    </w:p>
    <w:p w14:paraId="096A6129" w14:textId="77777777" w:rsidR="004873F5" w:rsidRPr="004873F5" w:rsidRDefault="004873F5" w:rsidP="004873F5">
      <w:pPr>
        <w:widowControl/>
        <w:spacing w:line="432" w:lineRule="auto"/>
        <w:ind w:firstLine="710"/>
        <w:rPr>
          <w:rFonts w:ascii="等线" w:eastAsia="等线" w:hAnsi="等线" w:cs="Arial" w:hint="eastAsia"/>
          <w:color w:val="333333"/>
          <w:kern w:val="0"/>
          <w:sz w:val="24"/>
          <w:szCs w:val="24"/>
        </w:rPr>
      </w:pPr>
      <w:r w:rsidRPr="004873F5">
        <w:rPr>
          <w:rFonts w:ascii="仿宋" w:eastAsia="仿宋" w:hAnsi="仿宋" w:cs="Arial" w:hint="eastAsia"/>
          <w:b/>
          <w:bCs/>
          <w:color w:val="333333"/>
          <w:kern w:val="0"/>
          <w:sz w:val="32"/>
          <w:szCs w:val="32"/>
        </w:rPr>
        <w:t>一、本年度政府信息公开工作的基本情况</w:t>
      </w:r>
    </w:p>
    <w:p w14:paraId="511E0B1B"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仿宋" w:eastAsia="仿宋" w:hAnsi="仿宋" w:cs="Arial" w:hint="eastAsia"/>
          <w:color w:val="333333"/>
          <w:kern w:val="0"/>
          <w:sz w:val="32"/>
          <w:szCs w:val="32"/>
        </w:rPr>
        <w:t>2018年，我局紧紧围绕环保中心工作，坚持以公开为常态、不公开为例外的原则，切实加强组织领导，强化重点领域环境信息公开，增强政策宣传和解读回应。依法、及时、准确地公开相关信息，切实保障了人民群众的环境知情权、参与权、监督权和表达权。</w:t>
      </w:r>
    </w:p>
    <w:p w14:paraId="089CE0E8" w14:textId="77777777" w:rsidR="004873F5" w:rsidRPr="004873F5" w:rsidRDefault="004873F5" w:rsidP="004873F5">
      <w:pPr>
        <w:widowControl/>
        <w:spacing w:line="432" w:lineRule="auto"/>
        <w:ind w:firstLine="710"/>
        <w:rPr>
          <w:rFonts w:ascii="等线" w:eastAsia="等线" w:hAnsi="等线" w:cs="Arial" w:hint="eastAsia"/>
          <w:color w:val="333333"/>
          <w:kern w:val="0"/>
          <w:sz w:val="24"/>
          <w:szCs w:val="24"/>
        </w:rPr>
      </w:pPr>
      <w:r w:rsidRPr="004873F5">
        <w:rPr>
          <w:rFonts w:ascii="仿宋" w:eastAsia="仿宋" w:hAnsi="仿宋" w:cs="Arial" w:hint="eastAsia"/>
          <w:b/>
          <w:bCs/>
          <w:color w:val="333333"/>
          <w:kern w:val="0"/>
          <w:sz w:val="32"/>
          <w:szCs w:val="32"/>
        </w:rPr>
        <w:t>二、推进重点领域政府信息公开情况</w:t>
      </w:r>
    </w:p>
    <w:p w14:paraId="056CCC72"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仿宋" w:eastAsia="仿宋" w:hAnsi="仿宋" w:cs="Arial" w:hint="eastAsia"/>
          <w:color w:val="333333"/>
          <w:kern w:val="0"/>
          <w:sz w:val="32"/>
          <w:szCs w:val="32"/>
        </w:rPr>
        <w:t>1.推进政策执行和落实情况公开。一是围绕县委、县政府和市环保局部署的改革任务、民生举措，公开执行措施、进展和完成情况。今年在县政府门户网站公开环境空气质量、环境质量公报、环评审批、环境监管和处罚、12369投诉办理及其他应公开的环境信息115条。二是认真做好财务预决</w:t>
      </w:r>
      <w:r w:rsidRPr="004873F5">
        <w:rPr>
          <w:rFonts w:ascii="仿宋" w:eastAsia="仿宋" w:hAnsi="仿宋" w:cs="Arial" w:hint="eastAsia"/>
          <w:color w:val="333333"/>
          <w:kern w:val="0"/>
          <w:sz w:val="32"/>
          <w:szCs w:val="32"/>
        </w:rPr>
        <w:lastRenderedPageBreak/>
        <w:t>算公开，公开本单位职责、单位基本情况、收支总体情况、公共财政拨款支出决算情况、政府性基金支出决算情况、“三公”经费支出决算情况、预算收支总体情况、部门预算支出情况、“三公”经费预算控制情况等。</w:t>
      </w:r>
    </w:p>
    <w:p w14:paraId="39EBF2AD"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仿宋" w:eastAsia="仿宋" w:hAnsi="仿宋" w:cs="Arial" w:hint="eastAsia"/>
          <w:color w:val="333333"/>
          <w:kern w:val="0"/>
          <w:sz w:val="32"/>
          <w:szCs w:val="32"/>
        </w:rPr>
        <w:t>2.围绕群众关注的生态环境保护等事项开展信息公开。一是及时公布空气环境质量、水环境质量，地表水质量（包括省控断面地表水状况、县控断面地表水状况）、县城饮用水情况。二是全面公开建设项目环评、竣工验收信息，公开审批项目、公开受理情况、公开审批意见。三是及时公开日常环境监管和处罚事项，公布双随机检查结果，公布环境违法事实和证据、行政处罚的依据、种类、行政处罚决定的履行方式和期限、申请复议或者提起诉讼的途径和期限。四是继续推进政务服务公开。把行政审批、公共服务事项全部纳入网上办事大厅，进一步完善了项目服务指南，简化办事流程。积极深化“放管服”改革，优化服务流程，缩短审批时限，减轻企业负担。</w:t>
      </w:r>
    </w:p>
    <w:p w14:paraId="2BC9B8B5"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仿宋" w:eastAsia="仿宋" w:hAnsi="仿宋" w:cs="Arial" w:hint="eastAsia"/>
          <w:color w:val="333333"/>
          <w:kern w:val="0"/>
          <w:sz w:val="32"/>
          <w:szCs w:val="32"/>
        </w:rPr>
        <w:t>3.抓好污染防治攻坚战政策措施的解读工作。一是做好省、市、</w:t>
      </w:r>
      <w:proofErr w:type="gramStart"/>
      <w:r w:rsidRPr="004873F5">
        <w:rPr>
          <w:rFonts w:ascii="仿宋" w:eastAsia="仿宋" w:hAnsi="仿宋" w:cs="Arial" w:hint="eastAsia"/>
          <w:color w:val="333333"/>
          <w:kern w:val="0"/>
          <w:sz w:val="32"/>
          <w:szCs w:val="32"/>
        </w:rPr>
        <w:t>县关于</w:t>
      </w:r>
      <w:proofErr w:type="gramEnd"/>
      <w:r w:rsidRPr="004873F5">
        <w:rPr>
          <w:rFonts w:ascii="仿宋" w:eastAsia="仿宋" w:hAnsi="仿宋" w:cs="Arial" w:hint="eastAsia"/>
          <w:color w:val="333333"/>
          <w:kern w:val="0"/>
          <w:sz w:val="32"/>
          <w:szCs w:val="32"/>
        </w:rPr>
        <w:t>污染防治攻坚战相关政策措施内容的解读。全面、详尽、准确地解读政策文件内容，主要包括政策文件的背景依据、目标任务、主要内容、涉及范围、执行标准、注意事项、关键词诠释、惠民利民举措、新旧政策差异等。同时，使用深入浅出、通俗易懂的语言，配以案例、数据，</w:t>
      </w:r>
      <w:r w:rsidRPr="004873F5">
        <w:rPr>
          <w:rFonts w:ascii="仿宋" w:eastAsia="仿宋" w:hAnsi="仿宋" w:cs="Arial" w:hint="eastAsia"/>
          <w:color w:val="333333"/>
          <w:kern w:val="0"/>
          <w:sz w:val="32"/>
          <w:szCs w:val="32"/>
        </w:rPr>
        <w:lastRenderedPageBreak/>
        <w:t>让群众看得懂、记得住、信得过、用得上。二是做好相关政策解读公开工作。及时在政府门户网站上公开关于污染防治攻坚战相关政策措施内容的解读。</w:t>
      </w:r>
    </w:p>
    <w:p w14:paraId="74BFB3C5" w14:textId="77777777" w:rsidR="004873F5" w:rsidRPr="004873F5" w:rsidRDefault="004873F5" w:rsidP="004873F5">
      <w:pPr>
        <w:widowControl/>
        <w:spacing w:line="432" w:lineRule="auto"/>
        <w:ind w:firstLine="710"/>
        <w:rPr>
          <w:rFonts w:ascii="等线" w:eastAsia="等线" w:hAnsi="等线" w:cs="Arial" w:hint="eastAsia"/>
          <w:color w:val="333333"/>
          <w:kern w:val="0"/>
          <w:sz w:val="24"/>
          <w:szCs w:val="24"/>
        </w:rPr>
      </w:pPr>
      <w:r w:rsidRPr="004873F5">
        <w:rPr>
          <w:rFonts w:ascii="仿宋" w:eastAsia="仿宋" w:hAnsi="仿宋" w:cs="Arial" w:hint="eastAsia"/>
          <w:b/>
          <w:bCs/>
          <w:color w:val="333333"/>
          <w:kern w:val="0"/>
          <w:sz w:val="32"/>
          <w:szCs w:val="32"/>
        </w:rPr>
        <w:t>三、主动公开政府信息情况</w:t>
      </w:r>
    </w:p>
    <w:p w14:paraId="7960795C"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仿宋" w:eastAsia="仿宋" w:hAnsi="仿宋" w:cs="Arial" w:hint="eastAsia"/>
          <w:color w:val="333333"/>
          <w:kern w:val="0"/>
          <w:sz w:val="32"/>
          <w:szCs w:val="32"/>
        </w:rPr>
        <w:t>（一）主动公开政府信息的数量：截止2018年12月31日，我局已通过沁水县政府政务信息公开网站主动公开2018年度政府信息115条。</w:t>
      </w:r>
    </w:p>
    <w:p w14:paraId="051CB4BD"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仿宋" w:eastAsia="仿宋" w:hAnsi="仿宋" w:cs="Arial" w:hint="eastAsia"/>
          <w:color w:val="333333"/>
          <w:kern w:val="0"/>
          <w:sz w:val="32"/>
          <w:szCs w:val="32"/>
        </w:rPr>
        <w:t>（二）主动公开政府信息的形式：主要以沁水县政府政务信息公开网站公开。</w:t>
      </w:r>
    </w:p>
    <w:p w14:paraId="394E62F2" w14:textId="77777777" w:rsidR="004873F5" w:rsidRPr="004873F5" w:rsidRDefault="004873F5" w:rsidP="004873F5">
      <w:pPr>
        <w:widowControl/>
        <w:spacing w:line="432" w:lineRule="auto"/>
        <w:ind w:firstLine="710"/>
        <w:rPr>
          <w:rFonts w:ascii="等线" w:eastAsia="等线" w:hAnsi="等线" w:cs="Arial" w:hint="eastAsia"/>
          <w:color w:val="333333"/>
          <w:kern w:val="0"/>
          <w:sz w:val="24"/>
          <w:szCs w:val="24"/>
        </w:rPr>
      </w:pPr>
      <w:r w:rsidRPr="004873F5">
        <w:rPr>
          <w:rFonts w:ascii="仿宋" w:eastAsia="仿宋" w:hAnsi="仿宋" w:cs="Arial" w:hint="eastAsia"/>
          <w:b/>
          <w:bCs/>
          <w:color w:val="333333"/>
          <w:kern w:val="0"/>
          <w:sz w:val="32"/>
          <w:szCs w:val="32"/>
        </w:rPr>
        <w:t>四、政府信息依申请公开办理情况</w:t>
      </w:r>
    </w:p>
    <w:p w14:paraId="0F369ECE"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仿宋" w:eastAsia="仿宋" w:hAnsi="仿宋" w:cs="Arial" w:hint="eastAsia"/>
          <w:color w:val="333333"/>
          <w:kern w:val="0"/>
          <w:sz w:val="32"/>
          <w:szCs w:val="32"/>
        </w:rPr>
        <w:t>2018年环保局未收到政府信息公开申请。</w:t>
      </w:r>
    </w:p>
    <w:p w14:paraId="3D7703DA" w14:textId="77777777" w:rsidR="004873F5" w:rsidRPr="004873F5" w:rsidRDefault="004873F5" w:rsidP="004873F5">
      <w:pPr>
        <w:widowControl/>
        <w:spacing w:line="432" w:lineRule="auto"/>
        <w:ind w:firstLine="710"/>
        <w:rPr>
          <w:rFonts w:ascii="等线" w:eastAsia="等线" w:hAnsi="等线" w:cs="Arial" w:hint="eastAsia"/>
          <w:color w:val="333333"/>
          <w:kern w:val="0"/>
          <w:sz w:val="24"/>
          <w:szCs w:val="24"/>
        </w:rPr>
      </w:pPr>
      <w:r w:rsidRPr="004873F5">
        <w:rPr>
          <w:rFonts w:ascii="仿宋" w:eastAsia="仿宋" w:hAnsi="仿宋" w:cs="Arial" w:hint="eastAsia"/>
          <w:b/>
          <w:bCs/>
          <w:color w:val="333333"/>
          <w:kern w:val="0"/>
          <w:sz w:val="32"/>
          <w:szCs w:val="32"/>
        </w:rPr>
        <w:t>五、因政府信息公开申请行政复议、提起行政诉讼的情况</w:t>
      </w:r>
    </w:p>
    <w:p w14:paraId="19DB92D2"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仿宋" w:eastAsia="仿宋" w:hAnsi="仿宋" w:cs="Arial" w:hint="eastAsia"/>
          <w:color w:val="333333"/>
          <w:kern w:val="0"/>
          <w:sz w:val="32"/>
          <w:szCs w:val="32"/>
        </w:rPr>
        <w:t>2018年环保局无因政府信息公开而申请行政复议和提起行政诉讼的情况。</w:t>
      </w:r>
    </w:p>
    <w:p w14:paraId="179C46DA" w14:textId="77777777" w:rsidR="004873F5" w:rsidRPr="004873F5" w:rsidRDefault="004873F5" w:rsidP="004873F5">
      <w:pPr>
        <w:widowControl/>
        <w:spacing w:line="432" w:lineRule="auto"/>
        <w:ind w:firstLine="710"/>
        <w:rPr>
          <w:rFonts w:ascii="等线" w:eastAsia="等线" w:hAnsi="等线" w:cs="Arial" w:hint="eastAsia"/>
          <w:color w:val="333333"/>
          <w:kern w:val="0"/>
          <w:sz w:val="24"/>
          <w:szCs w:val="24"/>
        </w:rPr>
      </w:pPr>
      <w:r w:rsidRPr="004873F5">
        <w:rPr>
          <w:rFonts w:ascii="仿宋" w:eastAsia="仿宋" w:hAnsi="仿宋" w:cs="Arial" w:hint="eastAsia"/>
          <w:b/>
          <w:bCs/>
          <w:color w:val="333333"/>
          <w:kern w:val="0"/>
          <w:sz w:val="32"/>
          <w:szCs w:val="32"/>
        </w:rPr>
        <w:t>六、政府信息公开工作存在的主要问题及改进措施</w:t>
      </w:r>
    </w:p>
    <w:p w14:paraId="6156D463"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仿宋" w:eastAsia="仿宋" w:hAnsi="仿宋" w:cs="Arial" w:hint="eastAsia"/>
          <w:color w:val="333333"/>
          <w:kern w:val="0"/>
          <w:sz w:val="32"/>
          <w:szCs w:val="32"/>
        </w:rPr>
        <w:t>（一）工作中存在的主要问题和困难：一是一些股室对政府信息公开的重要性认识不足，重视还不够，不能及时将相关信息报送公开；二是工作机制不够健全，信息公开内容不够全面，一些信息公开不够及时。</w:t>
      </w:r>
    </w:p>
    <w:p w14:paraId="5B1EC6D6"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仿宋" w:eastAsia="仿宋" w:hAnsi="仿宋" w:cs="Arial" w:hint="eastAsia"/>
          <w:color w:val="333333"/>
          <w:kern w:val="0"/>
          <w:sz w:val="32"/>
          <w:szCs w:val="32"/>
        </w:rPr>
        <w:t>（二）具体的解决办法和改进措施：一是进一步落实责任。督促各股室做好信息归集和报送工作，完善公开内容，</w:t>
      </w:r>
      <w:r w:rsidRPr="004873F5">
        <w:rPr>
          <w:rFonts w:ascii="仿宋" w:eastAsia="仿宋" w:hAnsi="仿宋" w:cs="Arial" w:hint="eastAsia"/>
          <w:color w:val="333333"/>
          <w:kern w:val="0"/>
          <w:sz w:val="32"/>
          <w:szCs w:val="32"/>
        </w:rPr>
        <w:lastRenderedPageBreak/>
        <w:t>将应公开的信息及时报送公开。建立长效的监督管理机制，责任落实到个人，为我局的政府信息公开工作提供保障；二是加强《条例》的学习，开展政府信息公开业务培训，进一步明确政府信息公开内容，提高全局干部职工对政府信息公开的认识。</w:t>
      </w:r>
    </w:p>
    <w:p w14:paraId="46BED6A9"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Calibri" w:eastAsia="仿宋" w:hAnsi="Calibri" w:cs="Calibri"/>
          <w:color w:val="333333"/>
          <w:kern w:val="0"/>
          <w:sz w:val="32"/>
          <w:szCs w:val="32"/>
        </w:rPr>
        <w:t> </w:t>
      </w:r>
    </w:p>
    <w:p w14:paraId="223DDFD9"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Calibri" w:eastAsia="仿宋" w:hAnsi="Calibri" w:cs="Calibri"/>
          <w:color w:val="333333"/>
          <w:kern w:val="0"/>
          <w:sz w:val="32"/>
          <w:szCs w:val="32"/>
        </w:rPr>
        <w:t> </w:t>
      </w:r>
    </w:p>
    <w:p w14:paraId="3AC14220"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Calibri" w:eastAsia="仿宋" w:hAnsi="Calibri" w:cs="Calibri"/>
          <w:color w:val="333333"/>
          <w:kern w:val="0"/>
          <w:sz w:val="32"/>
          <w:szCs w:val="32"/>
        </w:rPr>
        <w:t> </w:t>
      </w:r>
    </w:p>
    <w:p w14:paraId="2312AB9B"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Calibri" w:eastAsia="仿宋" w:hAnsi="Calibri" w:cs="Calibri"/>
          <w:color w:val="333333"/>
          <w:kern w:val="0"/>
          <w:sz w:val="32"/>
          <w:szCs w:val="32"/>
        </w:rPr>
        <w:t> </w:t>
      </w:r>
    </w:p>
    <w:p w14:paraId="1E4E14F4" w14:textId="77777777" w:rsidR="004873F5" w:rsidRPr="004873F5" w:rsidRDefault="004873F5" w:rsidP="004873F5">
      <w:pPr>
        <w:widowControl/>
        <w:spacing w:line="432" w:lineRule="auto"/>
        <w:ind w:firstLine="707"/>
        <w:rPr>
          <w:rFonts w:ascii="等线" w:eastAsia="等线" w:hAnsi="等线" w:cs="Arial" w:hint="eastAsia"/>
          <w:color w:val="333333"/>
          <w:kern w:val="0"/>
          <w:sz w:val="24"/>
          <w:szCs w:val="24"/>
        </w:rPr>
      </w:pPr>
      <w:r w:rsidRPr="004873F5">
        <w:rPr>
          <w:rFonts w:ascii="Calibri" w:eastAsia="仿宋" w:hAnsi="Calibri" w:cs="Calibri"/>
          <w:color w:val="333333"/>
          <w:kern w:val="0"/>
          <w:sz w:val="32"/>
          <w:szCs w:val="32"/>
        </w:rPr>
        <w:t> </w:t>
      </w:r>
    </w:p>
    <w:p w14:paraId="34869E99" w14:textId="77777777" w:rsidR="004873F5" w:rsidRPr="004873F5" w:rsidRDefault="004873F5" w:rsidP="004873F5">
      <w:pPr>
        <w:widowControl/>
        <w:spacing w:line="432" w:lineRule="auto"/>
        <w:ind w:right="640"/>
        <w:jc w:val="right"/>
        <w:rPr>
          <w:rFonts w:ascii="等线" w:eastAsia="等线" w:hAnsi="等线" w:cs="Arial" w:hint="eastAsia"/>
          <w:color w:val="333333"/>
          <w:kern w:val="0"/>
          <w:sz w:val="24"/>
          <w:szCs w:val="24"/>
        </w:rPr>
      </w:pPr>
      <w:r w:rsidRPr="004873F5">
        <w:rPr>
          <w:rFonts w:ascii="仿宋" w:eastAsia="仿宋" w:hAnsi="仿宋" w:cs="Arial" w:hint="eastAsia"/>
          <w:color w:val="333333"/>
          <w:kern w:val="0"/>
          <w:sz w:val="32"/>
          <w:szCs w:val="32"/>
        </w:rPr>
        <w:t>沁水县环境保护局</w:t>
      </w:r>
    </w:p>
    <w:p w14:paraId="7F4941A5" w14:textId="2B7F11C6" w:rsidR="00E72F62" w:rsidRDefault="004873F5" w:rsidP="004873F5">
      <w:pPr>
        <w:ind w:right="640"/>
        <w:jc w:val="right"/>
      </w:pPr>
      <w:r w:rsidRPr="004873F5">
        <w:rPr>
          <w:rFonts w:ascii="仿宋" w:eastAsia="仿宋" w:hAnsi="仿宋" w:cs="宋体" w:hint="eastAsia"/>
          <w:kern w:val="0"/>
          <w:sz w:val="32"/>
          <w:szCs w:val="32"/>
        </w:rPr>
        <w:t>2019年2月22日</w:t>
      </w:r>
    </w:p>
    <w:sectPr w:rsidR="00E72F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F5"/>
    <w:rsid w:val="004873F5"/>
    <w:rsid w:val="00E72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8227"/>
  <w15:chartTrackingRefBased/>
  <w15:docId w15:val="{843AB7A1-FCA9-420D-8148-354E6BB2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3F5"/>
    <w:pPr>
      <w:widowControl/>
      <w:spacing w:before="100" w:beforeAutospacing="1" w:after="100" w:afterAutospacing="1" w:line="300" w:lineRule="atLeast"/>
      <w:jc w:val="left"/>
    </w:pPr>
    <w:rPr>
      <w:rFonts w:ascii="Arial" w:eastAsia="宋体" w:hAnsi="Arial" w:cs="Arial"/>
      <w:color w:val="33333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103807">
      <w:bodyDiv w:val="1"/>
      <w:marLeft w:val="0"/>
      <w:marRight w:val="0"/>
      <w:marTop w:val="0"/>
      <w:marBottom w:val="0"/>
      <w:divBdr>
        <w:top w:val="none" w:sz="0" w:space="0" w:color="auto"/>
        <w:left w:val="none" w:sz="0" w:space="0" w:color="auto"/>
        <w:bottom w:val="none" w:sz="0" w:space="0" w:color="auto"/>
        <w:right w:val="none" w:sz="0" w:space="0" w:color="auto"/>
      </w:divBdr>
      <w:divsChild>
        <w:div w:id="212561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2020-09-30T08:11:00Z</dcterms:created>
  <dcterms:modified xsi:type="dcterms:W3CDTF">2020-09-30T08:12:00Z</dcterms:modified>
</cp:coreProperties>
</file>