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沁水县交通运输局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pPr w:leftFromText="180" w:rightFromText="180" w:vertAnchor="text" w:tblpX="-177" w:tblpY="303"/>
        <w:tblOverlap w:val="never"/>
        <w:tblW w:w="8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rPr>
          <w:trHeight w:val="90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申请人（个人）信息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rPr>
          <w:trHeight w:val="557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证件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证件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rPr>
          <w:trHeight w:val="574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rPr>
          <w:trHeight w:val="602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组织机构代码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rPr>
          <w:trHeight w:val="719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法定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代表人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rPr>
          <w:trHeight w:val="731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通信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rPr>
          <w:trHeight w:val="476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邮政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编码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rPr>
          <w:trHeight w:val="524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rPr>
          <w:trHeight w:val="520" w:hRule="atLeast"/>
        </w:trPr>
        <w:tc>
          <w:tcPr>
            <w:tcW w:w="284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rPr>
          <w:trHeight w:val="535" w:hRule="atLeast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rPr>
          <w:trHeight w:val="2324" w:hRule="atLeast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rPr>
          <w:trHeight w:val="741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rPr>
          <w:trHeight w:val="606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rPr>
          <w:trHeight w:val="630" w:hRule="atLeast"/>
        </w:trPr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8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widowControl w:val="0"/>
        <w:wordWrap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widowControl w:val="0"/>
        <w:wordWrap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widowControl w:val="0"/>
        <w:wordWrap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3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  <w:rPr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Administrator</cp:lastModifiedBy>
  <dcterms:modified xsi:type="dcterms:W3CDTF">2022-03-02T03:46:15Z</dcterms:modified>
  <dc:title>沁水县交通运输局信息公开申请表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B36AE6BF99434FCFA170C88083920484</vt:lpwstr>
  </property>
</Properties>
</file>