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2"/>
          <w:sz w:val="144"/>
          <w:szCs w:val="84"/>
        </w:rPr>
        <w:t>沁水县能源局文件</w:t>
      </w:r>
    </w:p>
    <w:p>
      <w:pPr>
        <w:autoSpaceDN w:val="0"/>
        <w:spacing w:line="600" w:lineRule="exact"/>
        <w:ind w:firstLine="320" w:firstLineChars="100"/>
        <w:rPr>
          <w:rFonts w:hint="eastAsia" w:ascii="楷体" w:hAnsi="楷体" w:eastAsia="楷体"/>
        </w:rPr>
      </w:pPr>
      <w:bookmarkStart w:id="0" w:name="_GoBack"/>
      <w:bookmarkEnd w:id="0"/>
      <w:r>
        <w:rPr>
          <w:rFonts w:hint="eastAsia" w:ascii="仿宋_GB2312"/>
        </w:rPr>
        <w:t>沁能源字〔2021〕8号                签发人：</w:t>
      </w:r>
      <w:r>
        <w:rPr>
          <w:rFonts w:hint="eastAsia" w:ascii="楷体" w:hAnsi="楷体" w:eastAsia="楷体"/>
        </w:rPr>
        <w:t>王振宏</w:t>
      </w:r>
    </w:p>
    <w:p>
      <w:pPr>
        <w:tabs>
          <w:tab w:val="center" w:pos="4365"/>
        </w:tabs>
        <w:spacing w:line="240" w:lineRule="exact"/>
        <w:rPr>
          <w:rFonts w:hint="eastAsia" w:ascii="Calibri" w:cs="Calibri"/>
          <w:sz w:val="32"/>
        </w:rPr>
      </w:pPr>
      <w:r>
        <w:rPr>
          <w:rFonts w:hint="eastAsia" w:ascii="Calibri"/>
          <w:sz w:val="21"/>
        </w:rPr>
        <w:pict>
          <v:line id="直接连接符 2" o:spid="_x0000_s5124" o:spt="20" style="position:absolute;left:0pt;margin-left:-5.25pt;margin-top:6.9pt;height:0pt;width:442.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">
            <v:path arrowok="t"/>
            <v:fill focussize="0,0"/>
            <v:stroke weight="2.5pt" color="#FF0000"/>
            <v:imagedata o:title=""/>
            <o:lock v:ext="edit"/>
          </v:line>
        </w:pict>
      </w:r>
    </w:p>
    <w:p>
      <w:pPr>
        <w:pStyle w:val="2"/>
        <w:ind w:left="0" w:leftChars="0" w:firstLine="0" w:firstLineChars="0"/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Style w:val="14"/>
          <w:rFonts w:ascii="方正小标宋简体" w:hAnsi="华文中宋" w:eastAsia="方正小标宋简体"/>
          <w:sz w:val="44"/>
          <w:szCs w:val="44"/>
        </w:rPr>
      </w:pPr>
      <w:r>
        <w:rPr>
          <w:rStyle w:val="14"/>
          <w:rFonts w:hint="eastAsia" w:ascii="方正小标宋简体" w:hAnsi="华文中宋" w:eastAsia="方正小标宋简体"/>
          <w:sz w:val="44"/>
          <w:szCs w:val="44"/>
        </w:rPr>
        <w:t>沁水县能源局</w:t>
      </w:r>
    </w:p>
    <w:p>
      <w:pPr>
        <w:spacing w:line="640" w:lineRule="exact"/>
        <w:jc w:val="center"/>
        <w:rPr>
          <w:rStyle w:val="14"/>
          <w:rFonts w:ascii="方正小标宋简体" w:hAnsi="华文中宋" w:eastAsia="方正小标宋简体"/>
          <w:sz w:val="44"/>
          <w:szCs w:val="44"/>
        </w:rPr>
      </w:pPr>
      <w:r>
        <w:rPr>
          <w:rStyle w:val="14"/>
          <w:rFonts w:hint="eastAsia" w:ascii="方正小标宋简体" w:hAnsi="华文中宋" w:eastAsia="方正小标宋简体"/>
          <w:sz w:val="44"/>
          <w:szCs w:val="44"/>
        </w:rPr>
        <w:t>关于全县煤矿智能化建设进展情况的报告</w:t>
      </w:r>
    </w:p>
    <w:p>
      <w:pPr>
        <w:spacing w:line="500" w:lineRule="exact"/>
        <w:jc w:val="center"/>
        <w:rPr>
          <w:rStyle w:val="14"/>
          <w:rFonts w:ascii="方正小标宋_GBK" w:hAnsi="华文中宋" w:eastAsia="方正小标宋_GBK"/>
          <w:sz w:val="44"/>
          <w:szCs w:val="44"/>
        </w:rPr>
      </w:pPr>
    </w:p>
    <w:p>
      <w:pPr>
        <w:widowControl w:val="0"/>
        <w:spacing w:line="590" w:lineRule="exact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晋城市能源局：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Times New Roman" w:eastAsia="仿宋_GB2312"/>
          <w:sz w:val="32"/>
        </w:rPr>
      </w:pPr>
      <w:r>
        <w:rPr>
          <w:rStyle w:val="14"/>
          <w:rFonts w:hint="eastAsia" w:ascii="仿宋_GB2312" w:hAnsi="Times New Roman" w:eastAsia="仿宋_GB2312"/>
          <w:sz w:val="32"/>
        </w:rPr>
        <w:t>按照</w:t>
      </w:r>
      <w:r>
        <w:rPr>
          <w:rStyle w:val="14"/>
          <w:rFonts w:hint="eastAsia" w:ascii="仿宋_GB2312" w:hAnsi="仿宋" w:eastAsia="仿宋_GB2312"/>
          <w:sz w:val="32"/>
        </w:rPr>
        <w:t>省、市煤矿智能化建设现场推进会精神和有关文件要求，我县先后下发了《沁水县2021年深入推进煤矿智能化建设工作方案》（沁政办函〔2021〕1号）和《关于加快推进煤矿智能化建设工作的通知》（沁能源发〔2021〕19号），并于3月4日召开2021年沁水县煤矿智能化建设工作推进会。市能源局于3月31日对我县煤矿智能化建设工作召开督导会议，进一步加快全县煤矿智能化建设工作。</w:t>
      </w:r>
    </w:p>
    <w:p>
      <w:pPr>
        <w:widowControl w:val="0"/>
        <w:numPr>
          <w:ilvl w:val="0"/>
          <w:numId w:val="1"/>
        </w:numPr>
        <w:tabs>
          <w:tab w:val="left" w:pos="622"/>
        </w:tabs>
        <w:spacing w:line="590" w:lineRule="exact"/>
        <w:ind w:firstLine="640" w:firstLineChars="200"/>
        <w:rPr>
          <w:rStyle w:val="14"/>
          <w:rFonts w:ascii="黑体" w:hAnsi="黑体" w:eastAsia="黑体"/>
          <w:sz w:val="32"/>
        </w:rPr>
      </w:pPr>
      <w:r>
        <w:rPr>
          <w:rStyle w:val="14"/>
          <w:rFonts w:hint="eastAsia" w:ascii="黑体" w:hAnsi="黑体" w:eastAsia="黑体"/>
          <w:sz w:val="32"/>
        </w:rPr>
        <w:t>目标任务</w:t>
      </w:r>
      <w:r>
        <w:rPr>
          <w:rStyle w:val="14"/>
          <w:rFonts w:hint="eastAsia" w:ascii="黑体" w:hAnsi="黑体" w:eastAsia="黑体"/>
          <w:sz w:val="32"/>
        </w:rPr>
        <w:tab/>
      </w:r>
    </w:p>
    <w:p>
      <w:pPr>
        <w:widowControl w:val="0"/>
        <w:tabs>
          <w:tab w:val="left" w:pos="622"/>
        </w:tabs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2021年我县建设34个智能化采掘工作面，其中县级监管煤矿智能化建设目标任务21个，市级监管煤矿智能化建设目标任务13个。包括智能化综采工作面10个，智能化掘进工作面24个。</w:t>
      </w:r>
    </w:p>
    <w:p>
      <w:pPr>
        <w:widowControl w:val="0"/>
        <w:numPr>
          <w:ilvl w:val="0"/>
          <w:numId w:val="1"/>
        </w:numPr>
        <w:tabs>
          <w:tab w:val="left" w:pos="622"/>
        </w:tabs>
        <w:spacing w:line="590" w:lineRule="exact"/>
        <w:ind w:firstLine="640" w:firstLineChars="200"/>
        <w:rPr>
          <w:rStyle w:val="14"/>
          <w:rFonts w:ascii="黑体" w:hAnsi="黑体" w:eastAsia="黑体"/>
          <w:sz w:val="32"/>
        </w:rPr>
      </w:pPr>
      <w:r>
        <w:rPr>
          <w:rStyle w:val="14"/>
          <w:rFonts w:hint="eastAsia" w:ascii="黑体" w:hAnsi="黑体" w:eastAsia="黑体"/>
          <w:sz w:val="32"/>
        </w:rPr>
        <w:t>进展情况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经各煤矿向主体企业申报，县政府及能源等部门积极督促，全县煤矿智能化建设正在加快推进。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1、沁和公司建设2个智能化综采工作面和8个掘进智能化工作面。</w:t>
      </w:r>
      <w:r>
        <w:rPr>
          <w:rStyle w:val="14"/>
          <w:rFonts w:hint="eastAsia" w:ascii="仿宋_GB2312" w:hAnsi="仿宋" w:eastAsia="仿宋_GB2312"/>
          <w:sz w:val="32"/>
        </w:rPr>
        <w:t>其中端氏煤矿建设1个智能化综采工作面和2个智能化掘进工作面，已完成智能化综采工作面方案设计、设备订购，正在编制智能化掘进工作面设计方案；其余1个智能化综采工作面和6个智能化掘进工作面，正在开展市场调研、方案比选和规划设计工作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楷体_GB2312" w:hAnsi="楷体" w:eastAsia="楷体_GB2312" w:cs="楷体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2、焦煤集团鹿台山煤业建设1个智能化掘进工作面。正在开展市场调研、方案比选等工作。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3、兰花科创玉溪煤矿建设1个智能化综采工作面和1个智能化掘进工作面。</w:t>
      </w:r>
      <w:r>
        <w:rPr>
          <w:rStyle w:val="14"/>
          <w:rFonts w:hint="eastAsia" w:ascii="仿宋_GB2312" w:hAnsi="仿宋" w:eastAsia="仿宋_GB2312"/>
          <w:sz w:val="32"/>
        </w:rPr>
        <w:t>已完成智能化综采工作面升级改造，进入试运行阶段；智能化掘进工作面已完成设计方案报主体企业。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4、中煤华利平山煤业建设1个智能化综采工作面和1个智能化掘进工作面。</w:t>
      </w:r>
      <w:r>
        <w:rPr>
          <w:rStyle w:val="14"/>
          <w:rFonts w:hint="eastAsia" w:ascii="仿宋_GB2312" w:hAnsi="仿宋" w:eastAsia="仿宋_GB2312"/>
          <w:sz w:val="32"/>
        </w:rPr>
        <w:t>委托相关单位编制建设方案及预算，其中智能化掘进工作面建设方案已报主体企业审查。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5、中煤华晋里必煤矿建设1个智能化掘进工作面。</w:t>
      </w:r>
      <w:r>
        <w:rPr>
          <w:rStyle w:val="14"/>
          <w:rFonts w:hint="eastAsia" w:ascii="仿宋_GB2312" w:hAnsi="仿宋" w:eastAsia="仿宋_GB2312"/>
          <w:sz w:val="32"/>
        </w:rPr>
        <w:t>该矿为建设矿井，现处于矿建二期阶段，待形成掘进工作面后，同步建成智能化掘进工作面。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楷体" w:eastAsia="楷体_GB2312" w:cs="楷体"/>
          <w:sz w:val="32"/>
        </w:rPr>
        <w:t>6、晋能控股集团建设6个智能化综采工作面和12个掘进工作面。</w:t>
      </w:r>
      <w:r>
        <w:rPr>
          <w:rStyle w:val="14"/>
          <w:rFonts w:hint="eastAsia" w:ascii="仿宋_GB2312" w:hAnsi="仿宋" w:eastAsia="仿宋_GB2312"/>
          <w:sz w:val="32"/>
        </w:rPr>
        <w:t>其中，</w:t>
      </w:r>
      <w:r>
        <w:rPr>
          <w:rStyle w:val="14"/>
          <w:rFonts w:hint="eastAsia" w:ascii="仿宋_GB2312" w:hAnsi="仿宋" w:eastAsia="仿宋_GB2312"/>
          <w:b/>
          <w:bCs/>
          <w:sz w:val="32"/>
        </w:rPr>
        <w:t>寺河煤矿</w:t>
      </w:r>
      <w:r>
        <w:rPr>
          <w:rStyle w:val="14"/>
          <w:rFonts w:hint="eastAsia" w:ascii="仿宋_GB2312" w:hAnsi="仿宋" w:eastAsia="仿宋_GB2312"/>
          <w:sz w:val="32"/>
        </w:rPr>
        <w:t>建设4个智能化综采工作面和4个智能化掘进工作面，已完成方案编制、协议签订，正在有序推进。</w:t>
      </w:r>
      <w:r>
        <w:rPr>
          <w:rStyle w:val="14"/>
          <w:rFonts w:hint="eastAsia" w:ascii="仿宋_GB2312" w:hAnsi="仿宋" w:eastAsia="仿宋_GB2312"/>
          <w:b/>
          <w:bCs/>
          <w:sz w:val="32"/>
        </w:rPr>
        <w:t>亿欣</w:t>
      </w:r>
      <w:r>
        <w:rPr>
          <w:rStyle w:val="14"/>
          <w:rFonts w:hint="eastAsia" w:ascii="仿宋_GB2312" w:hAnsi="仿宋" w:eastAsia="仿宋_GB2312"/>
          <w:b/>
          <w:sz w:val="32"/>
        </w:rPr>
        <w:t>煤业</w:t>
      </w:r>
      <w:r>
        <w:rPr>
          <w:rStyle w:val="14"/>
          <w:rFonts w:hint="eastAsia" w:ascii="仿宋_GB2312" w:hAnsi="仿宋" w:eastAsia="仿宋_GB2312"/>
          <w:sz w:val="32"/>
        </w:rPr>
        <w:t>建设2个智能化综采工作面和4个智能化掘进工作面，其中2个智能化综采工作面已与厂家签订设备技术协议。</w:t>
      </w:r>
      <w:r>
        <w:rPr>
          <w:rStyle w:val="14"/>
          <w:rFonts w:hint="eastAsia" w:ascii="仿宋_GB2312" w:hAnsi="仿宋" w:eastAsia="仿宋_GB2312"/>
          <w:b/>
          <w:bCs/>
          <w:sz w:val="32"/>
        </w:rPr>
        <w:t>胡底煤业</w:t>
      </w:r>
      <w:r>
        <w:rPr>
          <w:rStyle w:val="14"/>
          <w:rFonts w:hint="eastAsia" w:ascii="仿宋_GB2312" w:hAnsi="仿宋" w:eastAsia="仿宋_GB2312"/>
          <w:sz w:val="32"/>
        </w:rPr>
        <w:t>建设2个智能化掘进工作面，其中1个智能化掘进工作面正在对掘进机进行改造。</w:t>
      </w:r>
      <w:r>
        <w:rPr>
          <w:rStyle w:val="14"/>
          <w:rFonts w:hint="eastAsia" w:ascii="仿宋_GB2312" w:hAnsi="仿宋" w:eastAsia="仿宋_GB2312"/>
          <w:b/>
          <w:bCs/>
          <w:sz w:val="32"/>
        </w:rPr>
        <w:t>三沟鑫都煤业、松峪煤业</w:t>
      </w:r>
      <w:r>
        <w:rPr>
          <w:rStyle w:val="14"/>
          <w:rFonts w:hint="eastAsia" w:ascii="仿宋_GB2312" w:hAnsi="仿宋" w:eastAsia="仿宋_GB2312"/>
          <w:sz w:val="32"/>
        </w:rPr>
        <w:t>各建设1个智能化采掘工作面，目前正在开展市场调研、方案比选等工作。</w:t>
      </w:r>
    </w:p>
    <w:p>
      <w:pPr>
        <w:widowControl w:val="0"/>
        <w:numPr>
          <w:ilvl w:val="0"/>
          <w:numId w:val="1"/>
        </w:numPr>
        <w:tabs>
          <w:tab w:val="left" w:pos="622"/>
        </w:tabs>
        <w:spacing w:line="590" w:lineRule="exact"/>
        <w:ind w:firstLine="640" w:firstLineChars="200"/>
        <w:rPr>
          <w:rStyle w:val="14"/>
          <w:rFonts w:ascii="黑体" w:hAnsi="黑体" w:eastAsia="黑体"/>
          <w:sz w:val="32"/>
        </w:rPr>
      </w:pPr>
      <w:r>
        <w:rPr>
          <w:rStyle w:val="14"/>
          <w:rFonts w:hint="eastAsia" w:ascii="黑体" w:hAnsi="黑体" w:eastAsia="黑体"/>
          <w:sz w:val="32"/>
        </w:rPr>
        <w:t>存在问题</w:t>
      </w:r>
      <w:r>
        <w:rPr>
          <w:rStyle w:val="14"/>
          <w:rFonts w:hint="eastAsia" w:ascii="黑体" w:hAnsi="黑体" w:eastAsia="黑体"/>
          <w:sz w:val="32"/>
        </w:rPr>
        <w:tab/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仿宋" w:eastAsia="楷体_GB2312"/>
          <w:sz w:val="32"/>
        </w:rPr>
        <w:t>1、部分煤矿实施智能化建设较为困难。</w:t>
      </w:r>
      <w:r>
        <w:rPr>
          <w:rStyle w:val="14"/>
          <w:rFonts w:hint="eastAsia" w:ascii="仿宋_GB2312" w:hAnsi="仿宋" w:eastAsia="仿宋_GB2312"/>
          <w:sz w:val="32"/>
        </w:rPr>
        <w:t>如沁和公司永安、南凹寺煤矿为复采矿井、采空区多，九鑫煤业断层和构造多，煤层厚度不稳定。3矿实施智能化建设工作难度较大。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2041" w:right="1588" w:bottom="1701" w:left="1588" w:header="851" w:footer="992" w:gutter="0"/>
          <w:pgNumType w:fmt="numberInDash"/>
          <w:cols w:space="425" w:num="1"/>
          <w:titlePg/>
          <w:docGrid w:type="lines" w:linePitch="435" w:charSpace="0"/>
        </w:sectPr>
      </w:pPr>
      <w:r>
        <w:rPr>
          <w:rStyle w:val="14"/>
          <w:rFonts w:hint="eastAsia" w:ascii="楷体_GB2312" w:hAnsi="仿宋" w:eastAsia="楷体_GB2312"/>
          <w:sz w:val="32"/>
        </w:rPr>
        <w:t>2、7个智能化掘进工作面项目未得到主体企业批复。</w:t>
      </w:r>
      <w:r>
        <w:rPr>
          <w:rStyle w:val="14"/>
          <w:rFonts w:hint="eastAsia" w:ascii="仿宋_GB2312" w:hAnsi="仿宋" w:eastAsia="仿宋_GB2312"/>
          <w:sz w:val="32"/>
        </w:rPr>
        <w:t>具体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为晋能控股集团下属亿欣煤业4个智能化掘进工作面、三沟鑫都煤业1个智能化掘进工作面、松峪煤业1个智能化掘进工作面、胡底煤业1个智能化掘进工作面。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楷体_GB2312" w:hAnsi="仿宋" w:eastAsia="楷体_GB2312"/>
          <w:sz w:val="32"/>
        </w:rPr>
        <w:t>3、部分煤矿目前还未完成智能化项目立项手续。</w:t>
      </w:r>
      <w:r>
        <w:rPr>
          <w:rStyle w:val="14"/>
          <w:rFonts w:hint="eastAsia" w:ascii="仿宋_GB2312" w:hAnsi="仿宋" w:eastAsia="仿宋_GB2312"/>
          <w:sz w:val="32"/>
        </w:rPr>
        <w:t>主要是寺河、平山、玉溪、里必4矿。</w:t>
      </w:r>
    </w:p>
    <w:p>
      <w:pPr>
        <w:widowControl w:val="0"/>
        <w:numPr>
          <w:ilvl w:val="0"/>
          <w:numId w:val="1"/>
        </w:numPr>
        <w:tabs>
          <w:tab w:val="left" w:pos="622"/>
        </w:tabs>
        <w:spacing w:line="590" w:lineRule="exact"/>
        <w:ind w:firstLine="640" w:firstLineChars="200"/>
        <w:rPr>
          <w:rStyle w:val="14"/>
          <w:rFonts w:ascii="黑体" w:hAnsi="黑体" w:eastAsia="黑体"/>
          <w:sz w:val="32"/>
        </w:rPr>
      </w:pPr>
      <w:r>
        <w:rPr>
          <w:rStyle w:val="14"/>
          <w:rFonts w:hint="eastAsia" w:ascii="黑体" w:hAnsi="黑体" w:eastAsia="黑体"/>
          <w:sz w:val="32"/>
        </w:rPr>
        <w:t>有关建议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1、针对永安、南凹寺、九鑫3矿实施智能化建设工作困难较大，建议暂缓实施煤矿智能化采掘工作面项目。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2、恳请上级能源部门协调晋能控股集团，尽快对其下属4矿7个智能化掘进工作面项目批复建设。</w:t>
      </w:r>
    </w:p>
    <w:p>
      <w:pPr>
        <w:widowControl w:val="0"/>
        <w:spacing w:line="59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3、允许主体企业内部调整目标任务。根据沁和公司申请，其计划先行建设2个智能化综采工作面和6个智能化综掘工作面。具体为：端氏1采2掘、候村2掘、中村1掘、永红1采（2022年底前完成）1掘。</w:t>
      </w:r>
    </w:p>
    <w:p>
      <w:pPr>
        <w:pStyle w:val="13"/>
        <w:widowControl w:val="0"/>
        <w:ind w:firstLine="482"/>
        <w:rPr>
          <w:rStyle w:val="14"/>
          <w:rFonts w:ascii="仿宋_GB2312" w:hAnsi="仿宋" w:eastAsia="仿宋_GB2312"/>
          <w:sz w:val="32"/>
          <w:szCs w:val="32"/>
        </w:rPr>
      </w:pPr>
    </w:p>
    <w:p>
      <w:pPr>
        <w:pStyle w:val="13"/>
        <w:widowControl w:val="0"/>
        <w:spacing w:line="600" w:lineRule="exact"/>
        <w:rPr>
          <w:rFonts w:ascii="仿宋_GB2312"/>
        </w:rPr>
      </w:pPr>
      <w:r>
        <w:rPr>
          <w:rStyle w:val="14"/>
          <w:rFonts w:hint="eastAsia" w:ascii="仿宋_GB2312" w:hAnsi="仿宋" w:eastAsia="仿宋_GB2312"/>
          <w:sz w:val="32"/>
          <w:szCs w:val="32"/>
        </w:rPr>
        <w:t>附件：沁和发</w:t>
      </w:r>
      <w:r>
        <w:rPr>
          <w:rFonts w:hint="eastAsia" w:ascii="仿宋_GB2312"/>
          <w:sz w:val="32"/>
          <w:szCs w:val="32"/>
        </w:rPr>
        <w:t>〔2021〕</w:t>
      </w:r>
      <w:r>
        <w:rPr>
          <w:rStyle w:val="14"/>
          <w:rFonts w:hint="eastAsia" w:ascii="仿宋_GB2312" w:hAnsi="仿宋" w:eastAsia="仿宋_GB2312"/>
          <w:sz w:val="32"/>
          <w:szCs w:val="32"/>
        </w:rPr>
        <w:t>123号</w:t>
      </w:r>
    </w:p>
    <w:p>
      <w:pPr>
        <w:widowControl w:val="0"/>
        <w:spacing w:line="60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</w:p>
    <w:p>
      <w:pPr>
        <w:spacing w:line="60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 xml:space="preserve">                             沁水县能源局</w:t>
      </w:r>
    </w:p>
    <w:p>
      <w:pPr>
        <w:spacing w:line="600" w:lineRule="exact"/>
        <w:ind w:firstLine="640" w:firstLineChars="200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 xml:space="preserve">                            2021年4月6日</w:t>
      </w:r>
    </w:p>
    <w:p>
      <w:pPr>
        <w:pStyle w:val="13"/>
        <w:ind w:firstLine="0"/>
      </w:pPr>
    </w:p>
    <w:p>
      <w:pPr>
        <w:spacing w:line="600" w:lineRule="exact"/>
        <w:ind w:right="329"/>
        <w:rPr>
          <w:rFonts w:ascii="黑体" w:eastAsia="黑体"/>
          <w:sz w:val="30"/>
          <w:szCs w:val="30"/>
        </w:rPr>
      </w:pPr>
      <w:r>
        <w:rPr>
          <w:rFonts w:ascii="宋体"/>
          <w:sz w:val="20"/>
          <w:szCs w:val="20"/>
        </w:rPr>
        <w:pict>
          <v:line id="直接连接符 10" o:spid="_x0000_s5122" o:spt="20" style="position:absolute;left:0pt;margin-left:-3.75pt;margin-top:26.25pt;height:0pt;width:432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600" w:lineRule="exact"/>
        <w:rPr>
          <w:rFonts w:ascii="仿宋_GB2312" w:hAnsi="仿宋_GB2312" w:cs="仿宋_GB2312"/>
        </w:rPr>
      </w:pPr>
      <w:r>
        <w:rPr>
          <w:rFonts w:ascii="宋体" w:hAnsi="微软雅黑"/>
          <w:sz w:val="20"/>
          <w:szCs w:val="20"/>
        </w:rPr>
        <w:pict>
          <v:line id="直接连接符 9" o:spid="_x0000_s5123" o:spt="20" style="position:absolute;left:0pt;margin-left:-3.75pt;margin-top:35.05pt;height:0pt;width:43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ZELQ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/>
        </w:rPr>
        <w:t xml:space="preserve">  沁水县能源局</w:t>
      </w:r>
      <w:r>
        <w:rPr>
          <w:rFonts w:hint="eastAsia" w:ascii="仿宋_GB2312"/>
          <w:sz w:val="30"/>
          <w:szCs w:val="30"/>
        </w:rPr>
        <w:t xml:space="preserve">                      2021年4月6日印发</w:t>
      </w:r>
    </w:p>
    <w:sectPr>
      <w:pgSz w:w="11906" w:h="16838"/>
      <w:pgMar w:top="2041" w:right="1588" w:bottom="1701" w:left="1588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48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903484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8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3C86"/>
    <w:multiLevelType w:val="singleLevel"/>
    <w:tmpl w:val="17CE3C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41753"/>
    <w:rsid w:val="00032D44"/>
    <w:rsid w:val="00152B48"/>
    <w:rsid w:val="001A0F34"/>
    <w:rsid w:val="00255953"/>
    <w:rsid w:val="00457C1A"/>
    <w:rsid w:val="004962C4"/>
    <w:rsid w:val="005874E7"/>
    <w:rsid w:val="00864494"/>
    <w:rsid w:val="00867BD0"/>
    <w:rsid w:val="009E1CDF"/>
    <w:rsid w:val="009F7EE4"/>
    <w:rsid w:val="00B41753"/>
    <w:rsid w:val="00B76E8A"/>
    <w:rsid w:val="00C15065"/>
    <w:rsid w:val="00DF4E00"/>
    <w:rsid w:val="00F177D5"/>
    <w:rsid w:val="02175947"/>
    <w:rsid w:val="03DC1DD2"/>
    <w:rsid w:val="058F0631"/>
    <w:rsid w:val="06A13E28"/>
    <w:rsid w:val="073A686F"/>
    <w:rsid w:val="098F59D1"/>
    <w:rsid w:val="09A13CF4"/>
    <w:rsid w:val="0CA117CA"/>
    <w:rsid w:val="0EA175E2"/>
    <w:rsid w:val="0F647CF5"/>
    <w:rsid w:val="103F60D9"/>
    <w:rsid w:val="10553EC7"/>
    <w:rsid w:val="128975E5"/>
    <w:rsid w:val="1526758F"/>
    <w:rsid w:val="1D635005"/>
    <w:rsid w:val="23D419DC"/>
    <w:rsid w:val="298A71C7"/>
    <w:rsid w:val="2BCD67E7"/>
    <w:rsid w:val="2C1736CE"/>
    <w:rsid w:val="2DAF2D73"/>
    <w:rsid w:val="2EC63E8E"/>
    <w:rsid w:val="2EE371E0"/>
    <w:rsid w:val="31DA589A"/>
    <w:rsid w:val="33685722"/>
    <w:rsid w:val="337523A8"/>
    <w:rsid w:val="366012B9"/>
    <w:rsid w:val="36B4113E"/>
    <w:rsid w:val="370E63A9"/>
    <w:rsid w:val="39AB148B"/>
    <w:rsid w:val="3CE00C13"/>
    <w:rsid w:val="3F0E67F7"/>
    <w:rsid w:val="42084347"/>
    <w:rsid w:val="422C6D72"/>
    <w:rsid w:val="422F0366"/>
    <w:rsid w:val="42450D66"/>
    <w:rsid w:val="491E4888"/>
    <w:rsid w:val="49257940"/>
    <w:rsid w:val="49660DC5"/>
    <w:rsid w:val="4ED05B21"/>
    <w:rsid w:val="4FF71E9D"/>
    <w:rsid w:val="55A66808"/>
    <w:rsid w:val="560F4646"/>
    <w:rsid w:val="573E2733"/>
    <w:rsid w:val="59AB59F9"/>
    <w:rsid w:val="5C251866"/>
    <w:rsid w:val="5D23298D"/>
    <w:rsid w:val="5D7118BC"/>
    <w:rsid w:val="65AB45A8"/>
    <w:rsid w:val="66091AEA"/>
    <w:rsid w:val="67C0630E"/>
    <w:rsid w:val="6843388F"/>
    <w:rsid w:val="68F36BC4"/>
    <w:rsid w:val="69890943"/>
    <w:rsid w:val="6B6E08AB"/>
    <w:rsid w:val="6B8A7CB3"/>
    <w:rsid w:val="6DEC5BD8"/>
    <w:rsid w:val="6E7C098B"/>
    <w:rsid w:val="6FE11F0F"/>
    <w:rsid w:val="71E156D2"/>
    <w:rsid w:val="74BE42AA"/>
    <w:rsid w:val="763A677C"/>
    <w:rsid w:val="79490F16"/>
    <w:rsid w:val="7B0E34E3"/>
    <w:rsid w:val="7D4B0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widowControl w:val="0"/>
      <w:ind w:left="20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3">
    <w:name w:val="正文文本缩进1"/>
    <w:qFormat/>
    <w:uiPriority w:val="0"/>
    <w:pPr>
      <w:widowControl w:val="0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next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32"/>
      <w:lang w:val="en-US" w:eastAsia="zh-CN" w:bidi="ar-SA"/>
    </w:r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eastAsia="宋体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paragraph" w:customStyle="1" w:styleId="13">
    <w:name w:val="样式 宋体 四号 首行缩进:  0.85 厘米 行距: 固定值 25 磅"/>
    <w:basedOn w:val="1"/>
    <w:qFormat/>
    <w:uiPriority w:val="0"/>
    <w:pPr>
      <w:spacing w:line="500" w:lineRule="exact"/>
      <w:ind w:firstLine="480"/>
    </w:pPr>
    <w:rPr>
      <w:rFonts w:ascii="宋体" w:cs="宋体"/>
      <w:sz w:val="28"/>
      <w:szCs w:val="28"/>
    </w:rPr>
  </w:style>
  <w:style w:type="character" w:customStyle="1" w:styleId="14">
    <w:name w:val="NormalCharacter"/>
    <w:link w:val="15"/>
    <w:qFormat/>
    <w:uiPriority w:val="0"/>
    <w:rPr>
      <w:rFonts w:ascii="宋体" w:hAnsi="宋体" w:eastAsia="宋体"/>
      <w:sz w:val="24"/>
    </w:rPr>
  </w:style>
  <w:style w:type="paragraph" w:customStyle="1" w:styleId="15">
    <w:name w:val="UserStyle_0"/>
    <w:basedOn w:val="1"/>
    <w:next w:val="1"/>
    <w:link w:val="14"/>
    <w:qFormat/>
    <w:uiPriority w:val="0"/>
    <w:rPr>
      <w:rFonts w:ascii="宋体" w:hAnsi="宋体" w:eastAsia="宋体"/>
      <w:sz w:val="24"/>
    </w:rPr>
  </w:style>
  <w:style w:type="table" w:customStyle="1" w:styleId="16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PageNumber"/>
    <w:basedOn w:val="14"/>
    <w:qFormat/>
    <w:uiPriority w:val="0"/>
    <w:rPr>
      <w:rFonts w:ascii="Times New Roman" w:hAnsi="Times New Roman" w:eastAsia="宋体"/>
      <w:sz w:val="24"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19">
    <w:name w:val="Acetate"/>
    <w:basedOn w:val="1"/>
    <w:qFormat/>
    <w:uiPriority w:val="0"/>
    <w:rPr>
      <w:rFonts w:eastAsia="宋体"/>
      <w:sz w:val="18"/>
      <w:szCs w:val="18"/>
    </w:rPr>
  </w:style>
  <w:style w:type="paragraph" w:customStyle="1" w:styleId="20">
    <w:name w:val="UserStyle_1"/>
    <w:basedOn w:val="1"/>
    <w:qFormat/>
    <w:uiPriority w:val="0"/>
    <w:pPr>
      <w:tabs>
        <w:tab w:val="right" w:leader="middleDot" w:pos="360"/>
      </w:tabs>
    </w:pPr>
    <w:rPr>
      <w:rFonts w:eastAsia="黑体"/>
      <w:sz w:val="28"/>
      <w:szCs w:val="24"/>
    </w:rPr>
  </w:style>
  <w:style w:type="character" w:customStyle="1" w:styleId="21">
    <w:name w:val="页脚 Char"/>
    <w:basedOn w:val="12"/>
    <w:link w:val="8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5124"/>
    <customShpInfo spid="_x0000_s5122"/>
    <customShpInfo spid="_x0000_s512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238</Words>
  <Characters>1357</Characters>
  <Lines>11</Lines>
  <Paragraphs>3</Paragraphs>
  <TotalTime>3</TotalTime>
  <ScaleCrop>false</ScaleCrop>
  <LinksUpToDate>false</LinksUpToDate>
  <CharactersWithSpaces>1592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Administrator</dc:creator>
  <cp:lastModifiedBy>Administrator</cp:lastModifiedBy>
  <cp:lastPrinted>2021-04-06T03:47:00Z</cp:lastPrinted>
  <dcterms:modified xsi:type="dcterms:W3CDTF">2021-04-30T03:53:25Z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1A62709B91E7432CA74AEFE7D5AA1919</vt:lpwstr>
  </property>
</Properties>
</file>