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工伤认定申请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一次性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申请人: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1405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日你(单位)向我局提出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工伤认定申请，根据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《工伤保险条例》和《工伤认定办法》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以及相关规定，现将有关事项告知如下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pacing w:val="0"/>
          <w:sz w:val="28"/>
          <w:szCs w:val="28"/>
        </w:rPr>
        <w:t>提出申请应提供以下材料: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(一)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用人单位营业执照、事业单位法人证书复印件；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(二)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受伤害职工的居民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身份证复印件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(三)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劳动合同（或聘用合同）文本复印件，或者劳动仲裁部门出具的劳动关系确认裁决书、人事关系的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其他证明材料。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(四)医疗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机构出具的受伤后医疗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诊断证明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或者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业病诊断证明书(或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业病诊断鉴定书)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二、属于下列情形的应提供相关的证明材料: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(一)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职工死亡的，提交死亡医学证明（推断）书；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在工作时间和工作场所内，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因履行工作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责受到暴力等意外伤害的，提交公安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部门的证明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或人民法院的判决书或其他有效证明;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因工外出期间，由于工作原因受到伤害的，提交公安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证明或者其他有效证明;发生事故下落不明的，认定因工死亡提交人民法院宣告死亡的结论;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上下班途中，受到非本人主要责任的交通事故或者城市轨道交通、客运轮渡、火车事故伤害的，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提交公安交通管理部门的交通事故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认定书或其他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证明及交通事故线路图;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)在工作时间和工作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位，突发疾病死亡或者在48小时之内经抢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救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无效死亡的，提交医疗机构的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医学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死亡证明或其他有效证明;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)在抢险救灾等维护国家利益、公共利益活动中受到伤害的，提交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民政部门或其他相关部门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有效证明;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)属于因战、因公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负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伤致残的转业、复员军人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旧伤复发的，提交《革命伤残军人证》及劳动能力鉴定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对旧伤复发的确认证明;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)近亲属为伤亡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工提出工伤认定申请的，应提交与伤亡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工存在近亲属关系的有效证明;其他人代理申请的应提供授权委托书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三、工伤认定申请时限：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(一)用人单位申报工伤的时效:自工伤事故发生之日起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之内;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</w:rPr>
        <w:t>(二)个人申报工伤的时效:自工伤事故发生之日起一年之内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 xml:space="preserve">报送地址:沁水县政务服务中心一楼115室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 xml:space="preserve">咨询电话:0356-3181509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5341" w:firstLineChars="19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28"/>
          <w:szCs w:val="28"/>
          <w:lang w:val="en-US" w:eastAsia="zh-CN"/>
        </w:rPr>
        <w:t>沁水县人力资源和社会保障局</w:t>
      </w:r>
    </w:p>
    <w:sectPr>
      <w:pgSz w:w="12240" w:h="15840"/>
      <w:pgMar w:top="1157" w:right="1417" w:bottom="1077" w:left="1417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57B81"/>
    <w:rsid w:val="0D965DD1"/>
    <w:rsid w:val="11F83840"/>
    <w:rsid w:val="128B780F"/>
    <w:rsid w:val="16991016"/>
    <w:rsid w:val="17444A62"/>
    <w:rsid w:val="1CF33A73"/>
    <w:rsid w:val="1E542FE4"/>
    <w:rsid w:val="1FCC48B3"/>
    <w:rsid w:val="21BA673D"/>
    <w:rsid w:val="3B871276"/>
    <w:rsid w:val="3BA55037"/>
    <w:rsid w:val="3E890EA7"/>
    <w:rsid w:val="450415F0"/>
    <w:rsid w:val="52B60C42"/>
    <w:rsid w:val="5E640DFC"/>
    <w:rsid w:val="61566557"/>
    <w:rsid w:val="6F5D23BC"/>
    <w:rsid w:val="70786864"/>
    <w:rsid w:val="BFFE8996"/>
    <w:rsid w:val="F7E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806</Words>
  <Characters>822</Characters>
  <Lines>0</Lines>
  <Paragraphs>0</Paragraphs>
  <TotalTime>44</TotalTime>
  <ScaleCrop>false</ScaleCrop>
  <LinksUpToDate>false</LinksUpToDate>
  <CharactersWithSpaces>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Lenovo</cp:lastModifiedBy>
  <cp:lastPrinted>2022-03-29T03:29:13Z</cp:lastPrinted>
  <dcterms:modified xsi:type="dcterms:W3CDTF">2022-03-29T03:32:17Z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6E76EA4130CE4C09872951AA92CF37FC</vt:lpwstr>
  </property>
</Properties>
</file>