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0D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0" w:afterAutospacing="0" w:line="560" w:lineRule="exact"/>
        <w:ind w:firstLine="931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  <w:t>沁水县召开药品、疫苗质量安全</w:t>
      </w:r>
    </w:p>
    <w:p w14:paraId="4C0DC6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1630" w:firstLineChars="35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  <w:t>突发事件应急桌面推演</w:t>
      </w:r>
    </w:p>
    <w:p w14:paraId="7B545C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加强药品、疫苗质量安全管理工作，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全面提升药品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、疫苗质量安全突发事件应急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处置能力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。10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沁水县人民政府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组织开展2024年药品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、疫苗质量安全突发事件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应急桌面推演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。县药安委成员单位分管领导、县乡医疗机构、部分药店负责人及药品监管人员约8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0余人参加了此次演练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。沁水县人民政府副县长于小丽亲临现场进行了观摩。</w:t>
      </w:r>
    </w:p>
    <w:p w14:paraId="14A44C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此次演练活动采用虚拟与现实相结合、视频播放与现场演练相结合、实际场景与画外解说相结合的方式，对药品的流通、使用各环节的追溯控制、患者救治、信息监测和新闻发布等过程开展模拟演练。</w:t>
      </w:r>
    </w:p>
    <w:p w14:paraId="320E8C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演练结束后，县应急局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党委委员 应急调度指挥中心主任李超同志，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对演练进行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了现场点评，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县市场监管局党组书记、局长崔东波同志对演练进行了总结，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县政府副县长于小丽同志对此次桌面推演，提出三点要求，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一是要提高思想认识，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树牢有备无患、常备不懈的思想，做好应对突发事件的思想准备、预案准备和机制准备；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二是要认真总结经验，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要以此次演练为契机，进一步拓宽工作思路，确保一旦发生事故，能够快速反应、有效组织、协同作战、高效运转，不断提高预防和处突的意识和能力；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三是要严肃开展工作，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牢固树立防范意识，压实监管责任，抓好药品、疫苗质量监督管理工作，扫除安全隐患，确保我县药品市场和疫苗安全形势持续稳定。</w:t>
      </w:r>
    </w:p>
    <w:p w14:paraId="0CCF10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此次应急桌面推演，有效的检验了沁水县处置药品、疫苗质量安全突发事件的应急指挥能力和协调作战能力，对进一步提高应对药品、疫苗质量安全突发事件的应急处置能力、维护社会经济稳定发展具有重要意义。（市场监督管理局张艳丽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DdhMmU3OGFjZTAyOTEzOWY1YjIxYTk5YWQzMDY0YmYifQ=="/>
  </w:docVars>
  <w:rsids>
    <w:rsidRoot w:val="00000000"/>
    <w:rsid w:val="273B3625"/>
    <w:rsid w:val="3F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1"/>
    <w:qFormat/>
    <w:uiPriority w:val="0"/>
    <w:pPr>
      <w:spacing w:before="100" w:beforeAutospacing="1" w:after="100" w:afterAutospacing="1" w:line="500" w:lineRule="exact"/>
      <w:jc w:val="left"/>
      <w:outlineLvl w:val="0"/>
    </w:pPr>
    <w:rPr>
      <w:rFonts w:ascii="宋体" w:hAnsi="宋体" w:eastAsia="宋体" w:cs="宋体"/>
      <w:b/>
      <w:kern w:val="44"/>
      <w:sz w:val="36"/>
      <w:szCs w:val="48"/>
    </w:rPr>
  </w:style>
  <w:style w:type="paragraph" w:styleId="6">
    <w:name w:val="heading 2"/>
    <w:basedOn w:val="1"/>
    <w:next w:val="1"/>
    <w:link w:val="12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7">
    <w:name w:val="heading 3"/>
    <w:basedOn w:val="1"/>
    <w:next w:val="1"/>
    <w:link w:val="13"/>
    <w:qFormat/>
    <w:uiPriority w:val="0"/>
    <w:pPr>
      <w:keepNext/>
      <w:keepLines/>
      <w:spacing w:before="140" w:beforeAutospacing="0" w:after="140" w:afterAutospacing="0" w:line="413" w:lineRule="auto"/>
      <w:outlineLvl w:val="2"/>
    </w:pPr>
    <w:rPr>
      <w:rFonts w:ascii="Calibri" w:hAnsi="Calibri" w:eastAsia="仿宋"/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customStyle="1" w:styleId="11">
    <w:name w:val="heading 1 Char"/>
    <w:basedOn w:val="10"/>
    <w:link w:val="5"/>
    <w:qFormat/>
    <w:uiPriority w:val="0"/>
    <w:rPr>
      <w:rFonts w:ascii="宋体" w:hAnsi="宋体" w:eastAsia="宋体" w:cs="宋体"/>
      <w:b/>
      <w:kern w:val="44"/>
      <w:sz w:val="36"/>
      <w:szCs w:val="48"/>
      <w:lang w:val="en-US" w:eastAsia="zh-CN" w:bidi="ar-SA"/>
    </w:rPr>
  </w:style>
  <w:style w:type="character" w:customStyle="1" w:styleId="12">
    <w:name w:val="heading 2 Char"/>
    <w:basedOn w:val="10"/>
    <w:link w:val="6"/>
    <w:qFormat/>
    <w:uiPriority w:val="0"/>
    <w:rPr>
      <w:rFonts w:ascii="Arial" w:hAnsi="Arial" w:eastAsia="楷体" w:cs="Arial"/>
      <w:b/>
      <w:kern w:val="2"/>
      <w:sz w:val="32"/>
      <w:szCs w:val="24"/>
      <w:lang w:val="en-US" w:eastAsia="zh-CN" w:bidi="ar-SA"/>
    </w:rPr>
  </w:style>
  <w:style w:type="character" w:customStyle="1" w:styleId="13">
    <w:name w:val="heading 3 Char"/>
    <w:basedOn w:val="10"/>
    <w:link w:val="7"/>
    <w:qFormat/>
    <w:uiPriority w:val="0"/>
    <w:rPr>
      <w:rFonts w:ascii="Calibri" w:hAnsi="Calibri" w:eastAsia="仿宋" w:cs="Arial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608C05E1-3CB0-445D-8761-1A5FCA01F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Kingsoft</Company>
  <Pages>2</Pages>
  <Words>661</Words>
  <Characters>667</Characters>
  <Lines>0</Lines>
  <Paragraphs>6</Paragraphs>
  <TotalTime>51</TotalTime>
  <ScaleCrop>false</ScaleCrop>
  <LinksUpToDate>false</LinksUpToDate>
  <CharactersWithSpaces>668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是尊贵的会员啊</cp:lastModifiedBy>
  <dcterms:modified xsi:type="dcterms:W3CDTF">2024-11-01T08:21:00Z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7DD9553E62655350B53D24673ED41DD3_43</vt:lpwstr>
  </property>
</Properties>
</file>