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kinsoku/>
        <w:wordWrap/>
        <w:overflowPunct/>
        <w:topLinePunct w:val="0"/>
        <w:bidi w:val="0"/>
        <w:spacing w:beforeAutospacing="0" w:line="600" w:lineRule="exact"/>
        <w:ind w:left="0" w:leftChars="0" w:firstLine="0" w:firstLineChars="0"/>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 xml:space="preserve"> </w:t>
      </w:r>
    </w:p>
    <w:p>
      <w:pPr>
        <w:pStyle w:val="7"/>
        <w:pageBreakBefore w:val="0"/>
        <w:kinsoku/>
        <w:wordWrap/>
        <w:overflowPunct/>
        <w:topLinePunct w:val="0"/>
        <w:bidi w:val="0"/>
        <w:spacing w:beforeAutospacing="0" w:line="600" w:lineRule="exact"/>
        <w:ind w:left="0" w:leftChars="0" w:firstLine="0" w:firstLineChars="0"/>
        <w:rPr>
          <w:rFonts w:ascii="方正小标宋简体" w:hAnsi="方正小标宋简体" w:eastAsia="方正小标宋简体" w:cs="方正小标宋简体"/>
          <w:kern w:val="0"/>
          <w:sz w:val="44"/>
          <w:szCs w:val="44"/>
          <w:lang w:val="zh-CN"/>
        </w:rPr>
      </w:pPr>
    </w:p>
    <w:p>
      <w:pPr>
        <w:pageBreakBefore w:val="0"/>
        <w:kinsoku/>
        <w:wordWrap/>
        <w:overflowPunct/>
        <w:topLinePunct w:val="0"/>
        <w:bidi w:val="0"/>
        <w:spacing w:beforeAutospacing="0" w:line="600" w:lineRule="exact"/>
        <w:ind w:left="0" w:leftChars="0"/>
        <w:jc w:val="center"/>
        <w:outlineLvl w:val="0"/>
        <w:rPr>
          <w:rFonts w:hint="eastAsia" w:ascii="方正小标宋简体" w:hAnsi="方正小标宋简体" w:eastAsia="方正小标宋简体" w:cs="方正小标宋简体"/>
          <w:b/>
          <w:bCs/>
          <w:kern w:val="0"/>
          <w:sz w:val="52"/>
          <w:szCs w:val="52"/>
          <w:lang w:val="zh-CN"/>
        </w:rPr>
      </w:pPr>
      <w:r>
        <w:rPr>
          <w:rFonts w:ascii="方正小标宋简体" w:hAnsi="方正小标宋简体" w:eastAsia="方正小标宋简体" w:cs="方正小标宋简体"/>
          <w:b/>
          <w:bCs/>
          <w:kern w:val="0"/>
          <w:sz w:val="52"/>
          <w:szCs w:val="52"/>
          <w:lang w:val="zh-CN"/>
        </w:rPr>
        <w:t>沁水县</w:t>
      </w:r>
      <w:r>
        <w:rPr>
          <w:rFonts w:hint="eastAsia" w:ascii="方正小标宋简体" w:hAnsi="方正小标宋简体" w:eastAsia="方正小标宋简体" w:cs="方正小标宋简体"/>
          <w:b/>
          <w:bCs/>
          <w:kern w:val="0"/>
          <w:sz w:val="52"/>
          <w:szCs w:val="52"/>
          <w:lang w:val="zh-CN"/>
        </w:rPr>
        <w:t>应急管理体系</w:t>
      </w:r>
    </w:p>
    <w:p>
      <w:pPr>
        <w:pStyle w:val="2"/>
        <w:rPr>
          <w:lang w:val="zh-CN"/>
        </w:rPr>
      </w:pPr>
    </w:p>
    <w:p>
      <w:pPr>
        <w:pageBreakBefore w:val="0"/>
        <w:kinsoku/>
        <w:wordWrap/>
        <w:overflowPunct/>
        <w:topLinePunct w:val="0"/>
        <w:bidi w:val="0"/>
        <w:spacing w:beforeAutospacing="0" w:line="600" w:lineRule="exact"/>
        <w:ind w:left="0" w:leftChars="0"/>
        <w:jc w:val="center"/>
        <w:outlineLvl w:val="0"/>
        <w:rPr>
          <w:rFonts w:ascii="方正小标宋简体" w:hAnsi="方正小标宋简体" w:eastAsia="方正小标宋简体" w:cs="方正小标宋简体"/>
          <w:b/>
          <w:bCs/>
          <w:kern w:val="0"/>
          <w:sz w:val="52"/>
          <w:szCs w:val="52"/>
          <w:lang w:val="zh-CN"/>
        </w:rPr>
      </w:pPr>
      <w:r>
        <w:rPr>
          <w:rFonts w:hint="eastAsia" w:ascii="方正小标宋简体" w:hAnsi="方正小标宋简体" w:eastAsia="方正小标宋简体" w:cs="方正小标宋简体"/>
          <w:b/>
          <w:bCs/>
          <w:kern w:val="0"/>
          <w:sz w:val="52"/>
          <w:szCs w:val="52"/>
          <w:lang w:val="zh-CN"/>
        </w:rPr>
        <w:t>和本质安全能力建设“十四五”规划</w:t>
      </w:r>
    </w:p>
    <w:p>
      <w:pPr>
        <w:pageBreakBefore w:val="0"/>
        <w:kinsoku/>
        <w:wordWrap/>
        <w:overflowPunct/>
        <w:topLinePunct w:val="0"/>
        <w:bidi w:val="0"/>
        <w:spacing w:beforeAutospacing="0" w:line="600" w:lineRule="exact"/>
        <w:ind w:left="0" w:leftChars="0"/>
        <w:jc w:val="center"/>
        <w:outlineLvl w:val="0"/>
        <w:rPr>
          <w:rFonts w:hint="eastAsia" w:ascii="楷体_GB2312" w:hAnsi="楷体_GB2312" w:eastAsia="楷体_GB2312" w:cs="楷体_GB2312"/>
          <w:b/>
          <w:bCs/>
          <w:sz w:val="40"/>
          <w:szCs w:val="40"/>
        </w:rPr>
      </w:pPr>
    </w:p>
    <w:p>
      <w:pPr>
        <w:pageBreakBefore w:val="0"/>
        <w:kinsoku/>
        <w:wordWrap/>
        <w:overflowPunct/>
        <w:topLinePunct w:val="0"/>
        <w:bidi w:val="0"/>
        <w:spacing w:beforeAutospacing="0" w:line="600" w:lineRule="exact"/>
        <w:ind w:left="0" w:leftChars="0"/>
        <w:jc w:val="center"/>
        <w:outlineLvl w:val="0"/>
        <w:rPr>
          <w:rFonts w:ascii="楷体_GB2312" w:hAnsi="楷体_GB2312" w:eastAsia="楷体_GB2312" w:cs="楷体_GB2312"/>
          <w:b/>
          <w:bCs/>
          <w:sz w:val="40"/>
          <w:szCs w:val="40"/>
        </w:rPr>
      </w:pPr>
      <w:r>
        <w:rPr>
          <w:rFonts w:hint="eastAsia" w:ascii="楷体_GB2312" w:hAnsi="楷体_GB2312" w:eastAsia="楷体_GB2312" w:cs="楷体_GB2312"/>
          <w:b/>
          <w:bCs/>
          <w:sz w:val="40"/>
          <w:szCs w:val="40"/>
        </w:rPr>
        <w:t>（</w:t>
      </w:r>
      <w:r>
        <w:rPr>
          <w:rFonts w:hint="eastAsia" w:ascii="楷体_GB2312" w:hAnsi="楷体_GB2312" w:eastAsia="楷体_GB2312" w:cs="楷体_GB2312"/>
          <w:b/>
          <w:bCs/>
          <w:sz w:val="40"/>
          <w:szCs w:val="40"/>
          <w:lang w:eastAsia="zh-CN"/>
        </w:rPr>
        <w:t>评审</w:t>
      </w:r>
      <w:r>
        <w:rPr>
          <w:rFonts w:hint="eastAsia" w:ascii="楷体_GB2312" w:hAnsi="楷体_GB2312" w:eastAsia="楷体_GB2312" w:cs="楷体_GB2312"/>
          <w:b/>
          <w:bCs/>
          <w:sz w:val="40"/>
          <w:szCs w:val="40"/>
        </w:rPr>
        <w:t>稿）</w:t>
      </w:r>
    </w:p>
    <w:p>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pPr>
        <w:pageBreakBefore w:val="0"/>
        <w:kinsoku/>
        <w:wordWrap/>
        <w:overflowPunct/>
        <w:topLinePunct w:val="0"/>
        <w:bidi w:val="0"/>
        <w:spacing w:beforeAutospacing="0" w:line="600" w:lineRule="exact"/>
        <w:ind w:left="0" w:leftChars="0"/>
        <w:jc w:val="distribute"/>
        <w:rPr>
          <w:rFonts w:asciiTheme="majorEastAsia" w:hAnsiTheme="majorEastAsia" w:eastAsiaTheme="majorEastAsia"/>
          <w:b/>
          <w:bCs/>
          <w:sz w:val="44"/>
          <w:szCs w:val="44"/>
        </w:rPr>
      </w:pPr>
    </w:p>
    <w:p>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pPr>
        <w:pStyle w:val="7"/>
        <w:pageBreakBefore w:val="0"/>
        <w:kinsoku/>
        <w:wordWrap/>
        <w:overflowPunct/>
        <w:topLinePunct w:val="0"/>
        <w:bidi w:val="0"/>
        <w:spacing w:beforeAutospacing="0" w:line="600" w:lineRule="exact"/>
        <w:ind w:left="0" w:leftChars="0" w:firstLine="640"/>
      </w:pPr>
    </w:p>
    <w:p>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pPr>
        <w:pageBreakBefore w:val="0"/>
        <w:kinsoku/>
        <w:wordWrap/>
        <w:overflowPunct/>
        <w:topLinePunct w:val="0"/>
        <w:bidi w:val="0"/>
        <w:spacing w:beforeAutospacing="0" w:line="600" w:lineRule="exact"/>
        <w:ind w:left="0" w:leftChars="0"/>
        <w:jc w:val="center"/>
        <w:rPr>
          <w:rFonts w:asciiTheme="majorEastAsia" w:hAnsiTheme="majorEastAsia" w:eastAsiaTheme="majorEastAsia"/>
          <w:b/>
          <w:bCs/>
          <w:sz w:val="44"/>
          <w:szCs w:val="44"/>
        </w:rPr>
      </w:pPr>
    </w:p>
    <w:p>
      <w:pPr>
        <w:pStyle w:val="7"/>
        <w:pageBreakBefore w:val="0"/>
        <w:kinsoku/>
        <w:wordWrap/>
        <w:overflowPunct/>
        <w:topLinePunct w:val="0"/>
        <w:bidi w:val="0"/>
        <w:spacing w:beforeAutospacing="0" w:line="600" w:lineRule="exact"/>
        <w:ind w:left="0" w:leftChars="0" w:firstLine="640"/>
      </w:pPr>
    </w:p>
    <w:p>
      <w:pPr>
        <w:pStyle w:val="3"/>
        <w:keepNext w:val="0"/>
        <w:keepLines w:val="0"/>
        <w:pageBreakBefore w:val="0"/>
        <w:kinsoku/>
        <w:wordWrap/>
        <w:overflowPunct/>
        <w:topLinePunct w:val="0"/>
        <w:bidi w:val="0"/>
        <w:spacing w:before="0" w:beforeAutospacing="0" w:after="0" w:line="600" w:lineRule="exact"/>
        <w:ind w:left="0" w:leftChars="0"/>
        <w:jc w:val="center"/>
        <w:rPr>
          <w:rFonts w:ascii="黑体" w:hAnsi="黑体" w:eastAsia="黑体" w:cs="黑体"/>
          <w:sz w:val="32"/>
          <w:szCs w:val="32"/>
        </w:rPr>
        <w:sectPr>
          <w:pgSz w:w="11906" w:h="16838"/>
          <w:pgMar w:top="1701" w:right="1588" w:bottom="1701" w:left="1588" w:header="851" w:footer="935" w:gutter="0"/>
          <w:cols w:space="425" w:num="1"/>
          <w:docGrid w:type="lines" w:linePitch="312" w:charSpace="0"/>
        </w:sectPr>
      </w:pPr>
      <w:r>
        <w:rPr>
          <w:rFonts w:hint="eastAsia" w:ascii="黑体" w:hAnsi="黑体" w:eastAsia="黑体" w:cs="黑体"/>
          <w:sz w:val="32"/>
          <w:szCs w:val="32"/>
        </w:rPr>
        <w:t>202</w:t>
      </w:r>
      <w:r>
        <w:rPr>
          <w:rFonts w:hint="default" w:ascii="黑体" w:hAnsi="黑体" w:eastAsia="黑体" w:cs="黑体"/>
          <w:sz w:val="32"/>
          <w:szCs w:val="32"/>
          <w:lang w:val="en"/>
        </w:rPr>
        <w:t>2</w:t>
      </w:r>
      <w:r>
        <w:rPr>
          <w:rFonts w:hint="eastAsia" w:ascii="黑体" w:hAnsi="黑体" w:eastAsia="黑体" w:cs="黑体"/>
          <w:sz w:val="32"/>
          <w:szCs w:val="32"/>
        </w:rPr>
        <w:t>年</w:t>
      </w:r>
      <w:r>
        <w:rPr>
          <w:rFonts w:hint="default" w:ascii="黑体" w:hAnsi="黑体" w:eastAsia="黑体" w:cs="黑体"/>
          <w:sz w:val="32"/>
          <w:szCs w:val="32"/>
          <w:lang w:val="en" w:eastAsia="zh-CN"/>
        </w:rPr>
        <w:t>6</w:t>
      </w:r>
      <w:r>
        <w:rPr>
          <w:rFonts w:hint="eastAsia" w:ascii="黑体" w:hAnsi="黑体" w:eastAsia="黑体" w:cs="黑体"/>
          <w:sz w:val="32"/>
          <w:szCs w:val="32"/>
        </w:rPr>
        <w:t>月</w:t>
      </w:r>
    </w:p>
    <w:sdt>
      <w:sdtPr>
        <w:rPr>
          <w:rFonts w:ascii="宋体" w:hAnsi="宋体" w:eastAsia="宋体" w:cs="Times New Roman"/>
          <w:kern w:val="2"/>
          <w:sz w:val="21"/>
          <w:szCs w:val="21"/>
          <w:lang w:val="en-US" w:eastAsia="zh-CN" w:bidi="ar-SA"/>
        </w:rPr>
        <w:id w:val="65531656"/>
        <w:docPartObj>
          <w:docPartGallery w:val="Table of Contents"/>
          <w:docPartUnique/>
        </w:docPartObj>
      </w:sdtPr>
      <w:sdtEndPr>
        <w:rPr>
          <w:rFonts w:ascii="宋体" w:hAnsi="宋体"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844611505_WPSOffice_Type3"/>
          <w:r>
            <w:rPr>
              <w:rFonts w:ascii="宋体" w:hAnsi="宋体" w:eastAsia="宋体"/>
              <w:sz w:val="21"/>
            </w:rPr>
            <w:t>目录</w:t>
          </w:r>
        </w:p>
        <w:p>
          <w:pPr>
            <w:pStyle w:val="56"/>
            <w:tabs>
              <w:tab w:val="right" w:leader="dot" w:pos="8306"/>
            </w:tabs>
          </w:pPr>
          <w:r>
            <w:fldChar w:fldCharType="begin"/>
          </w:r>
          <w:r>
            <w:instrText xml:space="preserve"> HYPERLINK \l _Toc521938677_WPSOffice_Level1 </w:instrText>
          </w:r>
          <w:r>
            <w:fldChar w:fldCharType="separate"/>
          </w:r>
          <w:sdt>
            <w:sdtPr>
              <w:rPr>
                <w:rFonts w:ascii="Calibri" w:hAnsi="Calibri" w:eastAsia="宋体" w:cs="Times New Roman"/>
                <w:kern w:val="2"/>
                <w:sz w:val="21"/>
                <w:szCs w:val="21"/>
                <w:lang w:val="en-US" w:eastAsia="zh-CN" w:bidi="ar-SA"/>
              </w:rPr>
              <w:id w:val="835791164"/>
              <w:placeholder>
                <w:docPart w:val="{a4575de6-cf0b-4b02-9058-f36306f7338c}"/>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一、“十三五”主要成效</w:t>
              </w:r>
            </w:sdtContent>
          </w:sdt>
          <w:r>
            <w:tab/>
          </w:r>
          <w:bookmarkStart w:id="1" w:name="_Toc521938677_WPSOffice_Level1Page"/>
          <w:r>
            <w:t>2</w:t>
          </w:r>
          <w:bookmarkEnd w:id="1"/>
          <w:r>
            <w:fldChar w:fldCharType="end"/>
          </w:r>
        </w:p>
        <w:p>
          <w:pPr>
            <w:pStyle w:val="56"/>
            <w:tabs>
              <w:tab w:val="right" w:leader="dot" w:pos="8306"/>
            </w:tabs>
          </w:pPr>
          <w:r>
            <w:fldChar w:fldCharType="begin"/>
          </w:r>
          <w:r>
            <w:instrText xml:space="preserve"> HYPERLINK \l _Toc2106141709_WPSOffice_Level1 </w:instrText>
          </w:r>
          <w:r>
            <w:fldChar w:fldCharType="separate"/>
          </w:r>
          <w:sdt>
            <w:sdtPr>
              <w:rPr>
                <w:rFonts w:ascii="Calibri" w:hAnsi="Calibri" w:eastAsia="宋体" w:cs="Times New Roman"/>
                <w:kern w:val="2"/>
                <w:sz w:val="21"/>
                <w:szCs w:val="21"/>
                <w:lang w:val="en-US" w:eastAsia="zh-CN" w:bidi="ar-SA"/>
              </w:rPr>
              <w:id w:val="835791164"/>
              <w:placeholder>
                <w:docPart w:val="{bafe7af6-9438-4df7-970c-909441674a3b}"/>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二、“十四五”时期面临的机遇和挑战</w:t>
              </w:r>
            </w:sdtContent>
          </w:sdt>
          <w:r>
            <w:tab/>
          </w:r>
          <w:bookmarkStart w:id="2" w:name="_Toc2106141709_WPSOffice_Level1Page"/>
          <w:r>
            <w:t>5</w:t>
          </w:r>
          <w:bookmarkEnd w:id="2"/>
          <w:r>
            <w:fldChar w:fldCharType="end"/>
          </w:r>
        </w:p>
        <w:p>
          <w:pPr>
            <w:pStyle w:val="57"/>
            <w:tabs>
              <w:tab w:val="right" w:leader="dot" w:pos="8306"/>
            </w:tabs>
          </w:pPr>
          <w:r>
            <w:fldChar w:fldCharType="begin"/>
          </w:r>
          <w:r>
            <w:instrText xml:space="preserve"> HYPERLINK \l _Toc2106141709_WPSOffice_Level2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c52616cb-a85d-4161-8c55-64cbbe75953c}"/>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（一）面临的机遇</w:t>
              </w:r>
            </w:sdtContent>
          </w:sdt>
          <w:r>
            <w:tab/>
          </w:r>
          <w:bookmarkStart w:id="3" w:name="_Toc2106141709_WPSOffice_Level2Page"/>
          <w:r>
            <w:t>5</w:t>
          </w:r>
          <w:bookmarkEnd w:id="3"/>
          <w:r>
            <w:fldChar w:fldCharType="end"/>
          </w:r>
        </w:p>
        <w:p>
          <w:pPr>
            <w:pStyle w:val="57"/>
            <w:tabs>
              <w:tab w:val="right" w:leader="dot" w:pos="8306"/>
            </w:tabs>
          </w:pPr>
          <w:r>
            <w:fldChar w:fldCharType="begin"/>
          </w:r>
          <w:r>
            <w:instrText xml:space="preserve"> HYPERLINK \l _Toc107165043_WPSOffice_Level2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971debdf-047f-4a73-ad58-bb3aa4093a37}"/>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（二）面临的挑战</w:t>
              </w:r>
            </w:sdtContent>
          </w:sdt>
          <w:r>
            <w:tab/>
          </w:r>
          <w:bookmarkStart w:id="4" w:name="_Toc107165043_WPSOffice_Level2Page"/>
          <w:r>
            <w:t>6</w:t>
          </w:r>
          <w:bookmarkEnd w:id="4"/>
          <w:r>
            <w:fldChar w:fldCharType="end"/>
          </w:r>
        </w:p>
        <w:p>
          <w:pPr>
            <w:pStyle w:val="56"/>
            <w:tabs>
              <w:tab w:val="right" w:leader="dot" w:pos="8306"/>
            </w:tabs>
          </w:pPr>
          <w:r>
            <w:fldChar w:fldCharType="begin"/>
          </w:r>
          <w:r>
            <w:instrText xml:space="preserve"> HYPERLINK \l _Toc107165043_WPSOffice_Level1 </w:instrText>
          </w:r>
          <w:r>
            <w:fldChar w:fldCharType="separate"/>
          </w:r>
          <w:sdt>
            <w:sdtPr>
              <w:rPr>
                <w:rFonts w:ascii="Calibri" w:hAnsi="Calibri" w:eastAsia="宋体" w:cs="Times New Roman"/>
                <w:kern w:val="2"/>
                <w:sz w:val="21"/>
                <w:szCs w:val="21"/>
                <w:lang w:val="en-US" w:eastAsia="zh-CN" w:bidi="ar-SA"/>
              </w:rPr>
              <w:id w:val="835791164"/>
              <w:placeholder>
                <w:docPart w:val="{ea105d40-84f0-465e-ab30-c57b55842209}"/>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三、指导思想、基本原则和主要目标</w:t>
              </w:r>
            </w:sdtContent>
          </w:sdt>
          <w:r>
            <w:tab/>
          </w:r>
          <w:bookmarkStart w:id="5" w:name="_Toc107165043_WPSOffice_Level1Page"/>
          <w:r>
            <w:t>7</w:t>
          </w:r>
          <w:bookmarkEnd w:id="5"/>
          <w:r>
            <w:fldChar w:fldCharType="end"/>
          </w:r>
        </w:p>
        <w:p>
          <w:pPr>
            <w:pStyle w:val="57"/>
            <w:tabs>
              <w:tab w:val="right" w:leader="dot" w:pos="8306"/>
            </w:tabs>
          </w:pPr>
          <w:r>
            <w:fldChar w:fldCharType="begin"/>
          </w:r>
          <w:r>
            <w:instrText xml:space="preserve"> HYPERLINK \l _Toc720561180_WPSOffice_Level2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3536ade6-1904-4d78-8342-8afdd780fe68}"/>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（一）指导思想</w:t>
              </w:r>
            </w:sdtContent>
          </w:sdt>
          <w:r>
            <w:tab/>
          </w:r>
          <w:bookmarkStart w:id="6" w:name="_Toc720561180_WPSOffice_Level2Page"/>
          <w:r>
            <w:t>7</w:t>
          </w:r>
          <w:bookmarkEnd w:id="6"/>
          <w:r>
            <w:fldChar w:fldCharType="end"/>
          </w:r>
        </w:p>
        <w:p>
          <w:pPr>
            <w:pStyle w:val="57"/>
            <w:tabs>
              <w:tab w:val="right" w:leader="dot" w:pos="8306"/>
            </w:tabs>
          </w:pPr>
          <w:r>
            <w:fldChar w:fldCharType="begin"/>
          </w:r>
          <w:r>
            <w:instrText xml:space="preserve"> HYPERLINK \l _Toc113500538_WPSOffice_Level2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847313e4-087c-4a42-ba4f-fb9235feada5}"/>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（二）基本原则</w:t>
              </w:r>
            </w:sdtContent>
          </w:sdt>
          <w:r>
            <w:tab/>
          </w:r>
          <w:bookmarkStart w:id="7" w:name="_Toc113500538_WPSOffice_Level2Page"/>
          <w:r>
            <w:t>7</w:t>
          </w:r>
          <w:bookmarkEnd w:id="7"/>
          <w:r>
            <w:fldChar w:fldCharType="end"/>
          </w:r>
        </w:p>
        <w:p>
          <w:pPr>
            <w:pStyle w:val="57"/>
            <w:tabs>
              <w:tab w:val="right" w:leader="dot" w:pos="8306"/>
            </w:tabs>
          </w:pPr>
          <w:r>
            <w:fldChar w:fldCharType="begin"/>
          </w:r>
          <w:r>
            <w:instrText xml:space="preserve"> HYPERLINK \l _Toc1139318096_WPSOffice_Level2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f9afe9a4-8230-4a4a-b9f6-e4f562b80373}"/>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（三）</w:t>
              </w:r>
              <w:r>
                <w:rPr>
                  <w:rFonts w:hint="eastAsia" w:ascii="仿宋_GB2312" w:hAnsi="仿宋_GB2312" w:eastAsia="仿宋_GB2312" w:cs="仿宋_GB2312"/>
                </w:rPr>
                <w:t>规划目标</w:t>
              </w:r>
            </w:sdtContent>
          </w:sdt>
          <w:r>
            <w:tab/>
          </w:r>
          <w:bookmarkStart w:id="8" w:name="_Toc1139318096_WPSOffice_Level2Page"/>
          <w:r>
            <w:t>8</w:t>
          </w:r>
          <w:bookmarkEnd w:id="8"/>
          <w:r>
            <w:fldChar w:fldCharType="end"/>
          </w:r>
        </w:p>
        <w:p>
          <w:pPr>
            <w:pStyle w:val="56"/>
            <w:tabs>
              <w:tab w:val="right" w:leader="dot" w:pos="8306"/>
            </w:tabs>
          </w:pPr>
          <w:r>
            <w:fldChar w:fldCharType="begin"/>
          </w:r>
          <w:r>
            <w:instrText xml:space="preserve"> HYPERLINK \l _Toc720561180_WPSOffice_Level1 </w:instrText>
          </w:r>
          <w:r>
            <w:fldChar w:fldCharType="separate"/>
          </w:r>
          <w:sdt>
            <w:sdtPr>
              <w:rPr>
                <w:rFonts w:ascii="Calibri" w:hAnsi="Calibri" w:eastAsia="宋体" w:cs="Times New Roman"/>
                <w:kern w:val="2"/>
                <w:sz w:val="21"/>
                <w:szCs w:val="21"/>
                <w:lang w:val="en-US" w:eastAsia="zh-CN" w:bidi="ar-SA"/>
              </w:rPr>
              <w:id w:val="835791164"/>
              <w:placeholder>
                <w:docPart w:val="{2af6a93a-2f52-45ae-8b14-c0d709f06aca}"/>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三、重点任务</w:t>
              </w:r>
            </w:sdtContent>
          </w:sdt>
          <w:r>
            <w:tab/>
          </w:r>
          <w:bookmarkStart w:id="9" w:name="_Toc720561180_WPSOffice_Level1Page"/>
          <w:r>
            <w:t>9</w:t>
          </w:r>
          <w:bookmarkEnd w:id="9"/>
          <w:r>
            <w:fldChar w:fldCharType="end"/>
          </w:r>
        </w:p>
        <w:p>
          <w:pPr>
            <w:pStyle w:val="57"/>
            <w:tabs>
              <w:tab w:val="right" w:leader="dot" w:pos="8306"/>
            </w:tabs>
          </w:pPr>
          <w:r>
            <w:fldChar w:fldCharType="begin"/>
          </w:r>
          <w:r>
            <w:instrText xml:space="preserve"> HYPERLINK \l _Toc1227764677_WPSOffice_Level2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4fb3761b-bee7-43c4-ba15-b2198f9af770}"/>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（一）提升本质安全能力</w:t>
              </w:r>
            </w:sdtContent>
          </w:sdt>
          <w:r>
            <w:tab/>
          </w:r>
          <w:bookmarkStart w:id="10" w:name="_Toc1227764677_WPSOffice_Level2Page"/>
          <w:r>
            <w:t>9</w:t>
          </w:r>
          <w:bookmarkEnd w:id="10"/>
          <w:r>
            <w:fldChar w:fldCharType="end"/>
          </w:r>
        </w:p>
        <w:p>
          <w:pPr>
            <w:pStyle w:val="57"/>
            <w:tabs>
              <w:tab w:val="right" w:leader="dot" w:pos="8306"/>
            </w:tabs>
          </w:pPr>
          <w:r>
            <w:fldChar w:fldCharType="begin"/>
          </w:r>
          <w:r>
            <w:instrText xml:space="preserve"> HYPERLINK \l _Toc63919370_WPSOffice_Level2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b9ae1064-2d78-4c88-8ae1-85765dfbda0e}"/>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（二）建立健全应急管理体制机制</w:t>
              </w:r>
            </w:sdtContent>
          </w:sdt>
          <w:r>
            <w:tab/>
          </w:r>
          <w:bookmarkStart w:id="11" w:name="_Toc63919370_WPSOffice_Level2Page"/>
          <w:r>
            <w:t>13</w:t>
          </w:r>
          <w:bookmarkEnd w:id="11"/>
          <w:r>
            <w:fldChar w:fldCharType="end"/>
          </w:r>
        </w:p>
        <w:p>
          <w:pPr>
            <w:pStyle w:val="57"/>
            <w:tabs>
              <w:tab w:val="right" w:leader="dot" w:pos="8306"/>
            </w:tabs>
          </w:pPr>
          <w:r>
            <w:fldChar w:fldCharType="begin"/>
          </w:r>
          <w:r>
            <w:instrText xml:space="preserve"> HYPERLINK \l _Toc1246002186_WPSOffice_Level2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dba6d921-f51f-4cd9-bdc1-6a3d8f9f943f}"/>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（三）加强应急救援综合保障体系建设</w:t>
              </w:r>
            </w:sdtContent>
          </w:sdt>
          <w:r>
            <w:tab/>
          </w:r>
          <w:bookmarkStart w:id="12" w:name="_Toc1246002186_WPSOffice_Level2Page"/>
          <w:r>
            <w:t>14</w:t>
          </w:r>
          <w:bookmarkEnd w:id="12"/>
          <w:r>
            <w:fldChar w:fldCharType="end"/>
          </w:r>
        </w:p>
        <w:p>
          <w:pPr>
            <w:pStyle w:val="57"/>
            <w:tabs>
              <w:tab w:val="right" w:leader="dot" w:pos="8306"/>
            </w:tabs>
          </w:pPr>
          <w:r>
            <w:fldChar w:fldCharType="begin"/>
          </w:r>
          <w:r>
            <w:instrText xml:space="preserve"> HYPERLINK \l _Toc967875004_WPSOffice_Level2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3b08bf15-6214-4ce8-9e5a-25fc23c61d3f}"/>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（四）加强应急救援力量体系建设</w:t>
              </w:r>
            </w:sdtContent>
          </w:sdt>
          <w:r>
            <w:tab/>
          </w:r>
          <w:bookmarkStart w:id="13" w:name="_Toc967875004_WPSOffice_Level2Page"/>
          <w:r>
            <w:t>16</w:t>
          </w:r>
          <w:bookmarkEnd w:id="13"/>
          <w:r>
            <w:fldChar w:fldCharType="end"/>
          </w:r>
        </w:p>
        <w:p>
          <w:pPr>
            <w:pStyle w:val="57"/>
            <w:tabs>
              <w:tab w:val="right" w:leader="dot" w:pos="8306"/>
            </w:tabs>
          </w:pPr>
          <w:r>
            <w:fldChar w:fldCharType="begin"/>
          </w:r>
          <w:r>
            <w:instrText xml:space="preserve"> HYPERLINK \l _Toc1737270438_WPSOffice_Level2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33eda1f2-1135-451d-8f18-3ee49ef8cba5}"/>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（五）推进灾害事故预防体系建设。</w:t>
              </w:r>
            </w:sdtContent>
          </w:sdt>
          <w:r>
            <w:tab/>
          </w:r>
          <w:bookmarkStart w:id="14" w:name="_Toc1737270438_WPSOffice_Level2Page"/>
          <w:r>
            <w:t>19</w:t>
          </w:r>
          <w:bookmarkEnd w:id="14"/>
          <w:r>
            <w:fldChar w:fldCharType="end"/>
          </w:r>
        </w:p>
        <w:p>
          <w:pPr>
            <w:pStyle w:val="57"/>
            <w:tabs>
              <w:tab w:val="right" w:leader="dot" w:pos="8306"/>
            </w:tabs>
          </w:pPr>
          <w:r>
            <w:fldChar w:fldCharType="begin"/>
          </w:r>
          <w:r>
            <w:instrText xml:space="preserve"> HYPERLINK \l _Toc878679114_WPSOffice_Level2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7c96c40f-3337-44b0-9b34-4380d39d6348}"/>
              </w:placeholder>
            </w:sdtPr>
            <w:sdtEndPr>
              <w:rPr>
                <w:rFonts w:ascii="Calibri" w:hAnsi="Calibri" w:eastAsia="宋体" w:cs="Times New Roman"/>
                <w:kern w:val="2"/>
                <w:sz w:val="21"/>
                <w:szCs w:val="21"/>
                <w:lang w:val="en-US" w:eastAsia="zh-CN" w:bidi="ar-SA"/>
              </w:rPr>
            </w:sdtEndPr>
            <w:sdtContent>
              <w:r>
                <w:rPr>
                  <w:rFonts w:hint="eastAsia" w:ascii="楷体_GB2312" w:hAnsi="楷体_GB2312" w:eastAsia="楷体_GB2312" w:cs="楷体_GB2312"/>
                </w:rPr>
                <w:t>（六）加强共建共治共享体系建设。</w:t>
              </w:r>
            </w:sdtContent>
          </w:sdt>
          <w:r>
            <w:tab/>
          </w:r>
          <w:bookmarkStart w:id="15" w:name="_Toc878679114_WPSOffice_Level2Page"/>
          <w:r>
            <w:t>21</w:t>
          </w:r>
          <w:bookmarkEnd w:id="15"/>
          <w:r>
            <w:fldChar w:fldCharType="end"/>
          </w:r>
        </w:p>
        <w:p>
          <w:pPr>
            <w:pStyle w:val="56"/>
            <w:tabs>
              <w:tab w:val="right" w:leader="dot" w:pos="8306"/>
            </w:tabs>
          </w:pPr>
          <w:r>
            <w:fldChar w:fldCharType="begin"/>
          </w:r>
          <w:r>
            <w:instrText xml:space="preserve"> HYPERLINK \l _Toc113500538_WPSOffice_Level1 </w:instrText>
          </w:r>
          <w:r>
            <w:fldChar w:fldCharType="separate"/>
          </w:r>
          <w:sdt>
            <w:sdtPr>
              <w:rPr>
                <w:rFonts w:ascii="Calibri" w:hAnsi="Calibri" w:eastAsia="宋体" w:cs="Times New Roman"/>
                <w:kern w:val="2"/>
                <w:sz w:val="21"/>
                <w:szCs w:val="21"/>
                <w:lang w:val="en-US" w:eastAsia="zh-CN" w:bidi="ar-SA"/>
              </w:rPr>
              <w:id w:val="835791164"/>
              <w:placeholder>
                <w:docPart w:val="{90b3cd57-6ed6-47f9-861c-ae5f1afd5836}"/>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四、重点工程</w:t>
              </w:r>
            </w:sdtContent>
          </w:sdt>
          <w:r>
            <w:tab/>
          </w:r>
          <w:bookmarkStart w:id="16" w:name="_Toc113500538_WPSOffice_Level1Page"/>
          <w:r>
            <w:t>22</w:t>
          </w:r>
          <w:bookmarkEnd w:id="16"/>
          <w:r>
            <w:fldChar w:fldCharType="end"/>
          </w:r>
        </w:p>
        <w:p>
          <w:pPr>
            <w:pStyle w:val="57"/>
            <w:tabs>
              <w:tab w:val="right" w:leader="dot" w:pos="8306"/>
            </w:tabs>
          </w:pPr>
          <w:r>
            <w:fldChar w:fldCharType="begin"/>
          </w:r>
          <w:r>
            <w:instrText xml:space="preserve"> HYPERLINK \l _Toc1634561806_WPSOffice_Level2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01ba6aa4-0d83-4353-9c09-2299cda9f3b1}"/>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（一）安全生产预防能力提升工程</w:t>
              </w:r>
            </w:sdtContent>
          </w:sdt>
          <w:r>
            <w:tab/>
          </w:r>
          <w:bookmarkStart w:id="17" w:name="_Toc1634561806_WPSOffice_Level2Page"/>
          <w:r>
            <w:t>22</w:t>
          </w:r>
          <w:bookmarkEnd w:id="17"/>
          <w:r>
            <w:fldChar w:fldCharType="end"/>
          </w:r>
        </w:p>
        <w:p>
          <w:pPr>
            <w:pStyle w:val="57"/>
            <w:tabs>
              <w:tab w:val="right" w:leader="dot" w:pos="8306"/>
            </w:tabs>
          </w:pPr>
          <w:r>
            <w:fldChar w:fldCharType="begin"/>
          </w:r>
          <w:r>
            <w:instrText xml:space="preserve"> HYPERLINK \l _Toc142438421_WPSOffice_Level2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39d0b028-ec4a-479c-9d6d-343993c0b1de}"/>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（二）灾害风险调查和重点隐患排查工程</w:t>
              </w:r>
            </w:sdtContent>
          </w:sdt>
          <w:r>
            <w:tab/>
          </w:r>
          <w:bookmarkStart w:id="18" w:name="_Toc142438421_WPSOffice_Level2Page"/>
          <w:r>
            <w:t>23</w:t>
          </w:r>
          <w:bookmarkEnd w:id="18"/>
          <w:r>
            <w:fldChar w:fldCharType="end"/>
          </w:r>
        </w:p>
        <w:p>
          <w:pPr>
            <w:pStyle w:val="57"/>
            <w:tabs>
              <w:tab w:val="right" w:leader="dot" w:pos="8306"/>
            </w:tabs>
          </w:pPr>
          <w:r>
            <w:fldChar w:fldCharType="begin"/>
          </w:r>
          <w:r>
            <w:instrText xml:space="preserve"> HYPERLINK \l _Toc1391181594_WPSOffice_Level2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b1a7567a-5216-40aa-b722-6d5f683c5914}"/>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（三）自然灾害综合治理、避险移民搬迁工程</w:t>
              </w:r>
            </w:sdtContent>
          </w:sdt>
          <w:r>
            <w:tab/>
          </w:r>
          <w:bookmarkStart w:id="19" w:name="_Toc1391181594_WPSOffice_Level2Page"/>
          <w:r>
            <w:t>23</w:t>
          </w:r>
          <w:bookmarkEnd w:id="19"/>
          <w:r>
            <w:fldChar w:fldCharType="end"/>
          </w:r>
        </w:p>
        <w:p>
          <w:pPr>
            <w:pStyle w:val="57"/>
            <w:tabs>
              <w:tab w:val="right" w:leader="dot" w:pos="8306"/>
            </w:tabs>
          </w:pPr>
          <w:r>
            <w:fldChar w:fldCharType="begin"/>
          </w:r>
          <w:r>
            <w:instrText xml:space="preserve"> HYPERLINK \l _Toc196904627_WPSOffice_Level2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6bea65e8-0bf6-4d43-9b1f-52ae3c64878b}"/>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（四）应急救援指挥中心建设工程</w:t>
              </w:r>
            </w:sdtContent>
          </w:sdt>
          <w:r>
            <w:tab/>
          </w:r>
          <w:bookmarkStart w:id="20" w:name="_Toc196904627_WPSOffice_Level2Page"/>
          <w:r>
            <w:t>24</w:t>
          </w:r>
          <w:bookmarkEnd w:id="20"/>
          <w:r>
            <w:fldChar w:fldCharType="end"/>
          </w:r>
        </w:p>
        <w:p>
          <w:pPr>
            <w:pStyle w:val="57"/>
            <w:tabs>
              <w:tab w:val="right" w:leader="dot" w:pos="8306"/>
            </w:tabs>
          </w:pPr>
          <w:r>
            <w:fldChar w:fldCharType="begin"/>
          </w:r>
          <w:r>
            <w:instrText xml:space="preserve"> HYPERLINK \l _Toc1568994444_WPSOffice_Level2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b29f67a0-6290-4613-93fb-9290f735e89b}"/>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（五）风险监测预警信息化工程</w:t>
              </w:r>
            </w:sdtContent>
          </w:sdt>
          <w:r>
            <w:tab/>
          </w:r>
          <w:bookmarkStart w:id="21" w:name="_Toc1568994444_WPSOffice_Level2Page"/>
          <w:r>
            <w:t>24</w:t>
          </w:r>
          <w:bookmarkEnd w:id="21"/>
          <w:r>
            <w:fldChar w:fldCharType="end"/>
          </w:r>
        </w:p>
        <w:p>
          <w:pPr>
            <w:pStyle w:val="57"/>
            <w:tabs>
              <w:tab w:val="right" w:leader="dot" w:pos="8306"/>
            </w:tabs>
          </w:pPr>
          <w:r>
            <w:fldChar w:fldCharType="begin"/>
          </w:r>
          <w:r>
            <w:instrText xml:space="preserve"> HYPERLINK \l _Toc1190213240_WPSOffice_Level2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d654f48f-aac4-4a44-b32d-ca4d8a9a1336}"/>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（六）灾害防治技术装备现代化工程</w:t>
              </w:r>
            </w:sdtContent>
          </w:sdt>
          <w:r>
            <w:tab/>
          </w:r>
          <w:bookmarkStart w:id="22" w:name="_Toc1190213240_WPSOffice_Level2Page"/>
          <w:r>
            <w:t>25</w:t>
          </w:r>
          <w:bookmarkEnd w:id="22"/>
          <w:r>
            <w:fldChar w:fldCharType="end"/>
          </w:r>
        </w:p>
        <w:p>
          <w:pPr>
            <w:pStyle w:val="57"/>
            <w:tabs>
              <w:tab w:val="right" w:leader="dot" w:pos="8306"/>
            </w:tabs>
          </w:pPr>
          <w:r>
            <w:fldChar w:fldCharType="begin"/>
          </w:r>
          <w:r>
            <w:instrText xml:space="preserve"> HYPERLINK \l _Toc2106513601_WPSOffice_Level2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b27a7174-4b67-46ea-800b-9d15e8069dc5}"/>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（七）综合减灾示范社区创建工程</w:t>
              </w:r>
            </w:sdtContent>
          </w:sdt>
          <w:r>
            <w:tab/>
          </w:r>
          <w:bookmarkStart w:id="23" w:name="_Toc2106513601_WPSOffice_Level2Page"/>
          <w:r>
            <w:t>25</w:t>
          </w:r>
          <w:bookmarkEnd w:id="23"/>
          <w:r>
            <w:fldChar w:fldCharType="end"/>
          </w:r>
        </w:p>
        <w:p>
          <w:pPr>
            <w:pStyle w:val="57"/>
            <w:tabs>
              <w:tab w:val="right" w:leader="dot" w:pos="8306"/>
            </w:tabs>
          </w:pPr>
          <w:r>
            <w:fldChar w:fldCharType="begin"/>
          </w:r>
          <w:r>
            <w:instrText xml:space="preserve"> HYPERLINK \l _Toc545006235_WPSOffice_Level2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56e3275a-c300-46ee-ab05-5a5b836b5a17}"/>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（八）强化综合性消防救援能力建设工程</w:t>
              </w:r>
            </w:sdtContent>
          </w:sdt>
          <w:r>
            <w:tab/>
          </w:r>
          <w:bookmarkStart w:id="24" w:name="_Toc545006235_WPSOffice_Level2Page"/>
          <w:r>
            <w:t>25</w:t>
          </w:r>
          <w:bookmarkEnd w:id="24"/>
          <w:r>
            <w:fldChar w:fldCharType="end"/>
          </w:r>
        </w:p>
        <w:p>
          <w:pPr>
            <w:pStyle w:val="57"/>
            <w:tabs>
              <w:tab w:val="right" w:leader="dot" w:pos="8306"/>
            </w:tabs>
          </w:pPr>
          <w:r>
            <w:fldChar w:fldCharType="begin"/>
          </w:r>
          <w:r>
            <w:instrText xml:space="preserve"> HYPERLINK \l _Toc52492601_WPSOffice_Level2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e81c9903-76f2-4dfc-aaac-462d94796c75}"/>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（九）应急救援基地建设工程</w:t>
              </w:r>
            </w:sdtContent>
          </w:sdt>
          <w:r>
            <w:tab/>
          </w:r>
          <w:bookmarkStart w:id="25" w:name="_Toc52492601_WPSOffice_Level2Page"/>
          <w:r>
            <w:t>26</w:t>
          </w:r>
          <w:bookmarkEnd w:id="25"/>
          <w:r>
            <w:fldChar w:fldCharType="end"/>
          </w:r>
        </w:p>
        <w:p>
          <w:pPr>
            <w:pStyle w:val="57"/>
            <w:tabs>
              <w:tab w:val="right" w:leader="dot" w:pos="8306"/>
            </w:tabs>
          </w:pPr>
          <w:r>
            <w:fldChar w:fldCharType="begin"/>
          </w:r>
          <w:r>
            <w:instrText xml:space="preserve"> HYPERLINK \l _Toc158354382_WPSOffice_Level2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40b475b4-1b06-4261-8e2a-518ac2af638b}"/>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（十）城乡防灾基础设施建设工程</w:t>
              </w:r>
            </w:sdtContent>
          </w:sdt>
          <w:r>
            <w:tab/>
          </w:r>
          <w:bookmarkStart w:id="26" w:name="_Toc158354382_WPSOffice_Level2Page"/>
          <w:r>
            <w:t>26</w:t>
          </w:r>
          <w:bookmarkEnd w:id="26"/>
          <w:r>
            <w:fldChar w:fldCharType="end"/>
          </w:r>
        </w:p>
        <w:p>
          <w:pPr>
            <w:pStyle w:val="57"/>
            <w:tabs>
              <w:tab w:val="right" w:leader="dot" w:pos="8306"/>
            </w:tabs>
          </w:pPr>
          <w:r>
            <w:fldChar w:fldCharType="begin"/>
          </w:r>
          <w:r>
            <w:instrText xml:space="preserve"> HYPERLINK \l _Toc1906650463_WPSOffice_Level2 </w:instrText>
          </w:r>
          <w:r>
            <w:fldChar w:fldCharType="separate"/>
          </w:r>
          <w:sdt>
            <w:sdtPr>
              <w:rPr>
                <w:rFonts w:ascii="Calibri" w:hAnsi="Calibri" w:eastAsia="宋体" w:cs="Times New Roman"/>
                <w:kern w:val="2"/>
                <w:sz w:val="21"/>
                <w:szCs w:val="21"/>
                <w:lang w:val="en-US" w:eastAsia="zh-CN" w:bidi="ar-SA"/>
              </w:rPr>
              <w:id w:val="835791164"/>
              <w:placeholder>
                <w:docPart w:val="{94d4f995-7151-4688-bafe-6ccdbcf8f648}"/>
              </w:placeholder>
            </w:sdtPr>
            <w:sdtEndPr>
              <w:rPr>
                <w:rFonts w:ascii="Calibri" w:hAnsi="Calibri" w:eastAsia="宋体" w:cs="Times New Roman"/>
                <w:kern w:val="2"/>
                <w:sz w:val="21"/>
                <w:szCs w:val="21"/>
                <w:lang w:val="en-US" w:eastAsia="zh-CN" w:bidi="ar-SA"/>
              </w:rPr>
            </w:sdtEndPr>
            <w:sdtContent>
              <w:r>
                <w:rPr>
                  <w:rFonts w:hint="eastAsia" w:ascii="Calibri" w:hAnsi="Calibri" w:eastAsia="楷体_GB2312" w:cs="Times New Roman"/>
                </w:rPr>
                <w:t>（十一）安全监管能力建设工程</w:t>
              </w:r>
            </w:sdtContent>
          </w:sdt>
          <w:r>
            <w:tab/>
          </w:r>
          <w:bookmarkStart w:id="27" w:name="_Toc1906650463_WPSOffice_Level2Page"/>
          <w:r>
            <w:t>27</w:t>
          </w:r>
          <w:bookmarkEnd w:id="27"/>
          <w:r>
            <w:fldChar w:fldCharType="end"/>
          </w:r>
        </w:p>
        <w:p>
          <w:pPr>
            <w:pStyle w:val="57"/>
            <w:tabs>
              <w:tab w:val="right" w:leader="dot" w:pos="8306"/>
            </w:tabs>
          </w:pPr>
          <w:r>
            <w:fldChar w:fldCharType="begin"/>
          </w:r>
          <w:r>
            <w:instrText xml:space="preserve"> HYPERLINK \l _Toc1803140219_WPSOffice_Level2 </w:instrText>
          </w:r>
          <w:r>
            <w:fldChar w:fldCharType="separate"/>
          </w:r>
          <w:sdt>
            <w:sdtPr>
              <w:rPr>
                <w:rFonts w:ascii="Calibri" w:hAnsi="Calibri" w:eastAsia="宋体" w:cs="Times New Roman"/>
                <w:kern w:val="2"/>
                <w:sz w:val="21"/>
                <w:szCs w:val="21"/>
                <w:lang w:val="en-US" w:eastAsia="zh-CN" w:bidi="ar-SA"/>
              </w:rPr>
              <w:id w:val="65531656"/>
              <w:placeholder>
                <w:docPart w:val="{bc2a1dca-d916-4beb-919f-177dbe8dd99b}"/>
              </w:placeholder>
            </w:sdtPr>
            <w:sdtEndPr>
              <w:rPr>
                <w:rFonts w:ascii="Calibri" w:hAnsi="Calibri" w:eastAsia="宋体" w:cs="Times New Roman"/>
                <w:kern w:val="2"/>
                <w:sz w:val="21"/>
                <w:szCs w:val="21"/>
                <w:lang w:val="en-US" w:eastAsia="zh-CN" w:bidi="ar-SA"/>
              </w:rPr>
            </w:sdtEndPr>
            <w:sdtContent>
              <w:r>
                <w:rPr>
                  <w:rFonts w:hint="eastAsia" w:ascii="华文楷体" w:hAnsi="华文楷体" w:eastAsia="华文楷体" w:cs="华文楷体"/>
                </w:rPr>
                <w:t>（十二）基层应急能力建设工程</w:t>
              </w:r>
            </w:sdtContent>
          </w:sdt>
          <w:r>
            <w:tab/>
          </w:r>
          <w:bookmarkStart w:id="28" w:name="_Toc1803140219_WPSOffice_Level2Page"/>
          <w:r>
            <w:t>27</w:t>
          </w:r>
          <w:bookmarkEnd w:id="28"/>
          <w:r>
            <w:fldChar w:fldCharType="end"/>
          </w:r>
        </w:p>
        <w:p>
          <w:pPr>
            <w:pStyle w:val="56"/>
            <w:tabs>
              <w:tab w:val="right" w:leader="dot" w:pos="8306"/>
            </w:tabs>
          </w:pPr>
          <w:r>
            <w:fldChar w:fldCharType="begin"/>
          </w:r>
          <w:r>
            <w:instrText xml:space="preserve"> HYPERLINK \l _Toc844611505_WPSOffice_Level1 </w:instrText>
          </w:r>
          <w:r>
            <w:fldChar w:fldCharType="separate"/>
          </w:r>
          <w:sdt>
            <w:sdtPr>
              <w:rPr>
                <w:rFonts w:ascii="Calibri" w:hAnsi="Calibri" w:eastAsia="宋体" w:cs="Times New Roman"/>
                <w:kern w:val="2"/>
                <w:sz w:val="21"/>
                <w:szCs w:val="21"/>
                <w:lang w:val="en-US" w:eastAsia="zh-CN" w:bidi="ar-SA"/>
              </w:rPr>
              <w:id w:val="65531656"/>
              <w:placeholder>
                <w:docPart w:val="{d2f36505-63dd-49f7-9df0-39593cb82a92}"/>
              </w:placeholder>
            </w:sdtPr>
            <w:sdtEndPr>
              <w:rPr>
                <w:rFonts w:ascii="Calibri" w:hAnsi="Calibri" w:eastAsia="宋体" w:cs="Times New Roman"/>
                <w:kern w:val="2"/>
                <w:sz w:val="21"/>
                <w:szCs w:val="21"/>
                <w:lang w:val="en-US" w:eastAsia="zh-CN" w:bidi="ar-SA"/>
              </w:rPr>
            </w:sdtEndPr>
            <w:sdtContent>
              <w:r>
                <w:rPr>
                  <w:rFonts w:hint="eastAsia" w:ascii="黑体" w:hAnsi="黑体" w:eastAsia="黑体" w:cs="黑体"/>
                </w:rPr>
                <w:t>五、规划实施及评价</w:t>
              </w:r>
            </w:sdtContent>
          </w:sdt>
          <w:r>
            <w:tab/>
          </w:r>
          <w:bookmarkStart w:id="29" w:name="_Toc844611505_WPSOffice_Level1Page"/>
          <w:r>
            <w:t>27</w:t>
          </w:r>
          <w:bookmarkEnd w:id="29"/>
          <w:r>
            <w:fldChar w:fldCharType="end"/>
          </w:r>
        </w:p>
        <w:p>
          <w:pPr>
            <w:pStyle w:val="57"/>
            <w:tabs>
              <w:tab w:val="right" w:leader="dot" w:pos="8306"/>
            </w:tabs>
          </w:pPr>
          <w:r>
            <w:fldChar w:fldCharType="begin"/>
          </w:r>
          <w:r>
            <w:instrText xml:space="preserve"> HYPERLINK \l _Toc844611505_WPSOffice_Level2 </w:instrText>
          </w:r>
          <w:r>
            <w:fldChar w:fldCharType="separate"/>
          </w:r>
          <w:sdt>
            <w:sdtPr>
              <w:rPr>
                <w:rFonts w:ascii="Calibri" w:hAnsi="Calibri" w:eastAsia="宋体" w:cs="Times New Roman"/>
                <w:kern w:val="2"/>
                <w:sz w:val="21"/>
                <w:szCs w:val="21"/>
                <w:lang w:val="en-US" w:eastAsia="zh-CN" w:bidi="ar-SA"/>
              </w:rPr>
              <w:id w:val="65531656"/>
              <w:placeholder>
                <w:docPart w:val="{060134d4-375a-45d0-b5fc-b700dbd0bbc7}"/>
              </w:placeholder>
            </w:sdtPr>
            <w:sdtEndPr>
              <w:rPr>
                <w:rFonts w:ascii="Calibri" w:hAnsi="Calibri" w:eastAsia="宋体" w:cs="Times New Roman"/>
                <w:kern w:val="2"/>
                <w:sz w:val="21"/>
                <w:szCs w:val="21"/>
                <w:lang w:val="en-US" w:eastAsia="zh-CN" w:bidi="ar-SA"/>
              </w:rPr>
            </w:sdtEndPr>
            <w:sdtContent>
              <w:r>
                <w:rPr>
                  <w:rFonts w:ascii="Calibri" w:hAnsi="Calibri" w:eastAsia="楷体_GB2312" w:cs="Times New Roman"/>
                </w:rPr>
                <w:t>（一）</w:t>
              </w:r>
              <w:r>
                <w:rPr>
                  <w:rFonts w:hint="eastAsia" w:ascii="Calibri" w:hAnsi="Calibri" w:eastAsia="楷体_GB2312" w:cs="Times New Roman"/>
                </w:rPr>
                <w:t>加强组织领导</w:t>
              </w:r>
            </w:sdtContent>
          </w:sdt>
          <w:r>
            <w:tab/>
          </w:r>
          <w:bookmarkStart w:id="30" w:name="_Toc844611505_WPSOffice_Level2Page"/>
          <w:r>
            <w:t>27</w:t>
          </w:r>
          <w:bookmarkEnd w:id="30"/>
          <w:r>
            <w:fldChar w:fldCharType="end"/>
          </w:r>
        </w:p>
        <w:p>
          <w:pPr>
            <w:pStyle w:val="57"/>
            <w:tabs>
              <w:tab w:val="right" w:leader="dot" w:pos="8306"/>
            </w:tabs>
          </w:pPr>
          <w:r>
            <w:fldChar w:fldCharType="begin"/>
          </w:r>
          <w:r>
            <w:instrText xml:space="preserve"> HYPERLINK \l _Toc751611492_WPSOffice_Level2 </w:instrText>
          </w:r>
          <w:r>
            <w:fldChar w:fldCharType="separate"/>
          </w:r>
          <w:sdt>
            <w:sdtPr>
              <w:rPr>
                <w:rFonts w:ascii="Calibri" w:hAnsi="Calibri" w:eastAsia="宋体" w:cs="Times New Roman"/>
                <w:kern w:val="2"/>
                <w:sz w:val="21"/>
                <w:szCs w:val="21"/>
                <w:lang w:val="en-US" w:eastAsia="zh-CN" w:bidi="ar-SA"/>
              </w:rPr>
              <w:id w:val="65531656"/>
              <w:placeholder>
                <w:docPart w:val="{6fcdee3f-89ae-43a0-98f8-a463d7b4d22f}"/>
              </w:placeholder>
            </w:sdtPr>
            <w:sdtEndPr>
              <w:rPr>
                <w:rFonts w:ascii="Calibri" w:hAnsi="Calibri" w:eastAsia="宋体" w:cs="Times New Roman"/>
                <w:kern w:val="2"/>
                <w:sz w:val="21"/>
                <w:szCs w:val="21"/>
                <w:lang w:val="en-US" w:eastAsia="zh-CN" w:bidi="ar-SA"/>
              </w:rPr>
            </w:sdtEndPr>
            <w:sdtContent>
              <w:r>
                <w:rPr>
                  <w:rFonts w:ascii="Calibri" w:hAnsi="Calibri" w:eastAsia="楷体_GB2312" w:cs="Times New Roman"/>
                </w:rPr>
                <w:t>（二）</w:t>
              </w:r>
              <w:r>
                <w:rPr>
                  <w:rFonts w:hint="eastAsia" w:ascii="Calibri" w:hAnsi="Calibri" w:eastAsia="楷体_GB2312" w:cs="Times New Roman"/>
                </w:rPr>
                <w:t>强化投入</w:t>
              </w:r>
              <w:r>
                <w:rPr>
                  <w:rFonts w:ascii="Calibri" w:hAnsi="Calibri" w:eastAsia="楷体_GB2312" w:cs="Times New Roman"/>
                </w:rPr>
                <w:t>保障</w:t>
              </w:r>
            </w:sdtContent>
          </w:sdt>
          <w:r>
            <w:tab/>
          </w:r>
          <w:bookmarkStart w:id="31" w:name="_Toc751611492_WPSOffice_Level2Page"/>
          <w:r>
            <w:t>28</w:t>
          </w:r>
          <w:bookmarkEnd w:id="31"/>
          <w:r>
            <w:fldChar w:fldCharType="end"/>
          </w:r>
        </w:p>
        <w:p>
          <w:pPr>
            <w:pStyle w:val="57"/>
            <w:tabs>
              <w:tab w:val="right" w:leader="dot" w:pos="8306"/>
            </w:tabs>
          </w:pPr>
          <w:r>
            <w:fldChar w:fldCharType="begin"/>
          </w:r>
          <w:r>
            <w:instrText xml:space="preserve"> HYPERLINK \l _Toc334596863_WPSOffice_Level2 </w:instrText>
          </w:r>
          <w:r>
            <w:fldChar w:fldCharType="separate"/>
          </w:r>
          <w:sdt>
            <w:sdtPr>
              <w:rPr>
                <w:rFonts w:ascii="Calibri" w:hAnsi="Calibri" w:eastAsia="宋体" w:cs="Times New Roman"/>
                <w:kern w:val="2"/>
                <w:sz w:val="21"/>
                <w:szCs w:val="21"/>
                <w:lang w:val="en-US" w:eastAsia="zh-CN" w:bidi="ar-SA"/>
              </w:rPr>
              <w:id w:val="65531656"/>
              <w:placeholder>
                <w:docPart w:val="{2a2eb907-b4fd-4b27-9802-617060510b7d}"/>
              </w:placeholder>
            </w:sdtPr>
            <w:sdtEndPr>
              <w:rPr>
                <w:rFonts w:ascii="Calibri" w:hAnsi="Calibri" w:eastAsia="宋体" w:cs="Times New Roman"/>
                <w:kern w:val="2"/>
                <w:sz w:val="21"/>
                <w:szCs w:val="21"/>
                <w:lang w:val="en-US" w:eastAsia="zh-CN" w:bidi="ar-SA"/>
              </w:rPr>
            </w:sdtEndPr>
            <w:sdtContent>
              <w:r>
                <w:rPr>
                  <w:rFonts w:ascii="Times New Roman" w:hAnsi="Times New Roman" w:eastAsia="楷体_GB2312" w:cs="Times New Roman"/>
                </w:rPr>
                <w:t>（三）加强</w:t>
              </w:r>
              <w:r>
                <w:rPr>
                  <w:rFonts w:hint="eastAsia" w:ascii="ˎ̥" w:hAnsi="ˎ̥" w:eastAsia="楷体_GB2312" w:cs="Times New Roman"/>
                </w:rPr>
                <w:t>评估</w:t>
              </w:r>
              <w:r>
                <w:rPr>
                  <w:rFonts w:ascii="Times New Roman" w:hAnsi="Times New Roman" w:eastAsia="楷体_GB2312" w:cs="Times New Roman"/>
                </w:rPr>
                <w:t>考核</w:t>
              </w:r>
            </w:sdtContent>
          </w:sdt>
          <w:r>
            <w:tab/>
          </w:r>
          <w:bookmarkStart w:id="32" w:name="_Toc334596863_WPSOffice_Level2Page"/>
          <w:r>
            <w:t>28</w:t>
          </w:r>
          <w:bookmarkEnd w:id="32"/>
          <w:r>
            <w:fldChar w:fldCharType="end"/>
          </w:r>
          <w:bookmarkEnd w:id="0"/>
        </w:p>
      </w:sdtContent>
    </w:sdt>
    <w:p>
      <w:pPr>
        <w:pageBreakBefore w:val="0"/>
        <w:kinsoku/>
        <w:wordWrap/>
        <w:overflowPunct/>
        <w:topLinePunct w:val="0"/>
        <w:bidi w:val="0"/>
        <w:spacing w:beforeAutospacing="0" w:line="600" w:lineRule="exact"/>
        <w:ind w:left="0" w:leftChars="0" w:firstLine="640" w:firstLineChars="200"/>
        <w:rPr>
          <w:rFonts w:ascii="黑体" w:hAnsi="黑体" w:eastAsia="黑体" w:cs="宋体"/>
          <w:color w:val="000000" w:themeColor="text1"/>
          <w:kern w:val="0"/>
          <w:sz w:val="32"/>
          <w:szCs w:val="32"/>
          <w14:textFill>
            <w14:solidFill>
              <w14:schemeClr w14:val="tx1"/>
            </w14:solidFill>
          </w14:textFill>
        </w:rPr>
      </w:pPr>
    </w:p>
    <w:p>
      <w:pPr>
        <w:pStyle w:val="3"/>
        <w:keepNext w:val="0"/>
        <w:keepLines w:val="0"/>
        <w:pageBreakBefore w:val="0"/>
        <w:kinsoku/>
        <w:wordWrap/>
        <w:overflowPunct/>
        <w:topLinePunct w:val="0"/>
        <w:bidi w:val="0"/>
        <w:spacing w:before="0" w:beforeAutospacing="0" w:after="0" w:line="600" w:lineRule="exact"/>
        <w:ind w:left="0" w:leftChars="0" w:firstLine="720" w:firstLineChars="200"/>
        <w:rPr>
          <w:rFonts w:hint="eastAsia" w:ascii="黑体" w:hAnsi="黑体" w:eastAsia="黑体" w:cs="黑体"/>
          <w:b w:val="0"/>
          <w:bCs w:val="0"/>
          <w:sz w:val="36"/>
          <w:szCs w:val="36"/>
        </w:rPr>
      </w:pPr>
    </w:p>
    <w:p>
      <w:pPr>
        <w:pStyle w:val="3"/>
        <w:keepNext w:val="0"/>
        <w:keepLines w:val="0"/>
        <w:pageBreakBefore w:val="0"/>
        <w:kinsoku/>
        <w:wordWrap/>
        <w:overflowPunct/>
        <w:topLinePunct w:val="0"/>
        <w:bidi w:val="0"/>
        <w:spacing w:before="0" w:beforeAutospacing="0" w:after="0" w:line="600" w:lineRule="exact"/>
        <w:ind w:left="0" w:leftChars="0" w:firstLine="720" w:firstLineChars="200"/>
        <w:rPr>
          <w:rFonts w:hint="eastAsia" w:ascii="黑体" w:hAnsi="黑体" w:eastAsia="黑体" w:cs="黑体"/>
          <w:b w:val="0"/>
          <w:bCs w:val="0"/>
          <w:sz w:val="36"/>
          <w:szCs w:val="36"/>
        </w:rPr>
      </w:pPr>
    </w:p>
    <w:p>
      <w:pPr>
        <w:pStyle w:val="3"/>
        <w:keepNext w:val="0"/>
        <w:keepLines w:val="0"/>
        <w:pageBreakBefore w:val="0"/>
        <w:kinsoku/>
        <w:wordWrap/>
        <w:overflowPunct/>
        <w:topLinePunct w:val="0"/>
        <w:bidi w:val="0"/>
        <w:spacing w:before="0" w:beforeAutospacing="0" w:after="0" w:line="600" w:lineRule="exact"/>
        <w:ind w:left="0" w:leftChars="0" w:firstLine="720" w:firstLineChars="200"/>
        <w:rPr>
          <w:rFonts w:hint="eastAsia" w:ascii="黑体" w:hAnsi="黑体" w:eastAsia="黑体" w:cs="黑体"/>
          <w:b w:val="0"/>
          <w:bCs w:val="0"/>
          <w:sz w:val="36"/>
          <w:szCs w:val="36"/>
        </w:rPr>
      </w:pPr>
    </w:p>
    <w:p>
      <w:pPr>
        <w:pStyle w:val="3"/>
        <w:keepNext w:val="0"/>
        <w:keepLines w:val="0"/>
        <w:pageBreakBefore w:val="0"/>
        <w:kinsoku/>
        <w:wordWrap/>
        <w:overflowPunct/>
        <w:topLinePunct w:val="0"/>
        <w:bidi w:val="0"/>
        <w:spacing w:before="0" w:beforeAutospacing="0" w:after="0" w:line="600" w:lineRule="exact"/>
        <w:ind w:left="0" w:leftChars="0" w:firstLine="720" w:firstLineChars="200"/>
        <w:rPr>
          <w:rFonts w:hint="eastAsia" w:ascii="黑体" w:hAnsi="黑体" w:eastAsia="黑体" w:cs="黑体"/>
          <w:b w:val="0"/>
          <w:bCs w:val="0"/>
          <w:sz w:val="36"/>
          <w:szCs w:val="36"/>
        </w:rPr>
      </w:pPr>
    </w:p>
    <w:p>
      <w:pPr>
        <w:pStyle w:val="3"/>
        <w:keepNext w:val="0"/>
        <w:keepLines w:val="0"/>
        <w:pageBreakBefore w:val="0"/>
        <w:kinsoku/>
        <w:wordWrap/>
        <w:overflowPunct/>
        <w:topLinePunct w:val="0"/>
        <w:bidi w:val="0"/>
        <w:spacing w:before="0" w:beforeAutospacing="0" w:after="0" w:line="600" w:lineRule="exact"/>
        <w:ind w:left="0" w:leftChars="0" w:firstLine="640" w:firstLineChars="200"/>
        <w:rPr>
          <w:rFonts w:ascii="黑体" w:hAnsi="黑体" w:eastAsia="黑体" w:cs="黑体"/>
          <w:b w:val="0"/>
          <w:bCs w:val="0"/>
          <w:sz w:val="32"/>
          <w:szCs w:val="32"/>
        </w:rPr>
      </w:pPr>
      <w:bookmarkStart w:id="33" w:name="_Toc521938677_WPSOffice_Level1"/>
      <w:r>
        <w:rPr>
          <w:rFonts w:hint="eastAsia" w:ascii="黑体" w:hAnsi="黑体" w:eastAsia="黑体" w:cs="黑体"/>
          <w:b w:val="0"/>
          <w:bCs w:val="0"/>
          <w:sz w:val="32"/>
          <w:szCs w:val="32"/>
        </w:rPr>
        <w:t>一、“十三五”主要成效</w:t>
      </w:r>
      <w:bookmarkEnd w:id="33"/>
    </w:p>
    <w:p>
      <w:pPr>
        <w:pStyle w:val="49"/>
        <w:pageBreakBefore w:val="0"/>
        <w:widowControl w:val="0"/>
        <w:kinsoku/>
        <w:wordWrap/>
        <w:overflowPunct/>
        <w:topLinePunct w:val="0"/>
        <w:bidi w:val="0"/>
        <w:spacing w:beforeAutospacing="0" w:line="600" w:lineRule="exact"/>
        <w:ind w:left="0" w:leftChars="0" w:firstLine="643" w:firstLineChars="200"/>
        <w:rPr>
          <w:rFonts w:ascii="仿宋" w:hAnsi="仿宋" w:eastAsia="仿宋"/>
          <w:sz w:val="32"/>
          <w:szCs w:val="32"/>
        </w:rPr>
      </w:pPr>
      <w:bookmarkStart w:id="34" w:name="_Toc47037031"/>
      <w:bookmarkStart w:id="35" w:name="_Toc53125885"/>
      <w:r>
        <w:rPr>
          <w:rFonts w:hint="eastAsia" w:ascii="华文楷体" w:hAnsi="华文楷体" w:eastAsia="华文楷体" w:cs="华文楷体"/>
          <w:b/>
          <w:bCs/>
          <w:color w:val="000000"/>
          <w:sz w:val="32"/>
          <w:szCs w:val="32"/>
        </w:rPr>
        <w:t>1.</w:t>
      </w:r>
      <w:r>
        <w:rPr>
          <w:rFonts w:hint="eastAsia" w:ascii="华文楷体" w:hAnsi="华文楷体" w:eastAsia="华文楷体" w:cs="华文楷体"/>
          <w:b/>
          <w:bCs/>
          <w:color w:val="000000"/>
          <w:sz w:val="32"/>
          <w:szCs w:val="32"/>
          <w:lang w:val="zh-CN"/>
        </w:rPr>
        <w:t>安全形势总体平稳。</w:t>
      </w:r>
      <w:r>
        <w:rPr>
          <w:rFonts w:hint="eastAsia" w:ascii="仿宋" w:hAnsi="仿宋" w:eastAsia="仿宋"/>
          <w:sz w:val="32"/>
          <w:szCs w:val="32"/>
          <w:lang w:val="zh-CN"/>
        </w:rPr>
        <w:t>“十三五”期间，</w:t>
      </w:r>
      <w:r>
        <w:rPr>
          <w:rFonts w:ascii="仿宋" w:hAnsi="仿宋" w:eastAsia="仿宋"/>
          <w:sz w:val="32"/>
          <w:szCs w:val="32"/>
          <w:lang w:val="zh-CN"/>
        </w:rPr>
        <w:t>全县</w:t>
      </w:r>
      <w:r>
        <w:rPr>
          <w:rFonts w:hint="eastAsia" w:ascii="仿宋" w:hAnsi="仿宋" w:eastAsia="仿宋"/>
          <w:sz w:val="32"/>
          <w:szCs w:val="32"/>
          <w:lang w:val="zh-CN"/>
        </w:rPr>
        <w:t>生产安全事故起数和死亡人数呈逐年下降的趋势；亿元</w:t>
      </w:r>
      <w:r>
        <w:rPr>
          <w:rFonts w:hint="eastAsia" w:ascii="仿宋" w:hAnsi="仿宋" w:eastAsia="仿宋"/>
          <w:sz w:val="32"/>
          <w:szCs w:val="32"/>
        </w:rPr>
        <w:t>GDP死亡率和煤矿百</w:t>
      </w:r>
      <w:r>
        <w:rPr>
          <w:rFonts w:hint="eastAsia" w:ascii="仿宋" w:hAnsi="仿宋" w:eastAsia="仿宋"/>
          <w:color w:val="000000" w:themeColor="text1"/>
          <w:sz w:val="32"/>
          <w:szCs w:val="32"/>
          <w14:textFill>
            <w14:solidFill>
              <w14:schemeClr w14:val="tx1"/>
            </w14:solidFill>
          </w14:textFill>
        </w:rPr>
        <w:t>万吨死亡率大幅下降，截止2020年底，亿元GDP死亡率为0.031，</w:t>
      </w:r>
      <w:r>
        <w:rPr>
          <w:rFonts w:hint="eastAsia" w:ascii="仿宋" w:hAnsi="仿宋" w:eastAsia="仿宋"/>
          <w:sz w:val="32"/>
          <w:szCs w:val="32"/>
        </w:rPr>
        <w:t>煤矿百万吨死亡率为0。</w:t>
      </w:r>
      <w:r>
        <w:rPr>
          <w:rFonts w:ascii="仿宋" w:hAnsi="仿宋" w:eastAsia="仿宋"/>
          <w:sz w:val="32"/>
          <w:szCs w:val="32"/>
        </w:rPr>
        <w:t>煤炭、危险化学品等行业三年未发生伤亡事故，煤矿企业创下连续51个月安全生产最长周期。</w:t>
      </w:r>
    </w:p>
    <w:tbl>
      <w:tblPr>
        <w:tblStyle w:val="28"/>
        <w:tblW w:w="849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05"/>
        <w:gridCol w:w="665"/>
        <w:gridCol w:w="776"/>
        <w:gridCol w:w="777"/>
        <w:gridCol w:w="751"/>
        <w:gridCol w:w="777"/>
        <w:gridCol w:w="674"/>
        <w:gridCol w:w="675"/>
        <w:gridCol w:w="674"/>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vMerge w:val="restart"/>
            <w:tcBorders>
              <w:top w:val="single" w:color="auto" w:sz="4" w:space="0"/>
              <w:left w:val="single" w:color="auto" w:sz="4" w:space="0"/>
              <w:bottom w:val="single" w:color="auto" w:sz="4" w:space="0"/>
              <w:right w:val="single" w:color="auto" w:sz="4" w:space="0"/>
            </w:tcBorders>
            <w:vAlign w:val="center"/>
          </w:tcPr>
          <w:p>
            <w:pPr>
              <w:pStyle w:val="50"/>
              <w:pageBreakBefore w:val="0"/>
              <w:kinsoku/>
              <w:wordWrap/>
              <w:overflowPunct/>
              <w:topLinePunct w:val="0"/>
              <w:autoSpaceDE w:val="0"/>
              <w:bidi w:val="0"/>
              <w:spacing w:before="0" w:beforeAutospacing="0" w:line="600" w:lineRule="exact"/>
              <w:ind w:left="0" w:leftChars="0" w:firstLine="0"/>
              <w:jc w:val="center"/>
              <w:rPr>
                <w:rFonts w:ascii="Times New Roman" w:hAnsi="Times New Roman" w:eastAsia="黑体" w:cs="Times New Roman"/>
                <w:sz w:val="21"/>
                <w:szCs w:val="21"/>
              </w:rPr>
            </w:pPr>
            <w:r>
              <w:rPr>
                <w:rFonts w:ascii="Times New Roman" w:hAnsi="Times New Roman" w:eastAsia="黑体" w:cs="Times New Roman"/>
                <w:sz w:val="21"/>
                <w:szCs w:val="21"/>
              </w:rPr>
              <w:t>事故年份</w:t>
            </w:r>
          </w:p>
        </w:tc>
        <w:tc>
          <w:tcPr>
            <w:tcW w:w="705" w:type="dxa"/>
            <w:vMerge w:val="restar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事故起数</w:t>
            </w:r>
          </w:p>
        </w:tc>
        <w:tc>
          <w:tcPr>
            <w:tcW w:w="665" w:type="dxa"/>
            <w:vMerge w:val="restart"/>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死亡人数</w:t>
            </w:r>
          </w:p>
        </w:tc>
        <w:tc>
          <w:tcPr>
            <w:tcW w:w="1553"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交通运输</w:t>
            </w:r>
          </w:p>
        </w:tc>
        <w:tc>
          <w:tcPr>
            <w:tcW w:w="1528"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煤矿</w:t>
            </w:r>
          </w:p>
        </w:tc>
        <w:tc>
          <w:tcPr>
            <w:tcW w:w="1349"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水电</w:t>
            </w:r>
          </w:p>
        </w:tc>
        <w:tc>
          <w:tcPr>
            <w:tcW w:w="1349" w:type="dxa"/>
            <w:gridSpan w:val="2"/>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道路施工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beforeAutospacing="0" w:line="600" w:lineRule="exact"/>
              <w:ind w:left="0" w:leftChars="0"/>
              <w:rPr>
                <w:rFonts w:ascii="Times New Roman" w:hAnsi="Times New Roman" w:eastAsia="黑体"/>
              </w:rPr>
            </w:pPr>
          </w:p>
        </w:tc>
        <w:tc>
          <w:tcPr>
            <w:tcW w:w="0" w:type="auto"/>
            <w:vMerge w:val="continue"/>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beforeAutospacing="0" w:line="600" w:lineRule="exact"/>
              <w:ind w:left="0" w:leftChars="0"/>
              <w:rPr>
                <w:rFonts w:ascii="Times New Roman" w:hAnsi="Times New Roman" w:eastAsia="黑体"/>
              </w:rPr>
            </w:pPr>
          </w:p>
        </w:tc>
        <w:tc>
          <w:tcPr>
            <w:tcW w:w="0" w:type="auto"/>
            <w:vMerge w:val="continue"/>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beforeAutospacing="0" w:line="600" w:lineRule="exact"/>
              <w:ind w:left="0" w:leftChars="0"/>
              <w:rPr>
                <w:rFonts w:ascii="Times New Roman" w:hAnsi="Times New Roman" w:eastAsia="黑体"/>
              </w:rPr>
            </w:pPr>
          </w:p>
        </w:tc>
        <w:tc>
          <w:tcPr>
            <w:tcW w:w="776"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起数</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人数</w:t>
            </w:r>
          </w:p>
        </w:tc>
        <w:tc>
          <w:tcPr>
            <w:tcW w:w="7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起数</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人数</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起数</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人数</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起数</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黑体"/>
              </w:rPr>
            </w:pPr>
            <w:r>
              <w:rPr>
                <w:rFonts w:ascii="Times New Roman" w:hAnsi="Times New Roman" w:eastAsia="黑体"/>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bookmarkStart w:id="36" w:name="OLE_LINK1"/>
            <w:r>
              <w:rPr>
                <w:rFonts w:ascii="Times New Roman" w:hAnsi="Times New Roman" w:eastAsia="仿宋_GB2312"/>
              </w:rPr>
              <w:t>2016</w:t>
            </w:r>
            <w:bookmarkEnd w:id="36"/>
          </w:p>
        </w:tc>
        <w:tc>
          <w:tcPr>
            <w:tcW w:w="7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19</w:t>
            </w:r>
          </w:p>
        </w:tc>
        <w:tc>
          <w:tcPr>
            <w:tcW w:w="66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15</w:t>
            </w:r>
          </w:p>
        </w:tc>
        <w:tc>
          <w:tcPr>
            <w:tcW w:w="776"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18</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11</w:t>
            </w:r>
          </w:p>
        </w:tc>
        <w:tc>
          <w:tcPr>
            <w:tcW w:w="7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4</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2017</w:t>
            </w:r>
          </w:p>
        </w:tc>
        <w:tc>
          <w:tcPr>
            <w:tcW w:w="7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18</w:t>
            </w:r>
          </w:p>
        </w:tc>
        <w:tc>
          <w:tcPr>
            <w:tcW w:w="66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14</w:t>
            </w:r>
          </w:p>
        </w:tc>
        <w:tc>
          <w:tcPr>
            <w:tcW w:w="776"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17</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13</w:t>
            </w:r>
          </w:p>
        </w:tc>
        <w:tc>
          <w:tcPr>
            <w:tcW w:w="7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2018</w:t>
            </w:r>
          </w:p>
        </w:tc>
        <w:tc>
          <w:tcPr>
            <w:tcW w:w="7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21</w:t>
            </w:r>
          </w:p>
        </w:tc>
        <w:tc>
          <w:tcPr>
            <w:tcW w:w="66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11</w:t>
            </w:r>
          </w:p>
        </w:tc>
        <w:tc>
          <w:tcPr>
            <w:tcW w:w="776"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20</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0</w:t>
            </w:r>
          </w:p>
        </w:tc>
        <w:tc>
          <w:tcPr>
            <w:tcW w:w="7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3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2019</w:t>
            </w:r>
          </w:p>
        </w:tc>
        <w:tc>
          <w:tcPr>
            <w:tcW w:w="7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w:t>
            </w:r>
          </w:p>
        </w:tc>
        <w:tc>
          <w:tcPr>
            <w:tcW w:w="66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9</w:t>
            </w:r>
          </w:p>
        </w:tc>
        <w:tc>
          <w:tcPr>
            <w:tcW w:w="776"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20</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9</w:t>
            </w:r>
          </w:p>
        </w:tc>
        <w:tc>
          <w:tcPr>
            <w:tcW w:w="7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2020</w:t>
            </w:r>
          </w:p>
        </w:tc>
        <w:tc>
          <w:tcPr>
            <w:tcW w:w="70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7</w:t>
            </w:r>
          </w:p>
        </w:tc>
        <w:tc>
          <w:tcPr>
            <w:tcW w:w="66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7</w:t>
            </w:r>
          </w:p>
        </w:tc>
        <w:tc>
          <w:tcPr>
            <w:tcW w:w="776"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7</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hint="eastAsia" w:ascii="Times New Roman" w:hAnsi="Times New Roman" w:eastAsia="仿宋_GB2312"/>
              </w:rPr>
              <w:t>7</w:t>
            </w:r>
          </w:p>
        </w:tc>
        <w:tc>
          <w:tcPr>
            <w:tcW w:w="75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777"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c>
          <w:tcPr>
            <w:tcW w:w="675"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val="0"/>
              <w:bidi w:val="0"/>
              <w:spacing w:beforeAutospacing="0" w:line="600" w:lineRule="exact"/>
              <w:ind w:left="0" w:leftChars="0"/>
              <w:jc w:val="center"/>
              <w:rPr>
                <w:rFonts w:ascii="Times New Roman" w:hAnsi="Times New Roman" w:eastAsia="仿宋_GB2312"/>
              </w:rPr>
            </w:pPr>
            <w:r>
              <w:rPr>
                <w:rFonts w:ascii="Times New Roman" w:hAnsi="Times New Roman" w:eastAsia="仿宋_GB2312"/>
              </w:rPr>
              <w:t>0</w:t>
            </w:r>
          </w:p>
        </w:tc>
      </w:tr>
    </w:tbl>
    <w:p>
      <w:pPr>
        <w:pStyle w:val="51"/>
        <w:pageBreakBefore w:val="0"/>
        <w:kinsoku/>
        <w:wordWrap/>
        <w:overflowPunct/>
        <w:topLinePunct w:val="0"/>
        <w:autoSpaceDE w:val="0"/>
        <w:bidi w:val="0"/>
        <w:spacing w:before="0" w:beforeAutospacing="0" w:line="600" w:lineRule="exact"/>
        <w:ind w:left="0" w:leftChars="0" w:firstLine="0" w:firstLineChars="0"/>
        <w:jc w:val="center"/>
        <w:rPr>
          <w:rFonts w:ascii="黑体" w:hAnsi="黑体" w:eastAsia="黑体"/>
          <w:sz w:val="32"/>
          <w:szCs w:val="32"/>
        </w:rPr>
      </w:pPr>
      <w:r>
        <w:rPr>
          <w:rFonts w:ascii="Times New Roman" w:hAnsi="Times New Roman" w:eastAsia="黑体"/>
          <w:sz w:val="32"/>
          <w:szCs w:val="32"/>
        </w:rPr>
        <w:t>2016-2020</w:t>
      </w:r>
      <w:r>
        <w:rPr>
          <w:rFonts w:ascii="黑体" w:hAnsi="黑体" w:eastAsia="黑体"/>
          <w:sz w:val="32"/>
          <w:szCs w:val="32"/>
        </w:rPr>
        <w:t>事故统计表</w:t>
      </w:r>
    </w:p>
    <w:p>
      <w:pPr>
        <w:pStyle w:val="51"/>
        <w:pageBreakBefore w:val="0"/>
        <w:kinsoku/>
        <w:wordWrap/>
        <w:overflowPunct/>
        <w:topLinePunct w:val="0"/>
        <w:autoSpaceDE w:val="0"/>
        <w:bidi w:val="0"/>
        <w:spacing w:before="0" w:beforeAutospacing="0" w:line="600" w:lineRule="exact"/>
        <w:ind w:left="0" w:leftChars="0" w:firstLine="0" w:firstLineChars="0"/>
        <w:jc w:val="center"/>
        <w:rPr>
          <w:rFonts w:hint="eastAsia" w:ascii="CESI楷体-GB2312" w:hAnsi="CESI楷体-GB2312" w:eastAsia="CESI楷体-GB2312" w:cs="CESI楷体-GB2312"/>
          <w:kern w:val="0"/>
          <w:sz w:val="32"/>
          <w:szCs w:val="32"/>
        </w:rPr>
      </w:pPr>
      <w:r>
        <w:rPr>
          <w:rFonts w:hint="eastAsia" w:ascii="CESI楷体-GB2312" w:hAnsi="CESI楷体-GB2312" w:eastAsia="CESI楷体-GB2312" w:cs="CESI楷体-GB2312"/>
          <w:kern w:val="0"/>
          <w:sz w:val="32"/>
          <w:szCs w:val="32"/>
        </w:rPr>
        <w:t>（注：2019年以后安全生产事故统计口径发生变化，由原先的生产安全事故统计未生产安全亡人事故）</w:t>
      </w:r>
    </w:p>
    <w:p>
      <w:pPr>
        <w:pStyle w:val="2"/>
        <w:spacing w:after="0" w:line="620" w:lineRule="exact"/>
        <w:ind w:firstLine="643" w:firstLineChars="200"/>
        <w:rPr>
          <w:rFonts w:ascii="仿宋" w:hAnsi="仿宋" w:eastAsia="仿宋" w:cs="Times New Roman"/>
          <w:kern w:val="0"/>
          <w:sz w:val="32"/>
          <w:szCs w:val="32"/>
          <w:lang w:val="en-US" w:eastAsia="zh-CN" w:bidi="ar-SA"/>
        </w:rPr>
      </w:pPr>
      <w:r>
        <w:rPr>
          <w:rFonts w:hint="eastAsia" w:ascii="楷体" w:hAnsi="楷体" w:eastAsia="楷体"/>
          <w:b/>
          <w:bCs/>
          <w:kern w:val="0"/>
          <w:sz w:val="32"/>
          <w:szCs w:val="32"/>
        </w:rPr>
        <w:t>2.安全目标责任制体系更加完善。</w:t>
      </w:r>
      <w:r>
        <w:rPr>
          <w:rFonts w:ascii="仿宋_GB2312" w:hAnsi="Times New Roman" w:eastAsia="仿宋_GB2312"/>
          <w:sz w:val="32"/>
          <w:szCs w:val="32"/>
        </w:rPr>
        <w:t>贯彻落实《地方党政领导干部安全生产责任制规定》</w:t>
      </w:r>
      <w:r>
        <w:rPr>
          <w:rFonts w:hint="eastAsia" w:ascii="仿宋_GB2312" w:hAnsi="Times New Roman" w:eastAsia="仿宋_GB2312"/>
          <w:sz w:val="32"/>
          <w:szCs w:val="32"/>
          <w:lang w:val="en-US" w:eastAsia="zh-CN"/>
        </w:rPr>
        <w:t>,制定印发了《沁水县安全生产监管职责》和《管行业必须管安全、管业务必须管安全、管生产经营必须管安全实施细则》，</w:t>
      </w:r>
      <w:r>
        <w:rPr>
          <w:rStyle w:val="54"/>
          <w:rFonts w:ascii="仿宋_GB2312" w:hAnsi="仿宋_GB2312" w:eastAsia="仿宋_GB2312"/>
          <w:b w:val="0"/>
          <w:i w:val="0"/>
          <w:iCs w:val="0"/>
          <w:caps w:val="0"/>
          <w:color w:val="000000"/>
          <w:spacing w:val="0"/>
          <w:w w:val="100"/>
          <w:kern w:val="2"/>
          <w:sz w:val="32"/>
          <w:szCs w:val="32"/>
          <w:lang w:val="en-US" w:eastAsia="zh-CN" w:bidi="ar-SA"/>
        </w:rPr>
        <w:t>细化了行业主管部门直接监管、应急管理部门综合监管、地方政府属地监管责任</w:t>
      </w:r>
      <w:r>
        <w:rPr>
          <w:rStyle w:val="54"/>
          <w:rFonts w:ascii="仿宋_GB2312" w:hAnsi="Calibri" w:eastAsia="仿宋_GB2312"/>
          <w:b w:val="0"/>
          <w:i w:val="0"/>
          <w:iCs w:val="0"/>
          <w:caps w:val="0"/>
          <w:color w:val="000000"/>
          <w:spacing w:val="0"/>
          <w:w w:val="100"/>
          <w:kern w:val="2"/>
          <w:sz w:val="32"/>
          <w:szCs w:val="32"/>
          <w:lang w:val="en-US" w:eastAsia="zh-CN" w:bidi="ar-SA"/>
        </w:rPr>
        <w:t>。</w:t>
      </w:r>
      <w:r>
        <w:rPr>
          <w:rFonts w:ascii="仿宋" w:hAnsi="仿宋" w:eastAsia="仿宋" w:cs="Times New Roman"/>
          <w:kern w:val="0"/>
          <w:sz w:val="32"/>
          <w:szCs w:val="32"/>
          <w:lang w:val="en-US" w:eastAsia="zh-CN" w:bidi="ar-SA"/>
        </w:rPr>
        <w:t>实行分级分类管控，将全县19座煤矿分为A类1座、B类8座、C类8座、D类2座。其它行业进行了红、橙、黄、蓝四色分类管理。</w:t>
      </w:r>
      <w:r>
        <w:rPr>
          <w:rFonts w:hint="eastAsia" w:ascii="仿宋" w:hAnsi="仿宋" w:eastAsia="仿宋" w:cs="Times New Roman"/>
          <w:kern w:val="0"/>
          <w:sz w:val="32"/>
          <w:szCs w:val="32"/>
          <w:lang w:val="en-US" w:eastAsia="zh-CN" w:bidi="ar-SA"/>
        </w:rPr>
        <w:t>严格落实企业主要负责人安全生产履职尽责承诺制度，重点行业领域安全生产履职尽责承诺书签订率达到100%。</w:t>
      </w:r>
    </w:p>
    <w:p>
      <w:pPr>
        <w:pStyle w:val="51"/>
        <w:pageBreakBefore w:val="0"/>
        <w:kinsoku/>
        <w:wordWrap/>
        <w:overflowPunct/>
        <w:topLinePunct w:val="0"/>
        <w:autoSpaceDE w:val="0"/>
        <w:bidi w:val="0"/>
        <w:spacing w:before="0" w:beforeAutospacing="0" w:line="600" w:lineRule="exact"/>
        <w:ind w:left="0" w:leftChars="0" w:firstLine="643" w:firstLineChars="200"/>
        <w:rPr>
          <w:rFonts w:hint="eastAsia" w:ascii="仿宋_GB2312" w:hAnsi="Times New Roman" w:eastAsia="仿宋_GB2312"/>
          <w:color w:val="000000" w:themeColor="text1"/>
          <w:kern w:val="0"/>
          <w:sz w:val="32"/>
          <w:szCs w:val="32"/>
          <w14:textFill>
            <w14:solidFill>
              <w14:schemeClr w14:val="tx1"/>
            </w14:solidFill>
          </w14:textFill>
        </w:rPr>
      </w:pPr>
      <w:r>
        <w:rPr>
          <w:rFonts w:hint="eastAsia" w:ascii="楷体" w:hAnsi="楷体" w:eastAsia="楷体"/>
          <w:b/>
          <w:bCs/>
          <w:kern w:val="0"/>
          <w:sz w:val="32"/>
          <w:szCs w:val="32"/>
        </w:rPr>
        <w:t>3.安全隐患排查整治体系更加完善。</w:t>
      </w:r>
      <w:r>
        <w:rPr>
          <w:rFonts w:hint="eastAsia" w:ascii="仿宋_GB2312" w:hAnsi="Times New Roman" w:eastAsia="仿宋_GB2312"/>
          <w:color w:val="000000" w:themeColor="text1"/>
          <w:kern w:val="0"/>
          <w:sz w:val="32"/>
          <w:szCs w:val="32"/>
          <w14:textFill>
            <w14:solidFill>
              <w14:schemeClr w14:val="tx1"/>
            </w14:solidFill>
          </w14:textFill>
        </w:rPr>
        <w:t>在重点行业领域开展安全风险辨识，确定225家企业全</w:t>
      </w:r>
      <w:r>
        <w:rPr>
          <w:rFonts w:hint="eastAsia" w:ascii="仿宋_GB2312" w:hAnsi="Times New Roman" w:eastAsia="仿宋_GB2312"/>
          <w:color w:val="000000" w:themeColor="text1"/>
          <w:kern w:val="0"/>
          <w:sz w:val="32"/>
          <w:szCs w:val="32"/>
          <w:lang w:eastAsia="zh-CN"/>
          <w14:textFill>
            <w14:solidFill>
              <w14:schemeClr w14:val="tx1"/>
            </w14:solidFill>
          </w14:textFill>
        </w:rPr>
        <w:t>县</w:t>
      </w:r>
      <w:r>
        <w:rPr>
          <w:rFonts w:hint="eastAsia" w:ascii="仿宋_GB2312" w:hAnsi="Times New Roman" w:eastAsia="仿宋_GB2312"/>
          <w:color w:val="000000" w:themeColor="text1"/>
          <w:kern w:val="0"/>
          <w:sz w:val="32"/>
          <w:szCs w:val="32"/>
          <w14:textFill>
            <w14:solidFill>
              <w14:schemeClr w14:val="tx1"/>
            </w14:solidFill>
          </w14:textFill>
        </w:rPr>
        <w:t>联网直报。集中开展专项整治7000余企次，排查治理各类问题隐患18000余条，完成了6大类共29项具体工作，4座</w:t>
      </w:r>
      <w:r>
        <w:rPr>
          <w:rFonts w:hint="eastAsia" w:ascii="仿宋_GB2312" w:hAnsi="Times New Roman" w:eastAsia="仿宋_GB2312"/>
          <w:color w:val="000000" w:themeColor="text1"/>
          <w:kern w:val="0"/>
          <w:sz w:val="32"/>
          <w:szCs w:val="32"/>
          <w:lang w:eastAsia="zh-CN"/>
          <w14:textFill>
            <w14:solidFill>
              <w14:schemeClr w14:val="tx1"/>
            </w14:solidFill>
          </w14:textFill>
        </w:rPr>
        <w:t>煤矿</w:t>
      </w:r>
      <w:r>
        <w:rPr>
          <w:rFonts w:hint="eastAsia" w:ascii="仿宋_GB2312" w:hAnsi="Times New Roman" w:eastAsia="仿宋_GB2312"/>
          <w:color w:val="000000" w:themeColor="text1"/>
          <w:kern w:val="0"/>
          <w:sz w:val="32"/>
          <w:szCs w:val="32"/>
          <w14:textFill>
            <w14:solidFill>
              <w14:schemeClr w14:val="tx1"/>
            </w14:solidFill>
          </w14:textFill>
        </w:rPr>
        <w:t>达一级安全生产标准化</w:t>
      </w:r>
      <w:r>
        <w:rPr>
          <w:rFonts w:hint="eastAsia" w:ascii="仿宋_GB2312" w:hAnsi="Times New Roman" w:eastAsia="仿宋_GB2312"/>
          <w:color w:val="000000" w:themeColor="text1"/>
          <w:kern w:val="0"/>
          <w:sz w:val="32"/>
          <w:szCs w:val="32"/>
          <w:lang w:eastAsia="zh-CN"/>
          <w14:textFill>
            <w14:solidFill>
              <w14:schemeClr w14:val="tx1"/>
            </w14:solidFill>
          </w14:textFill>
        </w:rPr>
        <w:t>，</w:t>
      </w:r>
      <w:r>
        <w:rPr>
          <w:rFonts w:hint="eastAsia" w:ascii="仿宋_GB2312" w:hAnsi="Times New Roman" w:eastAsia="仿宋_GB2312"/>
          <w:color w:val="000000" w:themeColor="text1"/>
          <w:kern w:val="0"/>
          <w:sz w:val="32"/>
          <w:szCs w:val="32"/>
          <w:lang w:val="en-US" w:eastAsia="zh-CN"/>
          <w14:textFill>
            <w14:solidFill>
              <w14:schemeClr w14:val="tx1"/>
            </w14:solidFill>
          </w14:textFill>
        </w:rPr>
        <w:t>10座煤矿达到二级</w:t>
      </w:r>
      <w:r>
        <w:rPr>
          <w:rFonts w:hint="eastAsia" w:ascii="仿宋_GB2312" w:hAnsi="Times New Roman" w:eastAsia="仿宋_GB2312"/>
          <w:color w:val="000000" w:themeColor="text1"/>
          <w:kern w:val="0"/>
          <w:sz w:val="32"/>
          <w:szCs w:val="32"/>
          <w14:textFill>
            <w14:solidFill>
              <w14:schemeClr w14:val="tx1"/>
            </w14:solidFill>
          </w14:textFill>
        </w:rPr>
        <w:t>安全生产</w:t>
      </w:r>
      <w:r>
        <w:rPr>
          <w:rFonts w:hint="eastAsia" w:ascii="仿宋_GB2312" w:hAnsi="Times New Roman" w:eastAsia="仿宋_GB2312"/>
          <w:color w:val="000000" w:themeColor="text1"/>
          <w:kern w:val="0"/>
          <w:sz w:val="32"/>
          <w:szCs w:val="32"/>
          <w:lang w:val="en-US" w:eastAsia="zh-CN"/>
          <w14:textFill>
            <w14:solidFill>
              <w14:schemeClr w14:val="tx1"/>
            </w14:solidFill>
          </w14:textFill>
        </w:rPr>
        <w:t>标准化</w:t>
      </w:r>
      <w:r>
        <w:rPr>
          <w:rFonts w:hint="eastAsia" w:ascii="仿宋_GB2312" w:hAnsi="Times New Roman" w:eastAsia="仿宋_GB2312"/>
          <w:color w:val="000000" w:themeColor="text1"/>
          <w:kern w:val="0"/>
          <w:sz w:val="32"/>
          <w:szCs w:val="32"/>
          <w14:textFill>
            <w14:solidFill>
              <w14:schemeClr w14:val="tx1"/>
            </w14:solidFill>
          </w14:textFill>
        </w:rPr>
        <w:t>；危化企业三级标准化创建率达到100%、二级达到75%，居全市第一。五年来，累计排查企业23000余家次，排查隐患212000余条，行政处罚1040余万元。</w:t>
      </w:r>
    </w:p>
    <w:p>
      <w:pPr>
        <w:pStyle w:val="51"/>
        <w:pageBreakBefore w:val="0"/>
        <w:kinsoku/>
        <w:wordWrap/>
        <w:overflowPunct/>
        <w:topLinePunct w:val="0"/>
        <w:autoSpaceDE w:val="0"/>
        <w:bidi w:val="0"/>
        <w:spacing w:before="0" w:beforeAutospacing="0" w:line="600" w:lineRule="exact"/>
        <w:ind w:left="0" w:leftChars="0" w:firstLine="643" w:firstLineChars="200"/>
        <w:rPr>
          <w:rFonts w:ascii="仿宋_GB2312" w:hAnsi="Times New Roman" w:eastAsia="仿宋_GB2312"/>
          <w:kern w:val="0"/>
          <w:sz w:val="32"/>
          <w:szCs w:val="32"/>
        </w:rPr>
      </w:pPr>
      <w:r>
        <w:rPr>
          <w:rFonts w:hint="eastAsia" w:ascii="楷体" w:hAnsi="楷体" w:eastAsia="楷体"/>
          <w:b/>
          <w:bCs/>
          <w:kern w:val="0"/>
          <w:sz w:val="32"/>
          <w:szCs w:val="32"/>
        </w:rPr>
        <w:t>4.安全监管队伍体系更加完善。</w:t>
      </w:r>
      <w:r>
        <w:rPr>
          <w:rFonts w:ascii="仿宋_GB2312" w:hAnsi="Times New Roman" w:eastAsia="仿宋_GB2312"/>
          <w:kern w:val="0"/>
          <w:sz w:val="32"/>
          <w:szCs w:val="32"/>
        </w:rPr>
        <w:t>县、乡两级成立安全生产委员会，乡镇安监人员</w:t>
      </w:r>
      <w:r>
        <w:rPr>
          <w:rFonts w:hint="eastAsia" w:ascii="仿宋_GB2312" w:hAnsi="Times New Roman" w:eastAsia="仿宋_GB2312"/>
          <w:kern w:val="0"/>
          <w:sz w:val="32"/>
          <w:szCs w:val="32"/>
        </w:rPr>
        <w:t>列入</w:t>
      </w:r>
      <w:r>
        <w:rPr>
          <w:rFonts w:ascii="仿宋_GB2312" w:hAnsi="Times New Roman" w:eastAsia="仿宋_GB2312"/>
          <w:kern w:val="0"/>
          <w:sz w:val="32"/>
          <w:szCs w:val="32"/>
        </w:rPr>
        <w:t>财政预算工资</w:t>
      </w:r>
      <w:r>
        <w:rPr>
          <w:rFonts w:hint="eastAsia" w:ascii="仿宋_GB2312" w:hAnsi="Times New Roman" w:eastAsia="仿宋_GB2312"/>
          <w:kern w:val="0"/>
          <w:sz w:val="32"/>
          <w:szCs w:val="32"/>
        </w:rPr>
        <w:t>、</w:t>
      </w:r>
      <w:r>
        <w:rPr>
          <w:rFonts w:ascii="仿宋_GB2312" w:hAnsi="Times New Roman" w:eastAsia="仿宋_GB2312"/>
          <w:kern w:val="0"/>
          <w:sz w:val="32"/>
          <w:szCs w:val="32"/>
        </w:rPr>
        <w:t>全额事业编制。各行政村和经营主体单位都有分管安全领导和安全生产协管员。县乡村（行业）三级安全生产监管体系初显成效。</w:t>
      </w:r>
    </w:p>
    <w:p>
      <w:pPr>
        <w:pStyle w:val="51"/>
        <w:pageBreakBefore w:val="0"/>
        <w:kinsoku/>
        <w:wordWrap/>
        <w:overflowPunct/>
        <w:topLinePunct w:val="0"/>
        <w:autoSpaceDE w:val="0"/>
        <w:bidi w:val="0"/>
        <w:spacing w:before="0" w:beforeAutospacing="0" w:line="600" w:lineRule="exact"/>
        <w:ind w:left="0" w:leftChars="0" w:firstLine="643" w:firstLineChars="200"/>
        <w:rPr>
          <w:rFonts w:ascii="仿宋_GB2312" w:hAnsi="Times New Roman" w:eastAsia="仿宋_GB2312"/>
          <w:kern w:val="0"/>
          <w:sz w:val="32"/>
          <w:szCs w:val="32"/>
        </w:rPr>
      </w:pPr>
      <w:r>
        <w:rPr>
          <w:rFonts w:hint="eastAsia" w:ascii="楷体" w:hAnsi="楷体" w:eastAsia="楷体"/>
          <w:b/>
          <w:bCs/>
          <w:kern w:val="0"/>
          <w:sz w:val="32"/>
          <w:szCs w:val="32"/>
          <w:lang w:val="en-US" w:eastAsia="zh-CN"/>
        </w:rPr>
        <w:t>5</w:t>
      </w:r>
      <w:r>
        <w:rPr>
          <w:rFonts w:hint="eastAsia" w:ascii="楷体" w:hAnsi="楷体" w:eastAsia="楷体"/>
          <w:b/>
          <w:bCs/>
          <w:kern w:val="0"/>
          <w:sz w:val="32"/>
          <w:szCs w:val="32"/>
        </w:rPr>
        <w:t>.</w:t>
      </w:r>
      <w:r>
        <w:rPr>
          <w:rFonts w:ascii="楷体" w:hAnsi="楷体" w:eastAsia="楷体"/>
          <w:b/>
          <w:bCs/>
          <w:kern w:val="0"/>
          <w:sz w:val="32"/>
          <w:szCs w:val="32"/>
        </w:rPr>
        <w:t>安全宣传教育培训体系</w:t>
      </w:r>
      <w:r>
        <w:rPr>
          <w:rFonts w:hint="eastAsia" w:ascii="楷体" w:hAnsi="楷体" w:eastAsia="楷体"/>
          <w:b/>
          <w:bCs/>
          <w:kern w:val="0"/>
          <w:sz w:val="32"/>
          <w:szCs w:val="32"/>
        </w:rPr>
        <w:t>更加完善。</w:t>
      </w:r>
      <w:r>
        <w:rPr>
          <w:rFonts w:ascii="仿宋_GB2312" w:hAnsi="Times New Roman" w:eastAsia="仿宋_GB2312"/>
          <w:kern w:val="0"/>
          <w:sz w:val="32"/>
          <w:szCs w:val="32"/>
        </w:rPr>
        <w:t>每年县级领导参加集中培训不少于1次，安全生产系统和乡镇安监人员共</w:t>
      </w:r>
      <w:r>
        <w:rPr>
          <w:rFonts w:hint="eastAsia" w:ascii="仿宋_GB2312" w:hAnsi="Times New Roman" w:eastAsia="仿宋_GB2312"/>
          <w:kern w:val="0"/>
          <w:sz w:val="32"/>
          <w:szCs w:val="32"/>
          <w:lang w:val="en-US" w:eastAsia="zh-CN"/>
        </w:rPr>
        <w:t>92</w:t>
      </w:r>
      <w:r>
        <w:rPr>
          <w:rFonts w:ascii="仿宋_GB2312" w:hAnsi="Times New Roman" w:eastAsia="仿宋_GB2312"/>
          <w:kern w:val="0"/>
          <w:sz w:val="32"/>
          <w:szCs w:val="32"/>
        </w:rPr>
        <w:t>1人</w:t>
      </w:r>
      <w:r>
        <w:rPr>
          <w:rFonts w:hint="eastAsia" w:ascii="仿宋_GB2312" w:hAnsi="Times New Roman" w:eastAsia="仿宋_GB2312"/>
          <w:kern w:val="0"/>
          <w:sz w:val="32"/>
          <w:szCs w:val="32"/>
          <w:lang w:eastAsia="zh-CN"/>
        </w:rPr>
        <w:t>次</w:t>
      </w:r>
      <w:r>
        <w:rPr>
          <w:rFonts w:ascii="仿宋_GB2312" w:hAnsi="Times New Roman" w:eastAsia="仿宋_GB2312"/>
          <w:kern w:val="0"/>
          <w:sz w:val="32"/>
          <w:szCs w:val="32"/>
        </w:rPr>
        <w:t>参加集中培训。2016年</w:t>
      </w:r>
      <w:r>
        <w:rPr>
          <w:rFonts w:hint="eastAsia" w:ascii="仿宋_GB2312" w:hAnsi="Times New Roman" w:eastAsia="仿宋_GB2312"/>
          <w:kern w:val="0"/>
          <w:sz w:val="32"/>
          <w:szCs w:val="32"/>
        </w:rPr>
        <w:t>以来，累计</w:t>
      </w:r>
      <w:r>
        <w:rPr>
          <w:rFonts w:ascii="仿宋_GB2312" w:hAnsi="Times New Roman" w:eastAsia="仿宋_GB2312"/>
          <w:kern w:val="0"/>
          <w:sz w:val="32"/>
          <w:szCs w:val="32"/>
        </w:rPr>
        <w:t>开设各类培训班</w:t>
      </w:r>
      <w:r>
        <w:rPr>
          <w:rFonts w:hint="eastAsia" w:ascii="仿宋_GB2312" w:hAnsi="Times New Roman" w:eastAsia="仿宋_GB2312"/>
          <w:kern w:val="0"/>
          <w:sz w:val="32"/>
          <w:szCs w:val="32"/>
        </w:rPr>
        <w:t>9</w:t>
      </w:r>
      <w:r>
        <w:rPr>
          <w:rFonts w:ascii="仿宋_GB2312" w:hAnsi="Times New Roman" w:eastAsia="仿宋_GB2312"/>
          <w:kern w:val="0"/>
          <w:sz w:val="32"/>
          <w:szCs w:val="32"/>
        </w:rPr>
        <w:t>00余期，培训5</w:t>
      </w:r>
      <w:r>
        <w:rPr>
          <w:rFonts w:hint="eastAsia" w:ascii="仿宋_GB2312" w:hAnsi="Times New Roman" w:eastAsia="仿宋_GB2312"/>
          <w:kern w:val="0"/>
          <w:sz w:val="32"/>
          <w:szCs w:val="32"/>
        </w:rPr>
        <w:t>4000</w:t>
      </w:r>
      <w:r>
        <w:rPr>
          <w:rFonts w:ascii="仿宋_GB2312" w:hAnsi="Times New Roman" w:eastAsia="仿宋_GB2312"/>
          <w:kern w:val="0"/>
          <w:sz w:val="32"/>
          <w:szCs w:val="32"/>
        </w:rPr>
        <w:t>余人，重点对企业相关人员进行全员培训。把全民安全生产宣传教育纳入总体规划，有</w:t>
      </w:r>
      <w:r>
        <w:rPr>
          <w:rFonts w:hint="eastAsia" w:ascii="仿宋_GB2312" w:hAnsi="Times New Roman" w:eastAsia="仿宋_GB2312"/>
          <w:kern w:val="0"/>
          <w:sz w:val="32"/>
          <w:szCs w:val="32"/>
        </w:rPr>
        <w:t>效提升</w:t>
      </w:r>
      <w:r>
        <w:rPr>
          <w:rFonts w:ascii="仿宋_GB2312" w:hAnsi="Times New Roman" w:eastAsia="仿宋_GB2312"/>
          <w:kern w:val="0"/>
          <w:sz w:val="32"/>
          <w:szCs w:val="32"/>
        </w:rPr>
        <w:t>广大群众安全意识。</w:t>
      </w:r>
    </w:p>
    <w:p>
      <w:pPr>
        <w:snapToGrid/>
        <w:spacing w:before="0" w:beforeAutospacing="0" w:after="0" w:afterAutospacing="0" w:line="620" w:lineRule="exact"/>
        <w:ind w:left="0" w:leftChars="0" w:right="0" w:firstLine="643" w:firstLineChars="200"/>
        <w:jc w:val="both"/>
        <w:textAlignment w:val="baseline"/>
        <w:rPr>
          <w:rStyle w:val="54"/>
          <w:rFonts w:ascii="Calibri" w:hAnsi="Calibri" w:eastAsia="宋体"/>
          <w:b w:val="0"/>
          <w:i w:val="0"/>
          <w:caps w:val="0"/>
          <w:color w:val="000000"/>
          <w:spacing w:val="0"/>
          <w:w w:val="100"/>
          <w:kern w:val="2"/>
          <w:sz w:val="32"/>
          <w:szCs w:val="32"/>
          <w:lang w:val="en-US" w:eastAsia="zh-CN" w:bidi="ar-SA"/>
        </w:rPr>
      </w:pPr>
      <w:r>
        <w:rPr>
          <w:rFonts w:hint="eastAsia" w:ascii="楷体" w:hAnsi="楷体" w:eastAsia="楷体"/>
          <w:b/>
          <w:bCs/>
          <w:kern w:val="0"/>
          <w:sz w:val="32"/>
          <w:szCs w:val="32"/>
          <w:lang w:val="en-US" w:eastAsia="zh-CN"/>
        </w:rPr>
        <w:t>6</w:t>
      </w:r>
      <w:r>
        <w:rPr>
          <w:rFonts w:hint="eastAsia" w:ascii="楷体" w:hAnsi="楷体" w:eastAsia="楷体"/>
          <w:b/>
          <w:bCs/>
          <w:kern w:val="0"/>
          <w:sz w:val="32"/>
          <w:szCs w:val="32"/>
        </w:rPr>
        <w:t>.</w:t>
      </w:r>
      <w:r>
        <w:rPr>
          <w:rFonts w:ascii="楷体" w:hAnsi="楷体" w:eastAsia="楷体" w:cs="Times New Roman"/>
          <w:b/>
          <w:bCs/>
          <w:kern w:val="0"/>
          <w:sz w:val="32"/>
          <w:szCs w:val="32"/>
          <w:lang w:val="en-US" w:eastAsia="zh-CN" w:bidi="ar-SA"/>
        </w:rPr>
        <w:t>“1+17”指挥体系初步构建。</w:t>
      </w:r>
      <w:r>
        <w:rPr>
          <w:rStyle w:val="54"/>
          <w:rFonts w:ascii="仿宋_GB2312" w:hAnsi="仿宋_GB2312" w:eastAsia="仿宋_GB2312"/>
          <w:b w:val="0"/>
          <w:i w:val="0"/>
          <w:caps w:val="0"/>
          <w:color w:val="000000"/>
          <w:spacing w:val="4"/>
          <w:w w:val="100"/>
          <w:kern w:val="2"/>
          <w:sz w:val="32"/>
          <w:szCs w:val="32"/>
          <w:lang w:val="en-US" w:eastAsia="zh-CN" w:bidi="ar-SA"/>
        </w:rPr>
        <w:t>成立了由市长任总指挥</w:t>
      </w:r>
      <w:r>
        <w:rPr>
          <w:rStyle w:val="54"/>
          <w:rFonts w:ascii="仿宋_GB2312" w:hAnsi="仿宋_GB2312" w:eastAsia="仿宋_GB2312"/>
          <w:b w:val="0"/>
          <w:i w:val="0"/>
          <w:caps w:val="0"/>
          <w:color w:val="000000"/>
          <w:spacing w:val="0"/>
          <w:w w:val="100"/>
          <w:kern w:val="2"/>
          <w:sz w:val="32"/>
          <w:szCs w:val="32"/>
          <w:lang w:val="en-US" w:eastAsia="zh-CN" w:bidi="ar-SA"/>
        </w:rPr>
        <w:t>的</w:t>
      </w:r>
      <w:r>
        <w:rPr>
          <w:rStyle w:val="54"/>
          <w:rFonts w:hint="eastAsia" w:ascii="仿宋_GB2312" w:hAnsi="仿宋_GB2312" w:eastAsia="仿宋_GB2312"/>
          <w:b w:val="0"/>
          <w:i w:val="0"/>
          <w:caps w:val="0"/>
          <w:color w:val="000000"/>
          <w:spacing w:val="0"/>
          <w:w w:val="100"/>
          <w:kern w:val="2"/>
          <w:sz w:val="32"/>
          <w:szCs w:val="32"/>
          <w:lang w:val="en-US" w:eastAsia="zh-CN" w:bidi="ar-SA"/>
        </w:rPr>
        <w:t>县</w:t>
      </w:r>
      <w:r>
        <w:rPr>
          <w:rStyle w:val="54"/>
          <w:rFonts w:ascii="仿宋_GB2312" w:hAnsi="仿宋_GB2312" w:eastAsia="仿宋_GB2312"/>
          <w:b w:val="0"/>
          <w:i w:val="0"/>
          <w:caps w:val="0"/>
          <w:color w:val="000000"/>
          <w:spacing w:val="4"/>
          <w:w w:val="100"/>
          <w:kern w:val="2"/>
          <w:sz w:val="32"/>
          <w:szCs w:val="32"/>
          <w:lang w:val="en-US" w:eastAsia="zh-CN" w:bidi="ar-SA"/>
        </w:rPr>
        <w:t>应急救援总指挥部，下设17个专项应急指挥部，分别由分管副</w:t>
      </w:r>
      <w:r>
        <w:rPr>
          <w:rStyle w:val="54"/>
          <w:rFonts w:hint="eastAsia" w:ascii="仿宋_GB2312" w:hAnsi="仿宋_GB2312" w:eastAsia="仿宋_GB2312"/>
          <w:b w:val="0"/>
          <w:i w:val="0"/>
          <w:caps w:val="0"/>
          <w:color w:val="000000"/>
          <w:spacing w:val="4"/>
          <w:w w:val="100"/>
          <w:kern w:val="2"/>
          <w:sz w:val="32"/>
          <w:szCs w:val="32"/>
          <w:lang w:val="en-US" w:eastAsia="zh-CN" w:bidi="ar-SA"/>
        </w:rPr>
        <w:t>县</w:t>
      </w:r>
      <w:r>
        <w:rPr>
          <w:rStyle w:val="54"/>
          <w:rFonts w:ascii="仿宋_GB2312" w:hAnsi="仿宋_GB2312" w:eastAsia="仿宋_GB2312"/>
          <w:b w:val="0"/>
          <w:i w:val="0"/>
          <w:caps w:val="0"/>
          <w:color w:val="000000"/>
          <w:spacing w:val="4"/>
          <w:w w:val="100"/>
          <w:kern w:val="2"/>
          <w:sz w:val="32"/>
          <w:szCs w:val="32"/>
          <w:lang w:val="en-US" w:eastAsia="zh-CN" w:bidi="ar-SA"/>
        </w:rPr>
        <w:t>长担任指挥长。其中，森林草原防灭火、防汛抗旱、地质灾害、生产安全事故、交通事故5个指挥部实行“双指挥长”“双办公室主任”工作机制。</w:t>
      </w:r>
    </w:p>
    <w:p>
      <w:pPr>
        <w:snapToGrid/>
        <w:spacing w:before="0" w:beforeAutospacing="0" w:after="0" w:afterAutospacing="0" w:line="620" w:lineRule="exact"/>
        <w:ind w:left="0" w:leftChars="0" w:right="0" w:firstLine="643" w:firstLineChars="200"/>
        <w:jc w:val="both"/>
        <w:textAlignment w:val="baseline"/>
        <w:rPr>
          <w:rFonts w:ascii="仿宋_GB2312" w:hAnsi="Times New Roman" w:eastAsia="仿宋_GB2312"/>
          <w:kern w:val="0"/>
          <w:sz w:val="32"/>
          <w:szCs w:val="32"/>
        </w:rPr>
      </w:pPr>
      <w:r>
        <w:rPr>
          <w:rFonts w:hint="eastAsia" w:ascii="楷体" w:hAnsi="楷体" w:eastAsia="楷体" w:cs="Times New Roman"/>
          <w:b/>
          <w:bCs/>
          <w:kern w:val="0"/>
          <w:sz w:val="32"/>
          <w:szCs w:val="32"/>
          <w:lang w:val="en-US" w:eastAsia="zh-CN" w:bidi="ar-SA"/>
        </w:rPr>
        <w:t>7</w:t>
      </w:r>
      <w:r>
        <w:rPr>
          <w:rFonts w:ascii="楷体" w:hAnsi="楷体" w:eastAsia="楷体" w:cs="Times New Roman"/>
          <w:b/>
          <w:bCs/>
          <w:kern w:val="0"/>
          <w:sz w:val="32"/>
          <w:szCs w:val="32"/>
          <w:lang w:val="en-US" w:eastAsia="zh-CN" w:bidi="ar-SA"/>
        </w:rPr>
        <w:t>.</w:t>
      </w:r>
      <w:r>
        <w:rPr>
          <w:rFonts w:hint="eastAsia" w:ascii="楷体" w:hAnsi="楷体" w:eastAsia="楷体"/>
          <w:b/>
          <w:bCs/>
          <w:kern w:val="0"/>
          <w:sz w:val="32"/>
          <w:szCs w:val="32"/>
        </w:rPr>
        <w:t>应急保障体系更加完善。</w:t>
      </w:r>
      <w:r>
        <w:rPr>
          <w:rFonts w:ascii="仿宋_GB2312" w:hAnsi="Times New Roman" w:eastAsia="仿宋_GB2312"/>
          <w:kern w:val="0"/>
          <w:sz w:val="32"/>
          <w:szCs w:val="32"/>
        </w:rPr>
        <w:t>以原森</w:t>
      </w:r>
      <w:r>
        <w:rPr>
          <w:rFonts w:ascii="仿宋" w:hAnsi="仿宋" w:eastAsia="仿宋" w:cs="Times New Roman"/>
          <w:kern w:val="0"/>
          <w:sz w:val="32"/>
          <w:szCs w:val="32"/>
          <w:lang w:val="en-US" w:eastAsia="zh-CN" w:bidi="ar-SA"/>
        </w:rPr>
        <w:t>林消防大队一中队为班底，打造了一支</w:t>
      </w:r>
      <w:r>
        <w:rPr>
          <w:rFonts w:hint="eastAsia" w:ascii="仿宋" w:hAnsi="仿宋" w:eastAsia="仿宋" w:cs="Times New Roman"/>
          <w:kern w:val="0"/>
          <w:sz w:val="32"/>
          <w:szCs w:val="32"/>
          <w:lang w:val="en-US" w:eastAsia="zh-CN" w:bidi="ar-SA"/>
        </w:rPr>
        <w:t>综合</w:t>
      </w:r>
      <w:r>
        <w:rPr>
          <w:rFonts w:ascii="仿宋" w:hAnsi="仿宋" w:eastAsia="仿宋" w:cs="Times New Roman"/>
          <w:kern w:val="0"/>
          <w:sz w:val="32"/>
          <w:szCs w:val="32"/>
          <w:lang w:val="en-US" w:eastAsia="zh-CN" w:bidi="ar-SA"/>
        </w:rPr>
        <w:t>应急救援队伍。投资3000余万元建成煤炭监管信息平台，增加交通智能卡口30余处，建设重点区域消防站1座。投入700多万元</w:t>
      </w:r>
      <w:r>
        <w:rPr>
          <w:rFonts w:hint="eastAsia" w:ascii="仿宋" w:hAnsi="仿宋" w:eastAsia="仿宋" w:cs="Times New Roman"/>
          <w:kern w:val="0"/>
          <w:sz w:val="32"/>
          <w:szCs w:val="32"/>
          <w:lang w:val="en-US" w:eastAsia="zh-CN" w:bidi="ar-SA"/>
        </w:rPr>
        <w:t>物资</w:t>
      </w:r>
      <w:bookmarkStart w:id="171" w:name="_GoBack"/>
      <w:bookmarkEnd w:id="171"/>
      <w:r>
        <w:rPr>
          <w:rFonts w:ascii="仿宋" w:hAnsi="仿宋" w:eastAsia="仿宋" w:cs="Times New Roman"/>
          <w:kern w:val="0"/>
          <w:sz w:val="32"/>
          <w:szCs w:val="32"/>
          <w:lang w:val="en-US" w:eastAsia="zh-CN" w:bidi="ar-SA"/>
        </w:rPr>
        <w:t>储备</w:t>
      </w:r>
      <w:r>
        <w:rPr>
          <w:rFonts w:ascii="仿宋_GB2312" w:hAnsi="Times New Roman" w:eastAsia="仿宋_GB2312"/>
          <w:kern w:val="0"/>
          <w:sz w:val="32"/>
          <w:szCs w:val="32"/>
        </w:rPr>
        <w:t>，物资库存1.5万件</w:t>
      </w:r>
      <w:r>
        <w:rPr>
          <w:rFonts w:hint="eastAsia" w:ascii="仿宋_GB2312" w:hAnsi="Times New Roman" w:eastAsia="仿宋_GB2312"/>
          <w:kern w:val="0"/>
          <w:sz w:val="32"/>
          <w:szCs w:val="32"/>
          <w:lang w:eastAsia="zh-CN"/>
        </w:rPr>
        <w:t>，修订完善了</w:t>
      </w:r>
      <w:r>
        <w:rPr>
          <w:rFonts w:ascii="仿宋_GB2312" w:hAnsi="Times New Roman" w:eastAsia="仿宋_GB2312"/>
          <w:kern w:val="0"/>
          <w:sz w:val="32"/>
          <w:szCs w:val="32"/>
        </w:rPr>
        <w:t>11个专项预案，开展应急演练活动460余次，参演17000余人。</w:t>
      </w:r>
    </w:p>
    <w:p>
      <w:pPr>
        <w:pageBreakBefore w:val="0"/>
        <w:kinsoku/>
        <w:wordWrap/>
        <w:overflowPunct/>
        <w:topLinePunct w:val="0"/>
        <w:bidi w:val="0"/>
        <w:adjustRightInd w:val="0"/>
        <w:snapToGrid w:val="0"/>
        <w:spacing w:beforeAutospacing="0" w:line="600" w:lineRule="exact"/>
        <w:ind w:left="0" w:leftChars="0" w:firstLine="640" w:firstLineChars="200"/>
        <w:outlineLvl w:val="0"/>
        <w:rPr>
          <w:rFonts w:ascii="黑体" w:hAnsi="黑体" w:eastAsia="黑体" w:cs="黑体"/>
          <w:color w:val="000000"/>
          <w:sz w:val="32"/>
          <w:szCs w:val="32"/>
        </w:rPr>
      </w:pPr>
      <w:bookmarkStart w:id="37" w:name="_Toc2106141709_WPSOffice_Level1"/>
      <w:r>
        <w:rPr>
          <w:rFonts w:hint="eastAsia" w:ascii="黑体" w:hAnsi="黑体" w:eastAsia="黑体" w:cs="黑体"/>
          <w:color w:val="000000"/>
          <w:sz w:val="32"/>
          <w:szCs w:val="32"/>
        </w:rPr>
        <w:t>二、“十四五”时期面临的</w:t>
      </w:r>
      <w:bookmarkEnd w:id="34"/>
      <w:bookmarkEnd w:id="35"/>
      <w:r>
        <w:rPr>
          <w:rFonts w:hint="eastAsia" w:ascii="黑体" w:hAnsi="黑体" w:eastAsia="黑体" w:cs="黑体"/>
          <w:color w:val="000000"/>
          <w:sz w:val="32"/>
          <w:szCs w:val="32"/>
        </w:rPr>
        <w:t>机遇和挑战</w:t>
      </w:r>
      <w:bookmarkEnd w:id="37"/>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华文楷体" w:hAnsi="华文楷体" w:eastAsia="华文楷体" w:cs="华文楷体"/>
          <w:b w:val="0"/>
          <w:bCs w:val="0"/>
          <w:color w:val="000000"/>
          <w:sz w:val="32"/>
          <w:szCs w:val="32"/>
        </w:rPr>
      </w:pPr>
      <w:bookmarkStart w:id="38" w:name="_Toc53125886"/>
      <w:bookmarkStart w:id="39" w:name="_Toc47037032"/>
      <w:bookmarkStart w:id="40" w:name="_Toc2106141709_WPSOffice_Level2"/>
      <w:r>
        <w:rPr>
          <w:rFonts w:hint="eastAsia" w:ascii="华文楷体" w:hAnsi="华文楷体" w:eastAsia="华文楷体" w:cs="华文楷体"/>
          <w:sz w:val="32"/>
          <w:szCs w:val="32"/>
        </w:rPr>
        <w:t>（一）面临的机遇</w:t>
      </w:r>
      <w:bookmarkEnd w:id="38"/>
      <w:bookmarkEnd w:id="39"/>
      <w:bookmarkEnd w:id="40"/>
    </w:p>
    <w:p>
      <w:pPr>
        <w:pStyle w:val="38"/>
        <w:pageBreakBefore w:val="0"/>
        <w:kinsoku/>
        <w:wordWrap/>
        <w:overflowPunct/>
        <w:topLinePunct w:val="0"/>
        <w:bidi w:val="0"/>
        <w:spacing w:beforeAutospacing="0" w:line="600" w:lineRule="exact"/>
        <w:ind w:left="0" w:leftChars="0" w:firstLine="720"/>
        <w:rPr>
          <w:rFonts w:hint="eastAsia" w:ascii="仿宋" w:hAnsi="仿宋" w:eastAsia="仿宋"/>
          <w:kern w:val="0"/>
          <w:sz w:val="32"/>
          <w:szCs w:val="32"/>
        </w:rPr>
      </w:pPr>
      <w:r>
        <w:rPr>
          <w:rFonts w:hint="eastAsia" w:ascii="仿宋" w:hAnsi="仿宋" w:eastAsia="仿宋"/>
          <w:kern w:val="0"/>
          <w:sz w:val="32"/>
          <w:szCs w:val="32"/>
          <w:lang w:val="zh-CN"/>
        </w:rPr>
        <w:t>一是党中央国务院对应急管理、防灾减灾救灾、安全生产工作高度重视。习近平总书记在中央政治局第十九次集体学习时的讲话为新时代应急管理事业改革发展指明了方向和根本遵循；习近平总书记视察山西重要讲话重要指示为</w:t>
      </w:r>
      <w:r>
        <w:rPr>
          <w:rFonts w:ascii="仿宋" w:hAnsi="仿宋" w:eastAsia="仿宋"/>
          <w:kern w:val="0"/>
          <w:sz w:val="32"/>
          <w:szCs w:val="32"/>
          <w:lang w:val="zh-CN"/>
        </w:rPr>
        <w:t>全县</w:t>
      </w:r>
      <w:r>
        <w:rPr>
          <w:rFonts w:hint="eastAsia" w:ascii="仿宋" w:hAnsi="仿宋" w:eastAsia="仿宋"/>
          <w:kern w:val="0"/>
          <w:sz w:val="32"/>
          <w:szCs w:val="32"/>
          <w:lang w:val="zh-CN"/>
        </w:rPr>
        <w:t>转型发展和应急管理、防灾减灾救灾、安全生产领域改革发展提出了新征程和新使命。二是法制体系不断完善。《安全生产法》《消防法》的修订和《消防救援衔条例》《生产安全事故应急条例》的制定，形成了以宪法为依据，以《突发事件应对法》为基本，以单行法律为支撑，相关法律法规共同规范的应急管理法律法规体系，为提升应急管理能力提供了坚强的制度保障。三是县委县政府高度重视，县委县政府高度重视“十四五”规划编制工作，为编制实施“十四五”应急管理体系和本质安全能力建设规划，以及今后全县应急管理、防灾减灾救灾、安全生产工作提供了坚强的组织和制度保障。四是科学技术发展为创新发展提供了技术支撑，通过现代科技、网络技术、人工智能等手段，加强监测预警，应急管理和本质安全能力将会不断提升。五</w:t>
      </w:r>
      <w:r>
        <w:rPr>
          <w:rFonts w:hint="eastAsia" w:ascii="仿宋" w:hAnsi="仿宋" w:eastAsia="仿宋"/>
          <w:kern w:val="0"/>
          <w:sz w:val="32"/>
          <w:szCs w:val="32"/>
        </w:rPr>
        <w:t>是长期以来工作取得的成绩来之不易，积累的宝贵经验及行之有效的做法，为做好“十四五”期间应急管理和本质安全工作奠定了坚实基础。</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华文楷体" w:hAnsi="华文楷体" w:eastAsia="华文楷体" w:cs="华文楷体"/>
          <w:sz w:val="32"/>
          <w:szCs w:val="32"/>
        </w:rPr>
      </w:pPr>
      <w:bookmarkStart w:id="41" w:name="_Toc53125887"/>
      <w:bookmarkStart w:id="42" w:name="_Toc47037033"/>
      <w:bookmarkStart w:id="43" w:name="_Toc107165043_WPSOffice_Level2"/>
      <w:r>
        <w:rPr>
          <w:rFonts w:hint="eastAsia" w:ascii="华文楷体" w:hAnsi="华文楷体" w:eastAsia="华文楷体" w:cs="华文楷体"/>
          <w:sz w:val="32"/>
          <w:szCs w:val="32"/>
        </w:rPr>
        <w:t>（二）面临的挑战</w:t>
      </w:r>
      <w:bookmarkEnd w:id="41"/>
      <w:bookmarkEnd w:id="42"/>
      <w:bookmarkEnd w:id="43"/>
    </w:p>
    <w:p>
      <w:pPr>
        <w:pStyle w:val="38"/>
        <w:pageBreakBefore w:val="0"/>
        <w:kinsoku/>
        <w:wordWrap/>
        <w:overflowPunct/>
        <w:topLinePunct w:val="0"/>
        <w:bidi w:val="0"/>
        <w:spacing w:beforeAutospacing="0" w:line="600" w:lineRule="exact"/>
        <w:ind w:left="0" w:leftChars="0" w:firstLine="720"/>
        <w:rPr>
          <w:rFonts w:ascii="仿宋" w:hAnsi="仿宋" w:eastAsia="仿宋"/>
          <w:kern w:val="0"/>
          <w:sz w:val="32"/>
          <w:szCs w:val="32"/>
          <w:lang w:val="zh-CN"/>
        </w:rPr>
      </w:pPr>
      <w:r>
        <w:rPr>
          <w:rFonts w:hint="eastAsia" w:ascii="仿宋" w:hAnsi="仿宋" w:eastAsia="仿宋"/>
          <w:kern w:val="0"/>
          <w:sz w:val="32"/>
          <w:szCs w:val="32"/>
          <w:lang w:val="zh-CN"/>
        </w:rPr>
        <w:t>一是沁水属于典型的安全型经济。沁水县经济结构较为单一，主要以煤炭（煤层气）为主，煤炭（煤层气）开采安全风险高，一线从业人员安全素质相对较低，安全生产基础仍然薄弱，仍处于爬坡过坎期和瓶颈制约期。经济高速增长，新产业、新业态不断涌现，也给安全生产带来新的风险。二是道路交通安全形式依然严峻。从“十三五”期间的事故总体情况看，道路交通事故占到事故总量的90%以上，特别是随着汽车保有量的不断增加，道路交通安全监管任务更加艰巨。三是企业安全生产主体责任落实不到位的问题依然突出，企业现场管理不精细、隐患台账不健全、“三违”现象时有发生，尤其受经济下行影响，企业经济效益下滑，安全生产的投入欠账较多，安全设施条件总体薄弱。四是安全监管基层基础薄弱，乡镇安全监管队伍待遇偏低，队伍不稳定，影响监管效率；县安全监管队伍与装备不完善，应急救援、安全科技等支撑能力体系还不健全，安全生产综合监管还需要进一步探索途径和方法。五是随着工业化、信息化、城镇化、市场化深入发展，交通、能源等资源环境承载能力的刚性约束和城乡安全的脆弱性日趋明显，加之未科学规划城乡安全保障布局，导致高层建筑、人员密集场所、燃气和输油管线、供电、供水、供热、通讯、地下空间等领域和场所的安全风险凸显。六是机构改革建立了新的应急管理体系，但是应急管理还存在认知短板、制度短板、能力短板，机制不顺，应急救援力量和专业救援能力不足，应急管理科技支撑能力不强、法制建设相对滞后、社会参与程度不高，不能完全适应防范化解重大安全风险的要求。七是受新冠肺炎疫情影响，导致的各类衍生风险不容忽视，各种巨灾和大灾的突发性、不确定性和严重危害性，易造成灾害事故连锁效应、非线性叠加效应，防范化解重大自然灾害和安全生产风险、确保人民群众生命财产安全和维护经济社会高质量高速度发展的压力进一步加大。</w:t>
      </w:r>
    </w:p>
    <w:p>
      <w:pPr>
        <w:pStyle w:val="3"/>
        <w:keepNext w:val="0"/>
        <w:keepLines w:val="0"/>
        <w:pageBreakBefore w:val="0"/>
        <w:kinsoku/>
        <w:wordWrap/>
        <w:overflowPunct/>
        <w:topLinePunct w:val="0"/>
        <w:bidi w:val="0"/>
        <w:spacing w:before="0" w:beforeAutospacing="0" w:after="0" w:line="600" w:lineRule="exact"/>
        <w:ind w:left="0" w:leftChars="0" w:firstLine="640" w:firstLineChars="200"/>
        <w:rPr>
          <w:rFonts w:ascii="黑体" w:hAnsi="黑体" w:eastAsia="黑体" w:cs="黑体"/>
          <w:b w:val="0"/>
          <w:bCs w:val="0"/>
          <w:sz w:val="32"/>
          <w:szCs w:val="32"/>
        </w:rPr>
      </w:pPr>
      <w:bookmarkStart w:id="44" w:name="_Toc47037034"/>
      <w:bookmarkStart w:id="45" w:name="_Toc53125888"/>
      <w:bookmarkStart w:id="46" w:name="_Toc107165043_WPSOffice_Level1"/>
      <w:r>
        <w:rPr>
          <w:rFonts w:hint="eastAsia" w:ascii="黑体" w:hAnsi="黑体" w:eastAsia="黑体" w:cs="黑体"/>
          <w:b w:val="0"/>
          <w:bCs w:val="0"/>
          <w:sz w:val="32"/>
          <w:szCs w:val="32"/>
        </w:rPr>
        <w:t>三、指导思想、基本原则和主要目标</w:t>
      </w:r>
      <w:bookmarkEnd w:id="44"/>
      <w:bookmarkEnd w:id="45"/>
      <w:bookmarkEnd w:id="46"/>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47" w:name="_Toc720561180_WPSOffice_Level2"/>
      <w:bookmarkStart w:id="48" w:name="_Toc47037035"/>
      <w:bookmarkStart w:id="49" w:name="_Toc53125889"/>
      <w:r>
        <w:rPr>
          <w:rFonts w:hint="eastAsia" w:ascii="楷体_GB2312" w:hAnsi="楷体_GB2312" w:eastAsia="楷体_GB2312" w:cs="楷体_GB2312"/>
          <w:b/>
          <w:bCs/>
          <w:color w:val="000000"/>
          <w:sz w:val="32"/>
          <w:szCs w:val="32"/>
        </w:rPr>
        <w:t>（一）指导思想</w:t>
      </w:r>
      <w:bookmarkEnd w:id="47"/>
      <w:bookmarkEnd w:id="48"/>
      <w:bookmarkEnd w:id="49"/>
    </w:p>
    <w:p>
      <w:pPr>
        <w:pStyle w:val="38"/>
        <w:pageBreakBefore w:val="0"/>
        <w:kinsoku/>
        <w:wordWrap/>
        <w:overflowPunct/>
        <w:topLinePunct w:val="0"/>
        <w:bidi w:val="0"/>
        <w:spacing w:beforeAutospacing="0" w:line="600" w:lineRule="exact"/>
        <w:ind w:left="0" w:leftChars="0" w:firstLine="720"/>
        <w:rPr>
          <w:rFonts w:ascii="仿宋" w:hAnsi="仿宋" w:eastAsia="仿宋"/>
          <w:kern w:val="0"/>
          <w:sz w:val="32"/>
          <w:szCs w:val="32"/>
          <w:lang w:val="zh-CN"/>
        </w:rPr>
      </w:pPr>
      <w:r>
        <w:rPr>
          <w:rFonts w:hint="eastAsia" w:ascii="仿宋" w:hAnsi="仿宋" w:eastAsia="仿宋"/>
          <w:kern w:val="0"/>
          <w:sz w:val="32"/>
          <w:szCs w:val="32"/>
          <w:lang w:val="zh-CN"/>
        </w:rPr>
        <w:t>坚持以习近平新时代中国特色社会主义思想为指导，深入贯彻党的十九大和十九届二中、三中、四中、五中全会精神，牢固树立安全发展理念，强化底线思维和红线意识，以推进大安全大应急大减灾建设为主线，进一步强化目标考核体系、监管队伍体系、宣传教育体系、隐患治理体系、应急救援保障体系建设，结合安全生产专项整治三年行动，坚持问题导向、目标导向和结果导向，深化源头治理、系统治理和综合治理，努力减少一般事故，有效遏制较大事故，坚决杜绝重特大事故，为</w:t>
      </w:r>
      <w:r>
        <w:rPr>
          <w:rFonts w:ascii="仿宋" w:hAnsi="仿宋" w:eastAsia="仿宋"/>
          <w:kern w:val="0"/>
          <w:sz w:val="32"/>
          <w:szCs w:val="32"/>
          <w:lang w:val="zh-CN"/>
        </w:rPr>
        <w:t>全县</w:t>
      </w:r>
      <w:r>
        <w:rPr>
          <w:rFonts w:hint="eastAsia" w:ascii="仿宋" w:hAnsi="仿宋" w:eastAsia="仿宋"/>
          <w:kern w:val="0"/>
          <w:sz w:val="32"/>
          <w:szCs w:val="32"/>
          <w:lang w:val="zh-CN"/>
        </w:rPr>
        <w:t>经济社会持续稳定发展提供坚实保障。</w:t>
      </w:r>
      <w:bookmarkStart w:id="50" w:name="_Toc47037036"/>
      <w:bookmarkStart w:id="51" w:name="_Toc53125890"/>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52" w:name="_Toc113500538_WPSOffice_Level2"/>
      <w:r>
        <w:rPr>
          <w:rFonts w:hint="eastAsia" w:ascii="楷体_GB2312" w:hAnsi="楷体_GB2312" w:eastAsia="楷体_GB2312" w:cs="楷体_GB2312"/>
          <w:b/>
          <w:bCs/>
          <w:color w:val="000000"/>
          <w:sz w:val="32"/>
          <w:szCs w:val="32"/>
        </w:rPr>
        <w:t>（二）基本原则</w:t>
      </w:r>
      <w:bookmarkEnd w:id="52"/>
    </w:p>
    <w:p>
      <w:pPr>
        <w:pageBreakBefore w:val="0"/>
        <w:kinsoku/>
        <w:wordWrap/>
        <w:overflowPunct/>
        <w:topLinePunct w:val="0"/>
        <w:bidi w:val="0"/>
        <w:spacing w:beforeAutospacing="0" w:line="600" w:lineRule="exact"/>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lang w:eastAsia="zh-CN"/>
        </w:rPr>
        <w:t>——坚持</w:t>
      </w:r>
      <w:r>
        <w:rPr>
          <w:rFonts w:hint="eastAsia" w:ascii="仿宋_GB2312" w:hAnsi="仿宋_GB2312" w:eastAsia="仿宋_GB2312" w:cs="仿宋_GB2312"/>
          <w:b/>
          <w:bCs/>
          <w:color w:val="000000"/>
          <w:sz w:val="32"/>
          <w:szCs w:val="32"/>
        </w:rPr>
        <w:t>党的领导</w:t>
      </w:r>
      <w:r>
        <w:rPr>
          <w:rFonts w:hint="eastAsia" w:ascii="仿宋_GB2312" w:hAnsi="仿宋_GB2312" w:eastAsia="仿宋_GB2312" w:cs="仿宋_GB2312"/>
          <w:b/>
          <w:bCs/>
          <w:color w:val="000000"/>
          <w:sz w:val="32"/>
          <w:szCs w:val="32"/>
          <w:lang w:eastAsia="zh-CN"/>
        </w:rPr>
        <w:t>，党建引领</w:t>
      </w:r>
      <w:r>
        <w:rPr>
          <w:rFonts w:hint="eastAsia" w:ascii="仿宋_GB2312" w:hAnsi="仿宋_GB2312" w:eastAsia="仿宋_GB2312" w:cs="仿宋_GB2312"/>
          <w:b/>
          <w:bCs/>
          <w:color w:val="000000"/>
          <w:sz w:val="32"/>
          <w:szCs w:val="32"/>
        </w:rPr>
        <w:t>。</w:t>
      </w:r>
      <w:r>
        <w:rPr>
          <w:rFonts w:ascii="仿宋_GB2312" w:hAnsi="仿宋_GB2312" w:eastAsia="仿宋_GB2312" w:cs="仿宋_GB2312"/>
          <w:bCs/>
          <w:sz w:val="32"/>
          <w:szCs w:val="32"/>
        </w:rPr>
        <w:t>坚持党对应急管理工作的绝对领导，发挥好党总揽全局、协调各方的领导核心作用，把党的政治优势、组织优势转化为发展优势，为应急管理体系和</w:t>
      </w:r>
      <w:r>
        <w:rPr>
          <w:rFonts w:hint="eastAsia" w:ascii="仿宋_GB2312" w:hAnsi="仿宋_GB2312" w:eastAsia="仿宋_GB2312" w:cs="仿宋_GB2312"/>
          <w:bCs/>
          <w:sz w:val="32"/>
          <w:szCs w:val="32"/>
        </w:rPr>
        <w:t>本质</w:t>
      </w:r>
      <w:r>
        <w:rPr>
          <w:rFonts w:ascii="仿宋_GB2312" w:hAnsi="仿宋_GB2312" w:eastAsia="仿宋_GB2312" w:cs="仿宋_GB2312"/>
          <w:bCs/>
          <w:sz w:val="32"/>
          <w:szCs w:val="32"/>
        </w:rPr>
        <w:t>安全能力建设凝聚力量、提供保障。</w:t>
      </w:r>
    </w:p>
    <w:p>
      <w:pPr>
        <w:pageBreakBefore w:val="0"/>
        <w:kinsoku/>
        <w:wordWrap/>
        <w:overflowPunct/>
        <w:topLinePunct w:val="0"/>
        <w:bidi w:val="0"/>
        <w:spacing w:beforeAutospacing="0" w:line="600" w:lineRule="exact"/>
        <w:ind w:left="0" w:leftChars="0" w:firstLine="643"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sz w:val="32"/>
          <w:szCs w:val="32"/>
          <w:lang w:eastAsia="zh-CN"/>
        </w:rPr>
        <w:t>坚持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人民至上，生命至上。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坚持以人民为中心的发展理念，弘扬生命至上、安全第一的思想，牢固树立底线思维和红线意识，把保护人民生命安全摆在首位，最大程度地降低灾害和事故风险，减少人员伤亡和财产损失。</w:t>
      </w:r>
    </w:p>
    <w:p>
      <w:pPr>
        <w:pageBreakBefore w:val="0"/>
        <w:kinsoku/>
        <w:wordWrap/>
        <w:overflowPunct/>
        <w:topLinePunct w:val="0"/>
        <w:bidi w:val="0"/>
        <w:spacing w:beforeAutospacing="0" w:line="600" w:lineRule="exact"/>
        <w:ind w:left="0" w:leftChars="0" w:firstLine="643"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sz w:val="32"/>
          <w:szCs w:val="32"/>
          <w:lang w:eastAsia="zh-CN"/>
        </w:rPr>
        <w:t>坚持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预防为主，防救结合。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树牢风险管理理念，加强各类风险的识别、评估、会商研判和监测预警、响应处置，最大限度地控制风险和消除隐患;坚持事前防范、事中救援、事后救助相结合，做到防灾、减灾、救灾相统一，提升救援综合保障能力。</w:t>
      </w:r>
    </w:p>
    <w:p>
      <w:pPr>
        <w:pageBreakBefore w:val="0"/>
        <w:kinsoku/>
        <w:wordWrap/>
        <w:overflowPunct/>
        <w:topLinePunct w:val="0"/>
        <w:bidi w:val="0"/>
        <w:spacing w:beforeAutospacing="0" w:line="600" w:lineRule="exact"/>
        <w:ind w:left="0" w:leftChars="0" w:firstLine="643"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sz w:val="32"/>
          <w:szCs w:val="32"/>
          <w:lang w:eastAsia="zh-CN"/>
        </w:rPr>
        <w:t>坚持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统筹协调，综合施策。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完善集中高效的统一领导，落实联防联动、群防群控机制。充分发挥应急管理部门的综合优势和各相关部门的专业优势，鼓励社会参与应急治理，注重发挥市场机制作用，推进安全综合治理共建共治共享。</w:t>
      </w:r>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仿宋_GB2312" w:hAnsi="仿宋_GB2312" w:eastAsia="仿宋_GB2312" w:cs="仿宋_GB2312"/>
          <w:b/>
          <w:bCs/>
          <w:color w:val="000000"/>
          <w:sz w:val="32"/>
          <w:szCs w:val="32"/>
        </w:rPr>
      </w:pPr>
      <w:bookmarkStart w:id="53" w:name="_Toc1139318096_WPSOffice_Level2"/>
      <w:r>
        <w:rPr>
          <w:rFonts w:hint="eastAsia" w:ascii="楷体_GB2312" w:hAnsi="楷体_GB2312" w:eastAsia="楷体_GB2312" w:cs="楷体_GB2312"/>
          <w:b/>
          <w:bCs/>
          <w:color w:val="000000"/>
          <w:sz w:val="32"/>
          <w:szCs w:val="32"/>
        </w:rPr>
        <w:t>（三）</w:t>
      </w:r>
      <w:bookmarkEnd w:id="50"/>
      <w:bookmarkEnd w:id="51"/>
      <w:bookmarkStart w:id="54" w:name="_Toc53125891"/>
      <w:bookmarkStart w:id="55" w:name="_Toc47037037"/>
      <w:r>
        <w:rPr>
          <w:rFonts w:hint="eastAsia" w:ascii="仿宋_GB2312" w:hAnsi="仿宋_GB2312" w:eastAsia="仿宋_GB2312" w:cs="仿宋_GB2312"/>
          <w:b/>
          <w:bCs/>
          <w:color w:val="000000"/>
          <w:sz w:val="32"/>
          <w:szCs w:val="32"/>
        </w:rPr>
        <w:t>规划目标</w:t>
      </w:r>
      <w:bookmarkEnd w:id="53"/>
      <w:bookmarkEnd w:id="54"/>
      <w:bookmarkEnd w:id="55"/>
    </w:p>
    <w:p>
      <w:pPr>
        <w:pageBreakBefore w:val="0"/>
        <w:kinsoku/>
        <w:wordWrap/>
        <w:overflowPunct/>
        <w:topLinePunct w:val="0"/>
        <w:bidi w:val="0"/>
        <w:spacing w:beforeAutospacing="0" w:line="600" w:lineRule="exact"/>
        <w:ind w:left="0" w:leftChars="0" w:firstLine="643" w:firstLineChars="200"/>
        <w:jc w:val="left"/>
        <w:rPr>
          <w:rFonts w:hint="eastAsia" w:ascii="仿宋" w:hAnsi="仿宋" w:eastAsia="仿宋"/>
          <w:kern w:val="0"/>
          <w:sz w:val="32"/>
          <w:szCs w:val="32"/>
          <w:lang w:val="zh-CN"/>
        </w:rPr>
      </w:pPr>
      <w:r>
        <w:rPr>
          <w:rFonts w:hint="eastAsia" w:ascii="仿宋_GB2312" w:hAnsi="仿宋_GB2312" w:eastAsia="仿宋_GB2312" w:cs="仿宋_GB2312"/>
          <w:b/>
          <w:bCs/>
          <w:color w:val="000000"/>
          <w:sz w:val="32"/>
          <w:szCs w:val="32"/>
        </w:rPr>
        <w:t>总体目标：</w:t>
      </w:r>
      <w:r>
        <w:rPr>
          <w:rFonts w:hint="eastAsia" w:ascii="仿宋" w:hAnsi="仿宋" w:eastAsia="仿宋"/>
          <w:kern w:val="0"/>
          <w:sz w:val="32"/>
          <w:szCs w:val="32"/>
          <w:lang w:val="zh-CN"/>
        </w:rPr>
        <w:t>到 2025 年，</w:t>
      </w:r>
      <w:r>
        <w:rPr>
          <w:rFonts w:ascii="仿宋" w:hAnsi="仿宋" w:eastAsia="仿宋"/>
          <w:kern w:val="0"/>
          <w:sz w:val="32"/>
          <w:szCs w:val="32"/>
          <w:lang w:val="zh-CN"/>
        </w:rPr>
        <w:t>沁水县</w:t>
      </w:r>
      <w:r>
        <w:rPr>
          <w:rFonts w:hint="eastAsia" w:ascii="仿宋" w:hAnsi="仿宋" w:eastAsia="仿宋"/>
          <w:kern w:val="0"/>
          <w:sz w:val="32"/>
          <w:szCs w:val="32"/>
          <w:lang w:val="zh-CN"/>
        </w:rPr>
        <w:t>安全生产综合管理能力显著提升，安全生产基层基础保障能力明显增强，监管体制机制基本完善，全民安全素质显著提升，生产安全事故控制指标全面下降。 减灾救灾体制机制进一步健全，基本建成与全面小康社会相适应的自然灾害预警、救助体系。建设一支专常兼备、反应灵敏、作风过硬、本领高强的应急救援队伍；达到与全面小康社会相适应的监测预警能力、监管执法能力、辅助指挥决策能力、救援实战能力和社会动员能力。</w:t>
      </w:r>
    </w:p>
    <w:tbl>
      <w:tblPr>
        <w:tblStyle w:val="2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200"/>
        <w:gridCol w:w="165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906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专栏1  “十四五”核心指标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序号</w:t>
            </w:r>
          </w:p>
        </w:tc>
        <w:tc>
          <w:tcPr>
            <w:tcW w:w="520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指标内容</w:t>
            </w:r>
          </w:p>
        </w:tc>
        <w:tc>
          <w:tcPr>
            <w:tcW w:w="165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2025年</w:t>
            </w:r>
          </w:p>
          <w:p>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预期值</w:t>
            </w:r>
          </w:p>
        </w:tc>
        <w:tc>
          <w:tcPr>
            <w:tcW w:w="13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520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textAlignment w:val="auto"/>
              <w:rPr>
                <w:rFonts w:ascii="仿宋" w:hAnsi="仿宋" w:eastAsia="仿宋" w:cs="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生产安全事故死亡人数</w:t>
            </w:r>
          </w:p>
        </w:tc>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下降15%</w:t>
            </w:r>
          </w:p>
        </w:tc>
        <w:tc>
          <w:tcPr>
            <w:tcW w:w="13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520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textAlignment w:val="auto"/>
              <w:rPr>
                <w:rFonts w:ascii="仿宋" w:hAnsi="仿宋" w:eastAsia="仿宋" w:cs="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亿元地区生产总值生产安全事故死亡率</w:t>
            </w:r>
          </w:p>
        </w:tc>
        <w:tc>
          <w:tcPr>
            <w:tcW w:w="165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下降33%</w:t>
            </w:r>
          </w:p>
        </w:tc>
        <w:tc>
          <w:tcPr>
            <w:tcW w:w="13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3</w:t>
            </w:r>
          </w:p>
        </w:tc>
        <w:tc>
          <w:tcPr>
            <w:tcW w:w="520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textAlignment w:val="auto"/>
              <w:rPr>
                <w:rFonts w:ascii="仿宋" w:hAnsi="仿宋" w:eastAsia="仿宋" w:cs="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工矿商贸就业人员十万人生产安全事故死亡率</w:t>
            </w:r>
          </w:p>
        </w:tc>
        <w:tc>
          <w:tcPr>
            <w:tcW w:w="165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&lt;</w:t>
            </w:r>
            <w:r>
              <w:rPr>
                <w:rFonts w:hint="eastAsia" w:ascii="仿宋" w:hAnsi="仿宋" w:eastAsia="仿宋" w:cs="仿宋"/>
                <w:color w:val="000000" w:themeColor="text1"/>
                <w:kern w:val="0"/>
                <w:sz w:val="28"/>
                <w:szCs w:val="28"/>
                <w:lang w:val="en-US" w:eastAsia="zh-CN"/>
                <w14:textFill>
                  <w14:solidFill>
                    <w14:schemeClr w14:val="tx1"/>
                  </w14:solidFill>
                </w14:textFill>
              </w:rPr>
              <w:t>1.3</w:t>
            </w:r>
          </w:p>
        </w:tc>
        <w:tc>
          <w:tcPr>
            <w:tcW w:w="13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w:t>
            </w:r>
          </w:p>
        </w:tc>
        <w:tc>
          <w:tcPr>
            <w:tcW w:w="520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textAlignment w:val="auto"/>
              <w:rPr>
                <w:rFonts w:ascii="Times New Roman" w:hAnsi="Times New Roman" w:eastAsia="仿宋"/>
                <w:color w:val="000000" w:themeColor="text1"/>
                <w:kern w:val="0"/>
                <w:sz w:val="28"/>
                <w:szCs w:val="28"/>
                <w14:textFill>
                  <w14:solidFill>
                    <w14:schemeClr w14:val="tx1"/>
                  </w14:solidFill>
                </w14:textFill>
              </w:rPr>
            </w:pPr>
            <w:r>
              <w:rPr>
                <w:rFonts w:ascii="Times New Roman" w:hAnsi="Times New Roman" w:eastAsia="仿宋"/>
                <w:color w:val="000000" w:themeColor="text1"/>
                <w:kern w:val="0"/>
                <w:sz w:val="28"/>
                <w:szCs w:val="28"/>
                <w14:textFill>
                  <w14:solidFill>
                    <w14:schemeClr w14:val="tx1"/>
                  </w14:solidFill>
                </w14:textFill>
              </w:rPr>
              <w:t>煤矿百万吨死亡率</w:t>
            </w:r>
          </w:p>
        </w:tc>
        <w:tc>
          <w:tcPr>
            <w:tcW w:w="165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&lt;0.04</w:t>
            </w:r>
          </w:p>
        </w:tc>
        <w:tc>
          <w:tcPr>
            <w:tcW w:w="1360"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jc w:val="center"/>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06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bidi w:val="0"/>
              <w:spacing w:line="600" w:lineRule="exact"/>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Times New Roman" w:hAnsi="Times New Roman" w:eastAsia="仿宋"/>
                <w:color w:val="000000" w:themeColor="text1"/>
                <w:kern w:val="0"/>
                <w:sz w:val="28"/>
                <w:szCs w:val="28"/>
                <w14:textFill>
                  <w14:solidFill>
                    <w14:schemeClr w14:val="tx1"/>
                  </w14:solidFill>
                </w14:textFill>
              </w:rPr>
              <w:t>注：为避免2020年受疫情影响出现的异常波动，各项指标均使用2019年数值作为基期值。</w:t>
            </w:r>
          </w:p>
        </w:tc>
      </w:tr>
    </w:tbl>
    <w:p>
      <w:pPr>
        <w:pStyle w:val="3"/>
        <w:keepNext w:val="0"/>
        <w:keepLines w:val="0"/>
        <w:pageBreakBefore w:val="0"/>
        <w:kinsoku/>
        <w:wordWrap/>
        <w:overflowPunct/>
        <w:topLinePunct w:val="0"/>
        <w:bidi w:val="0"/>
        <w:spacing w:before="0" w:beforeAutospacing="0" w:after="0" w:line="600" w:lineRule="exact"/>
        <w:ind w:left="0" w:leftChars="0" w:firstLine="640" w:firstLineChars="200"/>
        <w:rPr>
          <w:rFonts w:ascii="黑体" w:hAnsi="黑体" w:eastAsia="黑体" w:cs="黑体"/>
          <w:b w:val="0"/>
          <w:bCs w:val="0"/>
          <w:sz w:val="32"/>
          <w:szCs w:val="32"/>
        </w:rPr>
      </w:pPr>
      <w:bookmarkStart w:id="56" w:name="_Toc47037038"/>
      <w:bookmarkStart w:id="57" w:name="_Toc53125892"/>
      <w:bookmarkStart w:id="58" w:name="_Toc720561180_WPSOffice_Level1"/>
      <w:r>
        <w:rPr>
          <w:rFonts w:hint="eastAsia" w:ascii="黑体" w:hAnsi="黑体" w:eastAsia="黑体" w:cs="黑体"/>
          <w:b w:val="0"/>
          <w:bCs w:val="0"/>
          <w:sz w:val="32"/>
          <w:szCs w:val="32"/>
        </w:rPr>
        <w:t>三、重点任务</w:t>
      </w:r>
      <w:bookmarkEnd w:id="56"/>
      <w:bookmarkEnd w:id="57"/>
      <w:bookmarkEnd w:id="58"/>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59" w:name="_Toc53125898"/>
      <w:bookmarkStart w:id="60" w:name="_Toc1227764677_WPSOffice_Level2"/>
      <w:bookmarkStart w:id="61" w:name="_Toc47037040"/>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提升</w:t>
      </w:r>
      <w:r>
        <w:rPr>
          <w:rFonts w:hint="eastAsia" w:ascii="楷体_GB2312" w:hAnsi="楷体_GB2312" w:eastAsia="楷体_GB2312" w:cs="楷体_GB2312"/>
          <w:b/>
          <w:bCs/>
          <w:color w:val="000000"/>
          <w:sz w:val="32"/>
          <w:szCs w:val="32"/>
        </w:rPr>
        <w:t>本质安全能力</w:t>
      </w:r>
      <w:bookmarkEnd w:id="59"/>
      <w:bookmarkEnd w:id="60"/>
      <w:bookmarkEnd w:id="61"/>
      <w:bookmarkStart w:id="62" w:name="_Toc53125899"/>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仿宋" w:hAnsi="仿宋" w:eastAsia="仿宋"/>
          <w:b/>
          <w:bCs/>
          <w:kern w:val="0"/>
          <w:sz w:val="32"/>
          <w:szCs w:val="32"/>
        </w:rPr>
      </w:pPr>
      <w:r>
        <w:rPr>
          <w:rFonts w:hint="eastAsia" w:ascii="仿宋_GB2312" w:hAnsi="仿宋_GB2312" w:eastAsia="仿宋_GB2312" w:cs="仿宋_GB2312"/>
          <w:b/>
          <w:bCs/>
          <w:sz w:val="32"/>
          <w:szCs w:val="32"/>
        </w:rPr>
        <w:t>1.压实安全生产责任。</w:t>
      </w:r>
      <w:bookmarkEnd w:id="62"/>
      <w:r>
        <w:rPr>
          <w:rFonts w:hint="eastAsia" w:ascii="仿宋" w:hAnsi="仿宋" w:eastAsia="仿宋"/>
          <w:sz w:val="32"/>
          <w:szCs w:val="32"/>
        </w:rPr>
        <w:t>坚持“党政同责、一岗双责、齐抓共管、失职追责”，严格落实《地方党政领导干部安全生产责任制规定》和</w:t>
      </w:r>
      <w:r>
        <w:rPr>
          <w:rFonts w:hint="eastAsia" w:ascii="仿宋" w:hAnsi="仿宋" w:eastAsia="仿宋"/>
          <w:kern w:val="0"/>
          <w:sz w:val="32"/>
          <w:szCs w:val="32"/>
        </w:rPr>
        <w:t>《管行业必须管安全、管业务必须管安全、管生产经营必须管安全实施细则》。全面落实重点行业领域分类分级监管办法，实现行业管理部门安全生产“一张表”监管。压实企业主体责任，严格落实《山西省生产经营单位主要负责人安全生产责任制规定》和主要负责人安全生产履职尽</w:t>
      </w:r>
      <w:r>
        <w:rPr>
          <w:rFonts w:hint="eastAsia" w:ascii="仿宋" w:hAnsi="仿宋" w:eastAsia="仿宋"/>
          <w:kern w:val="0"/>
          <w:sz w:val="32"/>
          <w:szCs w:val="32"/>
          <w:lang w:eastAsia="zh-CN"/>
        </w:rPr>
        <w:t>责</w:t>
      </w:r>
      <w:r>
        <w:rPr>
          <w:rFonts w:hint="eastAsia" w:ascii="仿宋" w:hAnsi="仿宋" w:eastAsia="仿宋"/>
          <w:kern w:val="0"/>
          <w:sz w:val="32"/>
          <w:szCs w:val="32"/>
        </w:rPr>
        <w:t>承诺制度</w:t>
      </w:r>
      <w:r>
        <w:rPr>
          <w:rFonts w:hint="eastAsia" w:ascii="仿宋" w:hAnsi="仿宋" w:eastAsia="仿宋"/>
          <w:kern w:val="0"/>
          <w:sz w:val="32"/>
          <w:szCs w:val="32"/>
          <w:lang w:eastAsia="zh-CN"/>
        </w:rPr>
        <w:t>，</w:t>
      </w:r>
      <w:r>
        <w:rPr>
          <w:rFonts w:hint="eastAsia" w:ascii="仿宋" w:hAnsi="仿宋" w:eastAsia="仿宋"/>
          <w:kern w:val="0"/>
          <w:sz w:val="32"/>
          <w:szCs w:val="32"/>
        </w:rPr>
        <w:t>紧盯董事长、总经理、实际控制人这一</w:t>
      </w:r>
      <w:r>
        <w:rPr>
          <w:rFonts w:hint="eastAsia" w:ascii="仿宋" w:hAnsi="仿宋" w:eastAsia="仿宋"/>
          <w:kern w:val="0"/>
          <w:sz w:val="32"/>
          <w:szCs w:val="32"/>
          <w:lang w:eastAsia="zh-CN"/>
        </w:rPr>
        <w:t>“</w:t>
      </w:r>
      <w:r>
        <w:rPr>
          <w:rFonts w:hint="eastAsia" w:ascii="仿宋" w:hAnsi="仿宋" w:eastAsia="仿宋"/>
          <w:kern w:val="0"/>
          <w:sz w:val="32"/>
          <w:szCs w:val="32"/>
        </w:rPr>
        <w:t>关键少数</w:t>
      </w:r>
      <w:r>
        <w:rPr>
          <w:rFonts w:hint="eastAsia" w:ascii="仿宋" w:hAnsi="仿宋" w:eastAsia="仿宋"/>
          <w:kern w:val="0"/>
          <w:sz w:val="32"/>
          <w:szCs w:val="32"/>
          <w:lang w:eastAsia="zh-CN"/>
        </w:rPr>
        <w:t>”</w:t>
      </w:r>
      <w:r>
        <w:rPr>
          <w:rFonts w:hint="eastAsia" w:ascii="仿宋" w:hAnsi="仿宋" w:eastAsia="仿宋"/>
          <w:kern w:val="0"/>
          <w:sz w:val="32"/>
          <w:szCs w:val="32"/>
        </w:rPr>
        <w:t>，推动企业做到主体责任、基础管理、安全投入、安全培训和应急救援“五到位”。强化个人安全责任，将安全责任向个人延伸，普及安全常识，强化安全意识，增强防范能力。</w:t>
      </w:r>
    </w:p>
    <w:p>
      <w:pPr>
        <w:pageBreakBefore w:val="0"/>
        <w:kinsoku/>
        <w:wordWrap/>
        <w:overflowPunct/>
        <w:topLinePunct w:val="0"/>
        <w:autoSpaceDE w:val="0"/>
        <w:autoSpaceDN w:val="0"/>
        <w:bidi w:val="0"/>
        <w:adjustRightInd w:val="0"/>
        <w:spacing w:beforeAutospacing="0" w:line="600" w:lineRule="exact"/>
        <w:ind w:left="0" w:leftChars="0" w:firstLine="643" w:firstLineChars="200"/>
        <w:rPr>
          <w:rFonts w:ascii="仿宋" w:hAnsi="仿宋" w:eastAsia="仿宋"/>
          <w:b/>
          <w:bCs/>
          <w:kern w:val="0"/>
          <w:sz w:val="32"/>
          <w:szCs w:val="32"/>
          <w:lang w:val="zh-CN"/>
        </w:rPr>
      </w:pPr>
      <w:bookmarkStart w:id="63" w:name="_Toc53125900"/>
      <w:r>
        <w:rPr>
          <w:rFonts w:hint="eastAsia" w:ascii="仿宋_GB2312" w:hAnsi="仿宋_GB2312" w:eastAsia="仿宋_GB2312" w:cs="仿宋_GB2312"/>
          <w:b/>
          <w:bCs/>
          <w:sz w:val="32"/>
          <w:szCs w:val="32"/>
        </w:rPr>
        <w:t>2</w:t>
      </w:r>
      <w:bookmarkEnd w:id="63"/>
      <w:bookmarkStart w:id="64" w:name="_Toc53125901"/>
      <w:r>
        <w:rPr>
          <w:rFonts w:hint="eastAsia" w:ascii="仿宋_GB2312" w:hAnsi="仿宋_GB2312" w:eastAsia="仿宋_GB2312" w:cs="仿宋_GB2312"/>
          <w:b/>
          <w:bCs/>
          <w:sz w:val="32"/>
          <w:szCs w:val="32"/>
        </w:rPr>
        <w:t>.严把安全准入门槛。</w:t>
      </w:r>
      <w:bookmarkEnd w:id="64"/>
      <w:r>
        <w:rPr>
          <w:rFonts w:hint="eastAsia" w:ascii="仿宋" w:hAnsi="仿宋" w:eastAsia="仿宋"/>
          <w:kern w:val="0"/>
          <w:sz w:val="32"/>
          <w:szCs w:val="32"/>
          <w:lang w:val="zh-CN"/>
        </w:rPr>
        <w:t>严格安全生产市场准入，把安全生产贯穿于规划、设计、建设、管理、生产、经营各环节，严禁在人口密集区周边新建危险物品生产和储存等高风险项目。严把企业安全设施“三同时”审查关，进一步提升危险作业自动化控制水平。严格落实国家产业结构调整指导目录，及时淘汰落后工艺、技术、装备。结合深化供给侧结构性改革，依法淘汰不符合安全生产国家标准、行业标准条件的产能，有效防控风险。</w:t>
      </w:r>
    </w:p>
    <w:p>
      <w:pPr>
        <w:pageBreakBefore w:val="0"/>
        <w:kinsoku/>
        <w:wordWrap/>
        <w:overflowPunct/>
        <w:topLinePunct w:val="0"/>
        <w:bidi w:val="0"/>
        <w:spacing w:beforeAutospacing="0" w:line="600" w:lineRule="exact"/>
        <w:ind w:left="0" w:leftChars="0" w:firstLine="643" w:firstLineChars="200"/>
        <w:rPr>
          <w:rFonts w:ascii="仿宋" w:hAnsi="仿宋" w:eastAsia="仿宋"/>
          <w:kern w:val="0"/>
          <w:sz w:val="32"/>
          <w:szCs w:val="32"/>
          <w:lang w:val="zh-CN"/>
        </w:rPr>
      </w:pPr>
      <w:r>
        <w:rPr>
          <w:rFonts w:hint="eastAsia" w:ascii="仿宋_GB2312" w:hAnsi="仿宋_GB2312" w:eastAsia="仿宋_GB2312" w:cs="仿宋_GB2312"/>
          <w:b/>
          <w:bCs/>
          <w:sz w:val="32"/>
          <w:szCs w:val="32"/>
        </w:rPr>
        <w:t>3.</w:t>
      </w:r>
      <w:bookmarkStart w:id="65" w:name="_Toc53125902"/>
      <w:r>
        <w:rPr>
          <w:rFonts w:hint="eastAsia" w:ascii="仿宋_GB2312" w:hAnsi="仿宋_GB2312" w:eastAsia="仿宋_GB2312" w:cs="仿宋_GB2312"/>
          <w:b/>
          <w:bCs/>
          <w:sz w:val="32"/>
          <w:szCs w:val="32"/>
        </w:rPr>
        <w:t>加强监管能力建设。</w:t>
      </w:r>
      <w:r>
        <w:rPr>
          <w:rFonts w:hint="eastAsia" w:ascii="仿宋" w:hAnsi="仿宋" w:eastAsia="仿宋"/>
          <w:kern w:val="0"/>
          <w:sz w:val="32"/>
          <w:szCs w:val="32"/>
          <w:lang w:val="zh-CN" w:bidi="en-US"/>
        </w:rPr>
        <w:t>认真贯彻落实中共中央办公厅、国务院办公厅《关于深化应急管理综合行政执法改革的意见》，</w:t>
      </w:r>
      <w:r>
        <w:rPr>
          <w:rFonts w:hint="eastAsia" w:ascii="仿宋" w:hAnsi="仿宋" w:eastAsia="仿宋" w:cs="仿宋"/>
          <w:color w:val="000000"/>
          <w:sz w:val="32"/>
          <w:szCs w:val="32"/>
          <w:lang w:val="en-US" w:eastAsia="zh-CN"/>
        </w:rPr>
        <w:t>各行业领域要明确负责安全监管的内设机构，配足配强监管人员，重点行业领域监管部门配备不少于2名安全工作人员；推进市、县两级应急管理行政执法改革，全面实行“局队合一”</w:t>
      </w:r>
      <w:r>
        <w:rPr>
          <w:rFonts w:hint="eastAsia" w:ascii="仿宋" w:hAnsi="仿宋" w:eastAsia="仿宋" w:cs="仿宋"/>
          <w:color w:val="000000"/>
          <w:sz w:val="32"/>
          <w:szCs w:val="32"/>
          <w:lang w:val="zh-CN"/>
        </w:rPr>
        <w:t>。</w:t>
      </w:r>
      <w:r>
        <w:rPr>
          <w:rFonts w:hint="eastAsia" w:ascii="仿宋" w:hAnsi="仿宋" w:eastAsia="仿宋"/>
          <w:kern w:val="0"/>
          <w:sz w:val="32"/>
          <w:szCs w:val="32"/>
          <w:lang w:bidi="en-US"/>
        </w:rPr>
        <w:t>各乡镇要建立专职应急管理机构，</w:t>
      </w:r>
      <w:r>
        <w:rPr>
          <w:rFonts w:hint="eastAsia" w:ascii="仿宋" w:hAnsi="仿宋" w:eastAsia="仿宋" w:cs="仿宋"/>
          <w:color w:val="000000"/>
          <w:sz w:val="32"/>
          <w:szCs w:val="32"/>
        </w:rPr>
        <w:t>强化“四有”保障（有机构、有人员、有职责、有制度）</w:t>
      </w:r>
      <w:r>
        <w:rPr>
          <w:rFonts w:hint="eastAsia" w:ascii="仿宋" w:hAnsi="仿宋" w:eastAsia="仿宋"/>
          <w:kern w:val="0"/>
          <w:sz w:val="32"/>
          <w:szCs w:val="32"/>
          <w:lang w:bidi="en-US"/>
        </w:rPr>
        <w:t>。村民委员会要明确1名村（居）委干部负责应急管理工作，并对网格化管理人员赋予应急网格化管理职责。</w:t>
      </w:r>
      <w:r>
        <w:rPr>
          <w:rFonts w:hint="eastAsia" w:ascii="仿宋" w:hAnsi="仿宋" w:eastAsia="仿宋"/>
          <w:kern w:val="0"/>
          <w:sz w:val="32"/>
          <w:szCs w:val="32"/>
          <w:lang w:val="zh-CN"/>
        </w:rPr>
        <w:t>持续推进“互联网+监管”。科学编制并落实年度执法计划，提高监管执法的针对性和实效性。采取联合执法、双随机执法、“互联网+执法”、分类分级执法、验证式执法等方式开展执法工作，加强日常监督检查。</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hint="eastAsia" w:ascii="仿宋" w:hAnsi="仿宋" w:eastAsia="仿宋"/>
          <w:b w:val="0"/>
          <w:bCs w:val="0"/>
          <w:kern w:val="0"/>
          <w:sz w:val="32"/>
          <w:szCs w:val="32"/>
          <w:lang w:val="zh-CN"/>
        </w:rPr>
      </w:pPr>
      <w:r>
        <w:rPr>
          <w:rFonts w:hint="eastAsia" w:ascii="仿宋_GB2312" w:hAnsi="仿宋_GB2312" w:eastAsia="仿宋_GB2312" w:cs="仿宋_GB2312"/>
          <w:sz w:val="32"/>
          <w:szCs w:val="32"/>
        </w:rPr>
        <w:t>4.深化</w:t>
      </w:r>
      <w:r>
        <w:rPr>
          <w:rFonts w:hint="eastAsia" w:ascii="仿宋_GB2312" w:hAnsi="仿宋_GB2312" w:eastAsia="仿宋_GB2312" w:cs="仿宋_GB2312"/>
          <w:sz w:val="32"/>
          <w:szCs w:val="32"/>
          <w:lang w:eastAsia="zh-CN"/>
        </w:rPr>
        <w:t>安全生产专项整治</w:t>
      </w:r>
      <w:r>
        <w:rPr>
          <w:rFonts w:hint="eastAsia" w:ascii="仿宋_GB2312" w:hAnsi="仿宋_GB2312" w:eastAsia="仿宋_GB2312" w:cs="仿宋_GB2312"/>
          <w:sz w:val="32"/>
          <w:szCs w:val="32"/>
        </w:rPr>
        <w:t>。</w:t>
      </w:r>
      <w:bookmarkEnd w:id="65"/>
      <w:r>
        <w:rPr>
          <w:rFonts w:hint="eastAsia" w:ascii="仿宋" w:hAnsi="仿宋" w:eastAsia="仿宋"/>
          <w:b w:val="0"/>
          <w:bCs w:val="0"/>
          <w:kern w:val="0"/>
          <w:sz w:val="32"/>
          <w:szCs w:val="32"/>
          <w:lang w:val="zh-CN"/>
        </w:rPr>
        <w:t>按照《安全生产专项整治三年行动计划》，深入扎实开展安全生产专项整治。建立完善重点行业领域风险隐患辨识标准,推动企业定期开展安全风险隐患评估和危害辨识，加强动态分级管理，落实风险隐患防控措施。建立健全重大安全风险管控联动机制，对存在重大安全风险的场所、区域等进行重点管控，制定切实可行的防范化解措施。完善重大危险源辨识、申报、登记、监管制度，建立管理档案和动态管理数据库。大力开展安全生产标准化建设，实施本质安全提升行动。</w:t>
      </w:r>
    </w:p>
    <w:p>
      <w:pPr>
        <w:rPr>
          <w:rFonts w:hint="eastAsia"/>
          <w:lang w:val="zh-CN"/>
        </w:rPr>
      </w:pPr>
    </w:p>
    <w:tbl>
      <w:tblPr>
        <w:tblStyle w:val="2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pageBreakBefore w:val="0"/>
              <w:widowControl w:val="0"/>
              <w:kinsoku/>
              <w:wordWrap/>
              <w:overflowPunct/>
              <w:topLinePunct w:val="0"/>
              <w:autoSpaceDE w:val="0"/>
              <w:autoSpaceDN w:val="0"/>
              <w:bidi w:val="0"/>
              <w:adjustRightInd w:val="0"/>
              <w:spacing w:line="600" w:lineRule="exact"/>
              <w:ind w:leftChars="-51" w:hanging="107" w:hangingChars="38"/>
              <w:jc w:val="center"/>
              <w:textAlignment w:val="auto"/>
              <w:rPr>
                <w:rFonts w:ascii="仿宋_GB2312" w:hAnsi="仿宋_GB2312" w:eastAsia="PMingLiU"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lang w:val="zh-TW" w:bidi="zh-TW"/>
                <w14:textFill>
                  <w14:solidFill>
                    <w14:schemeClr w14:val="tx1"/>
                  </w14:solidFill>
                </w14:textFill>
              </w:rPr>
              <w:t>专栏</w:t>
            </w:r>
            <w:r>
              <w:rPr>
                <w:rFonts w:hint="eastAsia" w:ascii="仿宋_GB2312" w:hAnsi="仿宋_GB2312" w:eastAsia="仿宋_GB2312" w:cs="仿宋_GB2312"/>
                <w:b/>
                <w:color w:val="000000" w:themeColor="text1"/>
                <w:sz w:val="28"/>
                <w:szCs w:val="28"/>
                <w:lang w:bidi="zh-TW"/>
                <w14:textFill>
                  <w14:solidFill>
                    <w14:schemeClr w14:val="tx1"/>
                  </w14:solidFill>
                </w14:textFill>
              </w:rPr>
              <w:t xml:space="preserve">2  </w:t>
            </w:r>
            <w:r>
              <w:rPr>
                <w:rFonts w:ascii="仿宋_GB2312" w:hAnsi="仿宋_GB2312" w:eastAsia="仿宋_GB2312" w:cs="仿宋_GB2312"/>
                <w:b/>
                <w:color w:val="000000" w:themeColor="text1"/>
                <w:sz w:val="28"/>
                <w:szCs w:val="28"/>
                <w:lang w:val="zh-TW" w:eastAsia="zh-TW" w:bidi="zh-TW"/>
                <w14:textFill>
                  <w14:solidFill>
                    <w14:schemeClr w14:val="tx1"/>
                  </w14:solidFill>
                </w14:textFill>
              </w:rPr>
              <w:t>安全生产</w:t>
            </w:r>
            <w:r>
              <w:rPr>
                <w:rFonts w:hint="eastAsia" w:ascii="仿宋_GB2312" w:hAnsi="仿宋_GB2312" w:eastAsia="仿宋_GB2312" w:cs="仿宋_GB2312"/>
                <w:b/>
                <w:color w:val="000000" w:themeColor="text1"/>
                <w:sz w:val="28"/>
                <w:szCs w:val="28"/>
                <w:lang w:val="zh-TW" w:eastAsia="zh-CN" w:bidi="zh-TW"/>
                <w14:textFill>
                  <w14:solidFill>
                    <w14:schemeClr w14:val="tx1"/>
                  </w14:solidFill>
                </w14:textFill>
              </w:rPr>
              <w:t>专项整治</w:t>
            </w:r>
            <w:r>
              <w:rPr>
                <w:rFonts w:ascii="仿宋_GB2312" w:hAnsi="仿宋_GB2312" w:eastAsia="仿宋_GB2312" w:cs="仿宋_GB2312"/>
                <w:b/>
                <w:color w:val="000000" w:themeColor="text1"/>
                <w:sz w:val="28"/>
                <w:szCs w:val="28"/>
                <w:lang w:val="zh-TW" w:eastAsia="zh-TW" w:bidi="zh-TW"/>
                <w14:textFill>
                  <w14:solidFill>
                    <w14:schemeClr w14:val="tx1"/>
                  </w14:solidFill>
                </w14:textFill>
              </w:rPr>
              <w:t>重点</w:t>
            </w:r>
            <w:r>
              <w:rPr>
                <w:rFonts w:hint="eastAsia" w:ascii="仿宋_GB2312" w:hAnsi="仿宋_GB2312" w:eastAsia="仿宋_GB2312" w:cs="仿宋_GB2312"/>
                <w:b/>
                <w:color w:val="000000" w:themeColor="text1"/>
                <w:sz w:val="28"/>
                <w:szCs w:val="28"/>
                <w:lang w:bidi="zh-TW"/>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000000" w:themeColor="text1"/>
                <w:kern w:val="2"/>
                <w:sz w:val="28"/>
                <w:szCs w:val="28"/>
                <w:lang w:val="zh-TW" w:eastAsia="zh-TW" w:bidi="zh-TW"/>
                <w14:textFill>
                  <w14:solidFill>
                    <w14:schemeClr w14:val="tx1"/>
                  </w14:solidFill>
                </w14:textFill>
              </w:rPr>
            </w:pPr>
            <w:r>
              <w:rPr>
                <w:rFonts w:ascii="仿宋_GB2312" w:hAnsi="仿宋_GB2312" w:eastAsia="仿宋_GB2312" w:cs="仿宋_GB2312"/>
                <w:color w:val="000000" w:themeColor="text1"/>
                <w:kern w:val="2"/>
                <w:sz w:val="28"/>
                <w:szCs w:val="28"/>
                <w:lang w:val="zh-TW" w:eastAsia="zh-TW" w:bidi="zh-TW"/>
                <w14:textFill>
                  <w14:solidFill>
                    <w14:schemeClr w14:val="tx1"/>
                  </w14:solidFill>
                </w14:textFill>
              </w:rPr>
              <w:t>1.</w:t>
            </w:r>
            <w:r>
              <w:rPr>
                <w:rFonts w:hint="eastAsia" w:ascii="仿宋_GB2312" w:hAnsi="仿宋_GB2312" w:eastAsia="仿宋_GB2312" w:cs="仿宋_GB2312"/>
                <w:color w:val="000000" w:themeColor="text1"/>
                <w:kern w:val="2"/>
                <w:sz w:val="28"/>
                <w:szCs w:val="28"/>
                <w:lang w:val="zh-TW" w:eastAsia="zh-CN" w:bidi="zh-TW"/>
                <w14:textFill>
                  <w14:solidFill>
                    <w14:schemeClr w14:val="tx1"/>
                  </w14:solidFill>
                </w14:textFill>
              </w:rPr>
              <w:t>煤层气</w:t>
            </w:r>
            <w:r>
              <w:rPr>
                <w:rFonts w:ascii="仿宋_GB2312" w:hAnsi="仿宋_GB2312" w:eastAsia="仿宋_GB2312" w:cs="仿宋_GB2312"/>
                <w:color w:val="000000" w:themeColor="text1"/>
                <w:kern w:val="2"/>
                <w:sz w:val="28"/>
                <w:szCs w:val="28"/>
                <w:lang w:val="zh-TW" w:eastAsia="zh-TW" w:bidi="zh-TW"/>
                <w14:textFill>
                  <w14:solidFill>
                    <w14:schemeClr w14:val="tx1"/>
                  </w14:solidFill>
                </w14:textFill>
              </w:rPr>
              <w:t>：</w:t>
            </w:r>
            <w:r>
              <w:rPr>
                <w:rFonts w:hint="eastAsia" w:ascii="仿宋_GB2312" w:hAnsi="仿宋_GB2312" w:eastAsia="仿宋_GB2312" w:cs="仿宋_GB2312"/>
                <w:color w:val="000000" w:themeColor="text1"/>
                <w:kern w:val="2"/>
                <w:sz w:val="28"/>
                <w:szCs w:val="28"/>
                <w:lang w:val="en-US" w:eastAsia="zh-CN" w:bidi="zh-TW"/>
                <w14:textFill>
                  <w14:solidFill>
                    <w14:schemeClr w14:val="tx1"/>
                  </w14:solidFill>
                </w14:textFill>
              </w:rPr>
              <w:t>穿跨越河流、公路、铁路的长输管道，投入运营10年以上的长输管线，处在煤矿采空区上方的长输管线，以及煤层气抽采、压缩、液化、运输等环节。</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ascii="仿宋_GB2312" w:hAnsi="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cs="仿宋_GB2312"/>
                <w:color w:val="000000" w:themeColor="text1"/>
                <w:sz w:val="28"/>
                <w:szCs w:val="28"/>
                <w:lang w:val="zh-TW" w:bidi="zh-TW"/>
                <w14:textFill>
                  <w14:solidFill>
                    <w14:schemeClr w14:val="tx1"/>
                  </w14:solidFill>
                </w14:textFill>
              </w:rPr>
              <w:t>2.矿山</w:t>
            </w:r>
            <w:r>
              <w:rPr>
                <w:rFonts w:ascii="仿宋_GB2312" w:hAnsi="仿宋_GB2312" w:cs="仿宋_GB2312"/>
                <w:color w:val="000000" w:themeColor="text1"/>
                <w:sz w:val="28"/>
                <w:szCs w:val="28"/>
                <w:lang w:val="zh-TW" w:eastAsia="zh-TW" w:bidi="zh-TW"/>
                <w14:textFill>
                  <w14:solidFill>
                    <w14:schemeClr w14:val="tx1"/>
                  </w14:solidFill>
                </w14:textFill>
              </w:rPr>
              <w:t>：煤与瓦斯突出、高瓦斯、水文地质类型复杂</w:t>
            </w:r>
            <w:r>
              <w:rPr>
                <w:rFonts w:hint="eastAsia" w:ascii="仿宋_GB2312" w:hAnsi="仿宋_GB2312" w:cs="仿宋_GB2312"/>
                <w:color w:val="000000" w:themeColor="text1"/>
                <w:sz w:val="28"/>
                <w:szCs w:val="28"/>
                <w:lang w:val="zh-TW" w:bidi="zh-TW"/>
                <w14:textFill>
                  <w14:solidFill>
                    <w14:schemeClr w14:val="tx1"/>
                  </w14:solidFill>
                </w14:textFill>
              </w:rPr>
              <w:t>的</w:t>
            </w:r>
            <w:r>
              <w:rPr>
                <w:rFonts w:ascii="仿宋_GB2312" w:hAnsi="仿宋_GB2312" w:cs="仿宋_GB2312"/>
                <w:color w:val="000000" w:themeColor="text1"/>
                <w:sz w:val="28"/>
                <w:szCs w:val="28"/>
                <w:lang w:val="zh-TW" w:bidi="zh-TW"/>
                <w14:textFill>
                  <w14:solidFill>
                    <w14:schemeClr w14:val="tx1"/>
                  </w14:solidFill>
                </w14:textFill>
              </w:rPr>
              <w:t>煤矿</w:t>
            </w:r>
            <w:r>
              <w:rPr>
                <w:rFonts w:ascii="仿宋_GB2312" w:hAnsi="仿宋_GB2312" w:cs="仿宋_GB2312"/>
                <w:color w:val="000000" w:themeColor="text1"/>
                <w:sz w:val="28"/>
                <w:szCs w:val="28"/>
                <w:lang w:val="zh-TW" w:eastAsia="zh-TW" w:bidi="zh-TW"/>
                <w14:textFill>
                  <w14:solidFill>
                    <w14:schemeClr w14:val="tx1"/>
                  </w14:solidFill>
                </w14:textFill>
              </w:rPr>
              <w:t>。边坡高度超过200米的金属非金属露天矿山。</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ascii="仿宋_GB2312" w:hAnsi="仿宋_GB2312" w:eastAsia="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eastAsia="仿宋_GB2312" w:cs="仿宋_GB2312"/>
                <w:color w:val="000000" w:themeColor="text1"/>
                <w:sz w:val="28"/>
                <w:szCs w:val="28"/>
                <w:lang w:val="zh-TW" w:bidi="zh-TW"/>
                <w14:textFill>
                  <w14:solidFill>
                    <w14:schemeClr w14:val="tx1"/>
                  </w14:solidFill>
                </w14:textFill>
              </w:rPr>
              <w:t>3.</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消防：老旧小区、高层建筑、</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人员</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密集场所、大型商业综合体、</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博物馆和文物单位、文化旅游场所</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群租房、</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“三合一”“</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多合一</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”场所、电动自行车、外墙保温材料、彩钢板建筑、家庭加工作坊、城乡结合部、物流仓储、乡村火灾。</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ascii="仿宋_GB2312" w:hAnsi="仿宋_GB2312" w:eastAsia="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eastAsia="仿宋_GB2312" w:cs="仿宋_GB2312"/>
                <w:color w:val="000000" w:themeColor="text1"/>
                <w:sz w:val="28"/>
                <w:szCs w:val="28"/>
                <w:lang w:val="zh-TW" w:bidi="zh-TW"/>
                <w14:textFill>
                  <w14:solidFill>
                    <w14:schemeClr w14:val="tx1"/>
                  </w14:solidFill>
                </w14:textFill>
              </w:rPr>
              <w:t>4.</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道路</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运输</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：急弯陡坡、临水</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临</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崖、长下坡、</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桥梁</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、隧道、农村马路市场等路段及部位；</w:t>
            </w:r>
            <w:r>
              <w:rPr>
                <w:rFonts w:hint="eastAsia" w:ascii="仿宋_GB2312" w:hAnsi="仿宋_GB2312" w:eastAsia="仿宋_GB2312" w:cs="仿宋_GB2312"/>
                <w:color w:val="000000" w:themeColor="text1"/>
                <w:sz w:val="28"/>
                <w:szCs w:val="28"/>
                <w:lang w:bidi="zh-TW"/>
                <w14:textFill>
                  <w14:solidFill>
                    <w14:schemeClr w14:val="tx1"/>
                  </w14:solidFill>
                </w14:textFill>
              </w:rPr>
              <w:t>客运车辆</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、旅游大巴</w:t>
            </w:r>
            <w:r>
              <w:rPr>
                <w:rFonts w:ascii="仿宋_GB2312" w:hAnsi="仿宋_GB2312" w:eastAsia="仿宋_GB2312" w:cs="仿宋_GB2312"/>
                <w:color w:val="000000" w:themeColor="text1"/>
                <w:sz w:val="28"/>
                <w:szCs w:val="28"/>
                <w:lang w:val="zh-TW" w:bidi="zh-TW"/>
                <w14:textFill>
                  <w14:solidFill>
                    <w14:schemeClr w14:val="tx1"/>
                  </w14:solidFill>
                </w14:textFill>
              </w:rPr>
              <w:t>、校车</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、危险货物</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运输</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车辆</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w:t>
            </w:r>
            <w:r>
              <w:rPr>
                <w:rFonts w:ascii="仿宋_GB2312" w:hAnsi="仿宋_GB2312" w:eastAsia="仿宋_GB2312" w:cs="仿宋_GB2312"/>
                <w:color w:val="000000" w:themeColor="text1"/>
                <w:sz w:val="28"/>
                <w:szCs w:val="28"/>
                <w:lang w:val="zh-TW" w:bidi="zh-TW"/>
                <w14:textFill>
                  <w14:solidFill>
                    <w14:schemeClr w14:val="tx1"/>
                  </w14:solidFill>
                </w14:textFill>
              </w:rPr>
              <w:t>重载货车</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；“三超一疲劳”、农用三轮违法载人</w:t>
            </w:r>
            <w:r>
              <w:rPr>
                <w:rFonts w:ascii="仿宋_GB2312" w:hAnsi="仿宋_GB2312" w:eastAsia="仿宋_GB2312" w:cs="仿宋_GB2312"/>
                <w:color w:val="000000" w:themeColor="text1"/>
                <w:sz w:val="28"/>
                <w:szCs w:val="28"/>
                <w:lang w:val="zh-TW" w:eastAsia="zh-TW" w:bidi="zh-TW"/>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ascii="仿宋_GB2312" w:hAnsi="仿宋_GB2312" w:eastAsia="仿宋_GB2312" w:cs="仿宋_GB2312"/>
                <w:color w:val="000000" w:themeColor="text1"/>
                <w:sz w:val="28"/>
                <w:szCs w:val="28"/>
                <w:lang w:val="zh-TW" w:bidi="zh-TW"/>
                <w14:textFill>
                  <w14:solidFill>
                    <w14:schemeClr w14:val="tx1"/>
                  </w14:solidFill>
                </w14:textFill>
              </w:rPr>
            </w:pPr>
            <w:r>
              <w:rPr>
                <w:rFonts w:hint="eastAsia" w:ascii="仿宋_GB2312" w:hAnsi="仿宋_GB2312" w:eastAsia="仿宋_GB2312" w:cs="仿宋_GB2312"/>
                <w:color w:val="000000" w:themeColor="text1"/>
                <w:sz w:val="28"/>
                <w:szCs w:val="28"/>
                <w:lang w:val="zh-TW" w:bidi="zh-TW"/>
                <w14:textFill>
                  <w14:solidFill>
                    <w14:schemeClr w14:val="tx1"/>
                  </w14:solidFill>
                </w14:textFill>
              </w:rPr>
              <w:t>5.</w:t>
            </w:r>
            <w:r>
              <w:rPr>
                <w:rFonts w:ascii="仿宋_GB2312" w:hAnsi="仿宋_GB2312" w:eastAsia="仿宋_GB2312" w:cs="仿宋_GB2312"/>
                <w:color w:val="000000" w:themeColor="text1"/>
                <w:sz w:val="28"/>
                <w:szCs w:val="28"/>
                <w:lang w:val="zh-TW" w:bidi="zh-TW"/>
                <w14:textFill>
                  <w14:solidFill>
                    <w14:schemeClr w14:val="tx1"/>
                  </w14:solidFill>
                </w14:textFill>
              </w:rPr>
              <w:t>建筑施工：</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房屋建筑和市政基础设施新改扩建和拆除；利用原有建筑物改建改用酒店、饭店、学校、体育馆等人员聚集场所；</w:t>
            </w:r>
            <w:r>
              <w:rPr>
                <w:rFonts w:ascii="仿宋_GB2312" w:hAnsi="仿宋_GB2312" w:eastAsia="仿宋_GB2312" w:cs="仿宋_GB2312"/>
                <w:color w:val="000000" w:themeColor="text1"/>
                <w:sz w:val="28"/>
                <w:szCs w:val="28"/>
                <w:lang w:val="zh-TW" w:bidi="zh-TW"/>
                <w14:textFill>
                  <w14:solidFill>
                    <w14:schemeClr w14:val="tx1"/>
                  </w14:solidFill>
                </w14:textFill>
              </w:rPr>
              <w:t>高层建筑工程</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w:t>
            </w:r>
            <w:r>
              <w:rPr>
                <w:rFonts w:ascii="仿宋_GB2312" w:hAnsi="仿宋_GB2312" w:eastAsia="仿宋_GB2312" w:cs="仿宋_GB2312"/>
                <w:color w:val="000000" w:themeColor="text1"/>
                <w:sz w:val="28"/>
                <w:szCs w:val="28"/>
                <w:lang w:val="zh-TW" w:bidi="zh-TW"/>
                <w14:textFill>
                  <w14:solidFill>
                    <w14:schemeClr w14:val="tx1"/>
                  </w14:solidFill>
                </w14:textFill>
              </w:rPr>
              <w:t>地下工程</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w:t>
            </w:r>
            <w:r>
              <w:rPr>
                <w:rFonts w:ascii="仿宋_GB2312" w:hAnsi="仿宋_GB2312" w:eastAsia="仿宋_GB2312" w:cs="仿宋_GB2312"/>
                <w:color w:val="000000" w:themeColor="text1"/>
                <w:sz w:val="28"/>
                <w:szCs w:val="28"/>
                <w:lang w:val="zh-TW" w:bidi="zh-TW"/>
                <w14:textFill>
                  <w14:solidFill>
                    <w14:schemeClr w14:val="tx1"/>
                  </w14:solidFill>
                </w14:textFill>
              </w:rPr>
              <w:t>桥梁隧道；</w:t>
            </w:r>
            <w:r>
              <w:rPr>
                <w:rFonts w:hint="eastAsia" w:ascii="仿宋_GB2312" w:hAnsi="仿宋_GB2312" w:cs="仿宋_GB2312"/>
                <w:color w:val="000000" w:themeColor="text1"/>
                <w:sz w:val="28"/>
                <w:szCs w:val="28"/>
                <w:lang w:val="zh-TW" w:eastAsia="zh-CN" w:bidi="zh-TW"/>
                <w14:textFill>
                  <w14:solidFill>
                    <w14:schemeClr w14:val="tx1"/>
                  </w14:solidFill>
                </w14:textFill>
              </w:rPr>
              <w:t>用作经营用途的居民</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自建</w:t>
            </w:r>
            <w:r>
              <w:rPr>
                <w:rFonts w:hint="eastAsia" w:ascii="仿宋_GB2312" w:hAnsi="仿宋_GB2312" w:cs="仿宋_GB2312"/>
                <w:color w:val="000000" w:themeColor="text1"/>
                <w:sz w:val="28"/>
                <w:szCs w:val="28"/>
                <w:lang w:val="zh-TW" w:eastAsia="zh-CN" w:bidi="zh-TW"/>
                <w14:textFill>
                  <w14:solidFill>
                    <w14:schemeClr w14:val="tx1"/>
                  </w14:solidFill>
                </w14:textFill>
              </w:rPr>
              <w:t>房</w:t>
            </w:r>
            <w:r>
              <w:rPr>
                <w:rFonts w:hint="eastAsia" w:ascii="仿宋_GB2312" w:hAnsi="仿宋_GB2312" w:eastAsia="仿宋_GB2312" w:cs="仿宋_GB2312"/>
                <w:color w:val="000000" w:themeColor="text1"/>
                <w:sz w:val="28"/>
                <w:szCs w:val="28"/>
                <w:lang w:val="zh-TW" w:bidi="zh-TW"/>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ascii="仿宋_GB2312" w:hAnsi="仿宋_GB2312" w:cs="仿宋_GB2312"/>
                <w:color w:val="000000" w:themeColor="text1"/>
                <w:sz w:val="28"/>
                <w:szCs w:val="28"/>
                <w:lang w:val="zh-TW" w:bidi="zh-TW"/>
                <w14:textFill>
                  <w14:solidFill>
                    <w14:schemeClr w14:val="tx1"/>
                  </w14:solidFill>
                </w14:textFill>
              </w:rPr>
            </w:pPr>
            <w:r>
              <w:rPr>
                <w:rFonts w:hint="eastAsia" w:ascii="仿宋_GB2312" w:hAnsi="仿宋_GB2312" w:cs="仿宋_GB2312"/>
                <w:color w:val="000000" w:themeColor="text1"/>
                <w:sz w:val="28"/>
                <w:szCs w:val="28"/>
                <w:lang w:val="en-US" w:eastAsia="zh-CN" w:bidi="zh-TW"/>
                <w14:textFill>
                  <w14:solidFill>
                    <w14:schemeClr w14:val="tx1"/>
                  </w14:solidFill>
                </w14:textFill>
              </w:rPr>
              <w:t>6</w:t>
            </w:r>
            <w:r>
              <w:rPr>
                <w:rFonts w:hint="eastAsia" w:ascii="仿宋_GB2312" w:hAnsi="仿宋_GB2312" w:cs="仿宋_GB2312"/>
                <w:color w:val="000000" w:themeColor="text1"/>
                <w:sz w:val="28"/>
                <w:szCs w:val="28"/>
                <w:lang w:val="zh-TW" w:bidi="zh-TW"/>
                <w14:textFill>
                  <w14:solidFill>
                    <w14:schemeClr w14:val="tx1"/>
                  </w14:solidFill>
                </w14:textFill>
              </w:rPr>
              <w:t>.</w:t>
            </w:r>
            <w:r>
              <w:rPr>
                <w:rFonts w:ascii="仿宋_GB2312" w:hAnsi="仿宋_GB2312" w:cs="仿宋_GB2312"/>
                <w:color w:val="000000" w:themeColor="text1"/>
                <w:sz w:val="28"/>
                <w:szCs w:val="28"/>
                <w:lang w:val="zh-TW" w:bidi="zh-TW"/>
                <w14:textFill>
                  <w14:solidFill>
                    <w14:schemeClr w14:val="tx1"/>
                  </w14:solidFill>
                </w14:textFill>
              </w:rPr>
              <w:t>危险废物：危险废物集中处置设施</w:t>
            </w:r>
            <w:r>
              <w:rPr>
                <w:rFonts w:hint="eastAsia" w:ascii="仿宋_GB2312" w:hAnsi="仿宋_GB2312" w:cs="仿宋_GB2312"/>
                <w:color w:val="000000" w:themeColor="text1"/>
                <w:sz w:val="28"/>
                <w:szCs w:val="28"/>
                <w:lang w:val="zh-TW" w:bidi="zh-TW"/>
                <w14:textFill>
                  <w14:solidFill>
                    <w14:schemeClr w14:val="tx1"/>
                  </w14:solidFill>
                </w14:textFill>
              </w:rPr>
              <w:t>，</w:t>
            </w:r>
            <w:r>
              <w:rPr>
                <w:rFonts w:ascii="仿宋_GB2312" w:hAnsi="仿宋_GB2312" w:cs="仿宋_GB2312"/>
                <w:color w:val="000000" w:themeColor="text1"/>
                <w:sz w:val="28"/>
                <w:szCs w:val="28"/>
                <w:lang w:val="zh-TW" w:bidi="zh-TW"/>
                <w14:textFill>
                  <w14:solidFill>
                    <w14:schemeClr w14:val="tx1"/>
                  </w14:solidFill>
                </w14:textFill>
              </w:rPr>
              <w:t>违规堆存、随意倾倒、私自填埋危险废物。</w:t>
            </w:r>
          </w:p>
          <w:p>
            <w:pPr>
              <w:pStyle w:val="7"/>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bidi="zh-TW"/>
                <w14:textFill>
                  <w14:solidFill>
                    <w14:schemeClr w14:val="tx1"/>
                  </w14:solidFill>
                </w14:textFill>
              </w:rPr>
              <w:t>7.冶金工贸：</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冶金铸造企业使用煤气（天然气）、高温熔融金属、粉尘防爆、有限空间作业</w:t>
            </w:r>
            <w:r>
              <w:rPr>
                <w:rFonts w:hint="eastAsia" w:ascii="仿宋_GB2312" w:hAnsi="仿宋_GB2312" w:eastAsia="仿宋_GB2312" w:cs="仿宋_GB2312"/>
                <w:color w:val="000000" w:themeColor="text1"/>
                <w:sz w:val="28"/>
                <w:szCs w:val="28"/>
                <w:lang w:val="zh-TW" w:eastAsia="zh-CN" w:bidi="zh-TW"/>
                <w14:textFill>
                  <w14:solidFill>
                    <w14:schemeClr w14:val="tx1"/>
                  </w14:solidFill>
                </w14:textFill>
              </w:rPr>
              <w:t>；</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铁（钢）水转运、吊运</w:t>
            </w:r>
            <w:r>
              <w:rPr>
                <w:rFonts w:hint="eastAsia" w:ascii="仿宋_GB2312" w:hAnsi="仿宋_GB2312" w:eastAsia="仿宋_GB2312" w:cs="仿宋_GB2312"/>
                <w:color w:val="000000" w:themeColor="text1"/>
                <w:sz w:val="28"/>
                <w:szCs w:val="28"/>
                <w:lang w:val="zh-TW" w:eastAsia="zh-CN" w:bidi="zh-TW"/>
                <w14:textFill>
                  <w14:solidFill>
                    <w14:schemeClr w14:val="tx1"/>
                  </w14:solidFill>
                </w14:textFill>
              </w:rPr>
              <w:t>；</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粉尘涉爆企业除尘</w:t>
            </w:r>
            <w:r>
              <w:rPr>
                <w:rFonts w:hint="eastAsia" w:ascii="仿宋_GB2312" w:hAnsi="仿宋_GB2312" w:eastAsia="仿宋_GB2312" w:cs="仿宋_GB2312"/>
                <w:color w:val="000000" w:themeColor="text1"/>
                <w:sz w:val="28"/>
                <w:szCs w:val="28"/>
                <w:lang w:val="zh-TW" w:eastAsia="zh-CN" w:bidi="zh-TW"/>
                <w14:textFill>
                  <w14:solidFill>
                    <w14:schemeClr w14:val="tx1"/>
                  </w14:solidFill>
                </w14:textFill>
              </w:rPr>
              <w:t>爆炸</w:t>
            </w:r>
            <w:r>
              <w:rPr>
                <w:rFonts w:hint="eastAsia" w:ascii="仿宋_GB2312" w:hAnsi="仿宋_GB2312" w:eastAsia="仿宋_GB2312" w:cs="仿宋_GB2312"/>
                <w:color w:val="000000" w:themeColor="text1"/>
                <w:sz w:val="28"/>
                <w:szCs w:val="28"/>
                <w:lang w:val="zh-TW" w:eastAsia="zh-TW" w:bidi="zh-TW"/>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default" w:ascii="仿宋_GB2312" w:hAnsi="仿宋_GB2312" w:eastAsia="仿宋_GB2312" w:cs="仿宋_GB2312"/>
                <w:color w:val="000000" w:themeColor="text1"/>
                <w:sz w:val="28"/>
                <w:szCs w:val="28"/>
                <w:lang w:val="en-US" w:eastAsia="zh-CN" w:bidi="zh-TW"/>
                <w14:textFill>
                  <w14:solidFill>
                    <w14:schemeClr w14:val="tx1"/>
                  </w14:solidFill>
                </w14:textFill>
              </w:rPr>
            </w:pPr>
            <w:r>
              <w:rPr>
                <w:rFonts w:hint="eastAsia" w:ascii="仿宋_GB2312" w:hAnsi="仿宋_GB2312" w:cs="仿宋_GB2312"/>
                <w:color w:val="000000" w:themeColor="text1"/>
                <w:sz w:val="28"/>
                <w:szCs w:val="28"/>
                <w:lang w:val="en-US" w:eastAsia="zh-CN" w:bidi="zh-TW"/>
                <w14:textFill>
                  <w14:solidFill>
                    <w14:schemeClr w14:val="tx1"/>
                  </w14:solidFill>
                </w14:textFill>
              </w:rPr>
              <w:t>8.城镇燃气：推进城镇老旧燃气管网更新改造；严厉打击燃气建设项目违规转包、违法分包、违规违章作业、燃气管网外部野蛮施工等行为；排查治理商住混合体、餐饮场所、农贸市场等燃气使用事故隐患；严肃整治液化气站违规充装，严厉打击非法储存和“黑气瓶”。</w:t>
            </w:r>
          </w:p>
        </w:tc>
      </w:tr>
    </w:tbl>
    <w:p>
      <w:pPr>
        <w:rPr>
          <w:lang w:val="zh-CN"/>
        </w:rPr>
      </w:pP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66" w:name="_Toc53125903"/>
      <w:r>
        <w:rPr>
          <w:rFonts w:hint="eastAsia" w:ascii="仿宋_GB2312" w:hAnsi="仿宋_GB2312" w:eastAsia="仿宋_GB2312" w:cs="仿宋_GB2312"/>
          <w:b/>
          <w:bCs/>
          <w:sz w:val="32"/>
          <w:szCs w:val="32"/>
        </w:rPr>
        <w:t>5.提升安全科技水平。</w:t>
      </w:r>
      <w:bookmarkEnd w:id="66"/>
      <w:r>
        <w:rPr>
          <w:rFonts w:hint="eastAsia" w:ascii="仿宋" w:hAnsi="仿宋" w:eastAsia="仿宋" w:cs="Times New Roman"/>
          <w:b w:val="0"/>
          <w:bCs w:val="0"/>
          <w:kern w:val="0"/>
          <w:sz w:val="32"/>
          <w:szCs w:val="32"/>
          <w:lang w:val="zh-CN"/>
        </w:rPr>
        <w:t>加大煤与瓦斯突出和水害等重大灾害精准治理，加大重大灾害治理政策和资金支持。加大淘汰退出落后产能力度,在矿山、危险化学品、金属冶炼、建筑施工、民用爆炸物品等重点行业领域企业开展“机械化换人、自动化减人、机器人换岗”示范建设，建成一批智能化示范煤矿和智能化采掘工作面，全</w:t>
      </w:r>
      <w:r>
        <w:rPr>
          <w:rFonts w:hint="eastAsia" w:ascii="仿宋" w:hAnsi="仿宋" w:eastAsia="仿宋" w:cs="Times New Roman"/>
          <w:b w:val="0"/>
          <w:bCs w:val="0"/>
          <w:kern w:val="0"/>
          <w:sz w:val="32"/>
          <w:szCs w:val="32"/>
          <w:lang w:val="zh-CN" w:eastAsia="zh-CN"/>
        </w:rPr>
        <w:t>县年产</w:t>
      </w:r>
      <w:r>
        <w:rPr>
          <w:rFonts w:hint="eastAsia" w:ascii="仿宋" w:hAnsi="仿宋" w:eastAsia="仿宋" w:cs="Times New Roman"/>
          <w:b w:val="0"/>
          <w:bCs w:val="0"/>
          <w:kern w:val="0"/>
          <w:sz w:val="32"/>
          <w:szCs w:val="32"/>
          <w:lang w:val="en-US" w:eastAsia="zh-CN"/>
        </w:rPr>
        <w:t>120万吨以上</w:t>
      </w:r>
      <w:r>
        <w:rPr>
          <w:rFonts w:hint="eastAsia" w:ascii="仿宋" w:hAnsi="仿宋" w:eastAsia="仿宋" w:cs="Times New Roman"/>
          <w:b w:val="0"/>
          <w:bCs w:val="0"/>
          <w:kern w:val="0"/>
          <w:sz w:val="32"/>
          <w:szCs w:val="32"/>
          <w:lang w:val="zh-CN"/>
        </w:rPr>
        <w:t>煤矿和灾害严重矿井基本实现智能化。对安全条件差、数量多的小型企业实施安全技术改造，提高机械化、自动化程度，推广机器人应用，减少高危环境、岗位作业人员风险暴露，提高高危环境、风险岗位本质安全水平。</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_GB2312" w:hAnsi="仿宋_GB2312" w:eastAsia="仿宋_GB2312" w:cs="仿宋_GB2312"/>
          <w:b w:val="0"/>
          <w:sz w:val="32"/>
          <w:szCs w:val="32"/>
        </w:rPr>
      </w:pPr>
      <w:bookmarkStart w:id="67" w:name="_Toc53125904"/>
      <w:r>
        <w:rPr>
          <w:rFonts w:hint="eastAsia" w:ascii="仿宋_GB2312" w:hAnsi="仿宋_GB2312" w:eastAsia="仿宋_GB2312" w:cs="仿宋_GB2312"/>
          <w:b/>
          <w:bCs w:val="0"/>
          <w:sz w:val="32"/>
          <w:szCs w:val="32"/>
        </w:rPr>
        <w:t>6.健全安全培训教育体系。</w:t>
      </w:r>
      <w:bookmarkEnd w:id="67"/>
      <w:r>
        <w:rPr>
          <w:rFonts w:hint="eastAsia" w:ascii="仿宋" w:hAnsi="仿宋" w:eastAsia="仿宋"/>
          <w:b w:val="0"/>
          <w:bCs w:val="0"/>
          <w:kern w:val="0"/>
          <w:sz w:val="32"/>
          <w:szCs w:val="32"/>
          <w:lang w:val="zh-CN"/>
        </w:rPr>
        <w:t>加强安全生产宣传教育和科普工作，创新开展安全生产月、“</w:t>
      </w:r>
      <w:r>
        <w:rPr>
          <w:rFonts w:ascii="仿宋" w:hAnsi="仿宋" w:eastAsia="仿宋"/>
          <w:b w:val="0"/>
          <w:bCs w:val="0"/>
          <w:kern w:val="0"/>
          <w:sz w:val="32"/>
          <w:szCs w:val="32"/>
          <w:lang w:val="zh-CN"/>
        </w:rPr>
        <w:t>11</w:t>
      </w:r>
      <w:r>
        <w:rPr>
          <w:rFonts w:hint="eastAsia" w:ascii="仿宋" w:hAnsi="仿宋" w:eastAsia="仿宋"/>
          <w:b w:val="0"/>
          <w:bCs w:val="0"/>
          <w:kern w:val="0"/>
          <w:sz w:val="32"/>
          <w:szCs w:val="32"/>
          <w:lang w:val="en-US" w:eastAsia="zh-CN"/>
        </w:rPr>
        <w:t>.</w:t>
      </w:r>
      <w:r>
        <w:rPr>
          <w:rFonts w:ascii="仿宋" w:hAnsi="仿宋" w:eastAsia="仿宋"/>
          <w:b w:val="0"/>
          <w:bCs w:val="0"/>
          <w:kern w:val="0"/>
          <w:sz w:val="32"/>
          <w:szCs w:val="32"/>
          <w:lang w:val="zh-CN"/>
        </w:rPr>
        <w:t>9</w:t>
      </w:r>
      <w:r>
        <w:rPr>
          <w:rFonts w:hint="eastAsia" w:ascii="仿宋" w:hAnsi="仿宋" w:eastAsia="仿宋"/>
          <w:b w:val="0"/>
          <w:bCs w:val="0"/>
          <w:kern w:val="0"/>
          <w:sz w:val="32"/>
          <w:szCs w:val="32"/>
          <w:lang w:val="zh-CN"/>
        </w:rPr>
        <w:t>”消防宣传日、“</w:t>
      </w:r>
      <w:r>
        <w:rPr>
          <w:rFonts w:hint="eastAsia" w:ascii="仿宋" w:hAnsi="仿宋" w:eastAsia="仿宋"/>
          <w:b w:val="0"/>
          <w:bCs w:val="0"/>
          <w:kern w:val="0"/>
          <w:sz w:val="32"/>
          <w:szCs w:val="32"/>
          <w:lang w:val="en-US" w:eastAsia="zh-CN"/>
        </w:rPr>
        <w:t>5.12</w:t>
      </w:r>
      <w:r>
        <w:rPr>
          <w:rFonts w:hint="eastAsia" w:ascii="仿宋" w:hAnsi="仿宋" w:eastAsia="仿宋"/>
          <w:b w:val="0"/>
          <w:bCs w:val="0"/>
          <w:kern w:val="0"/>
          <w:sz w:val="32"/>
          <w:szCs w:val="32"/>
          <w:lang w:val="zh-CN"/>
        </w:rPr>
        <w:t>”</w:t>
      </w:r>
      <w:r>
        <w:rPr>
          <w:rFonts w:hint="eastAsia" w:ascii="仿宋" w:hAnsi="仿宋" w:eastAsia="仿宋"/>
          <w:b w:val="0"/>
          <w:bCs w:val="0"/>
          <w:kern w:val="0"/>
          <w:sz w:val="32"/>
          <w:szCs w:val="32"/>
          <w:lang w:val="en-US" w:eastAsia="zh-CN"/>
        </w:rPr>
        <w:t>防震减灾日、</w:t>
      </w:r>
      <w:r>
        <w:rPr>
          <w:rFonts w:hint="eastAsia" w:ascii="仿宋" w:hAnsi="仿宋" w:eastAsia="仿宋"/>
          <w:b w:val="0"/>
          <w:bCs w:val="0"/>
          <w:kern w:val="0"/>
          <w:sz w:val="32"/>
          <w:szCs w:val="32"/>
          <w:lang w:val="zh-CN"/>
        </w:rPr>
        <w:t>安康杯和青年示范岗等多种形式的安全生产宣传教育活动。拓宽安全生产现代化传播途径，加强新媒体平台建设，充分利用信息网络、微信、微博等新媒体平台，构建整体联动、集体发声的安全生产新媒体矩阵。教育主管部门要把安全知识普及纳入国民教育，建立完善中小学安全教育体系，将安全常识教育列入中小学素质教育内容，指导和督促各类学校开展应急逃生演练。严格落实企业安全教育培训制度，切实做到先培训、后上岗。强化事故案例警示教育，提升全民安全意识和法治意识。各级政府、部门和企业要推进安全文化建设，广泛开展面向群众的安全教育活动，推动安全生产知识进企业、进农村、进社区、进学校、进家庭，进机关、进公共场所，鼓励和引导社会力量参与安全文化产品创作和推广。</w:t>
      </w:r>
    </w:p>
    <w:p>
      <w:pPr>
        <w:pStyle w:val="2"/>
        <w:pageBreakBefore w:val="0"/>
        <w:kinsoku/>
        <w:wordWrap/>
        <w:overflowPunct/>
        <w:topLinePunct w:val="0"/>
        <w:bidi w:val="0"/>
        <w:spacing w:beforeAutospacing="0" w:line="600" w:lineRule="exact"/>
        <w:ind w:left="0" w:leftChars="0" w:firstLine="643" w:firstLineChars="200"/>
        <w:jc w:val="both"/>
        <w:rPr>
          <w:rFonts w:hint="eastAsia" w:ascii="仿宋" w:hAnsi="仿宋" w:eastAsia="仿宋" w:cs="Times New Roman"/>
          <w:sz w:val="32"/>
          <w:szCs w:val="32"/>
          <w:lang w:val="zh-CN" w:eastAsia="zh-CN"/>
        </w:rPr>
      </w:pPr>
      <w:bookmarkStart w:id="68" w:name="_Toc47037039"/>
      <w:bookmarkStart w:id="69" w:name="_Toc53125893"/>
      <w:bookmarkStart w:id="70" w:name="_Toc47037041"/>
      <w:bookmarkStart w:id="71" w:name="_Toc53125905"/>
      <w:r>
        <w:rPr>
          <w:rFonts w:hint="eastAsia" w:ascii="仿宋_GB2312" w:hAnsi="仿宋_GB2312" w:eastAsia="仿宋_GB2312" w:cs="仿宋_GB2312"/>
          <w:b/>
          <w:bCs/>
          <w:sz w:val="32"/>
          <w:szCs w:val="32"/>
          <w:lang w:eastAsia="zh-CN"/>
        </w:rPr>
        <w:t>7.严格考核评价和责任追究</w:t>
      </w:r>
      <w:r>
        <w:rPr>
          <w:rFonts w:hint="eastAsia" w:ascii="仿宋" w:hAnsi="仿宋" w:eastAsia="仿宋" w:cs="Times New Roman"/>
          <w:b/>
          <w:bCs/>
          <w:sz w:val="32"/>
          <w:szCs w:val="32"/>
          <w:lang w:val="zh-CN" w:eastAsia="zh-CN"/>
        </w:rPr>
        <w:t>。</w:t>
      </w:r>
      <w:r>
        <w:rPr>
          <w:rFonts w:hint="eastAsia" w:ascii="仿宋" w:hAnsi="仿宋" w:eastAsia="仿宋" w:cs="Times New Roman"/>
          <w:sz w:val="32"/>
          <w:szCs w:val="32"/>
          <w:lang w:val="zh-CN" w:eastAsia="zh-CN"/>
        </w:rPr>
        <w:t>严格落实安全生产巡查考核制度，定期对各部门安全生产履职情况开展综合督查和巡查考核，把安全生产工作情况纳入党委政府督查督办主要内容，采取通报、主流媒体公告等形式公开督查考核结果，把考核结果作为评先评优的重要依据之一。对领导干部安全履职不到位、阻挠干扰安全执法工作的，要严肃问责。对发生生产安全亡人事故的企业，一律责令停产整顿，取消标准化等级，暂扣或吊销安全生产许可证，启动刑事调查，构成犯罪的，依法追究有关人员刑事责任。推进安全生产责任事故快查快处，及时向社会公布查处结果，接受群众监督。</w:t>
      </w:r>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72" w:name="_Toc63919370_WPSOffice_Level2"/>
      <w:r>
        <w:rPr>
          <w:rFonts w:hint="eastAsia" w:ascii="楷体_GB2312" w:hAnsi="楷体_GB2312" w:eastAsia="楷体_GB2312" w:cs="楷体_GB2312"/>
          <w:b/>
          <w:bCs/>
          <w:color w:val="000000"/>
          <w:sz w:val="32"/>
          <w:szCs w:val="32"/>
        </w:rPr>
        <w:t>（二）建立健全应急管理体制机制</w:t>
      </w:r>
      <w:bookmarkEnd w:id="68"/>
      <w:bookmarkEnd w:id="69"/>
      <w:bookmarkEnd w:id="72"/>
      <w:bookmarkStart w:id="73" w:name="_Toc53125894"/>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hint="eastAsia" w:ascii="仿宋" w:hAnsi="仿宋" w:eastAsia="仿宋" w:cs="仿宋"/>
          <w:color w:val="000000"/>
          <w:sz w:val="32"/>
          <w:szCs w:val="32"/>
        </w:rPr>
      </w:pPr>
      <w:r>
        <w:rPr>
          <w:rFonts w:hint="eastAsia" w:ascii="仿宋_GB2312" w:hAnsi="仿宋_GB2312" w:eastAsia="仿宋_GB2312" w:cs="仿宋_GB2312"/>
          <w:b/>
          <w:bCs/>
          <w:sz w:val="32"/>
          <w:szCs w:val="32"/>
        </w:rPr>
        <w:t>1.强化应急指挥体系建设。</w:t>
      </w:r>
      <w:bookmarkEnd w:id="73"/>
      <w:r>
        <w:rPr>
          <w:rFonts w:hint="eastAsia" w:ascii="仿宋" w:hAnsi="仿宋" w:eastAsia="仿宋" w:cs="仿宋"/>
          <w:color w:val="000000"/>
          <w:sz w:val="32"/>
          <w:szCs w:val="32"/>
        </w:rPr>
        <w:t>健全完善“防”“救”相承的责任体系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健全完善县</w:t>
      </w:r>
      <w:r>
        <w:rPr>
          <w:rFonts w:hint="eastAsia" w:ascii="仿宋" w:hAnsi="仿宋" w:eastAsia="仿宋" w:cs="仿宋"/>
          <w:color w:val="000000"/>
          <w:sz w:val="32"/>
          <w:szCs w:val="32"/>
          <w:lang w:eastAsia="zh-CN"/>
        </w:rPr>
        <w:t>与</w:t>
      </w:r>
      <w:r>
        <w:rPr>
          <w:rFonts w:hint="eastAsia" w:ascii="仿宋" w:hAnsi="仿宋" w:eastAsia="仿宋" w:cs="仿宋"/>
          <w:color w:val="000000"/>
          <w:sz w:val="32"/>
          <w:szCs w:val="32"/>
        </w:rPr>
        <w:t>乡</w:t>
      </w:r>
      <w:r>
        <w:rPr>
          <w:rFonts w:hint="eastAsia" w:ascii="仿宋" w:hAnsi="仿宋" w:eastAsia="仿宋" w:cs="仿宋"/>
          <w:color w:val="000000"/>
          <w:sz w:val="32"/>
          <w:szCs w:val="32"/>
          <w:lang w:eastAsia="zh-CN"/>
        </w:rPr>
        <w:t>、县与部门之间</w:t>
      </w:r>
      <w:r>
        <w:rPr>
          <w:rFonts w:hint="eastAsia" w:ascii="仿宋" w:hAnsi="仿宋" w:eastAsia="仿宋" w:cs="仿宋"/>
          <w:color w:val="000000"/>
          <w:sz w:val="32"/>
          <w:szCs w:val="32"/>
        </w:rPr>
        <w:t>统分结合的指挥体系和运行机制，充分发挥“1+17”应急救援指挥体系的防范部署与应急指挥作用，强化风险防控、监测预警、应急处置、恢复重建全过程管理。建立健全党委、政府定期研究应急管理工作制度，完善应急管理部门双重领导、地方为主的管理体制，统一指挥、统一制度、统一纪律、统一训练，按照“对党忠诚、纪律严明、赴汤蹈火、竭诚为民”方针，建设政治过硬、本领高强、能打胜仗的应急管理队伍。</w:t>
      </w:r>
      <w:bookmarkStart w:id="74" w:name="_Toc53125895"/>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hint="eastAsia" w:ascii="仿宋" w:hAnsi="仿宋" w:eastAsia="仿宋" w:cs="仿宋"/>
          <w:color w:val="000000"/>
          <w:sz w:val="32"/>
          <w:szCs w:val="32"/>
        </w:rPr>
      </w:pPr>
      <w:r>
        <w:rPr>
          <w:rFonts w:hint="eastAsia" w:ascii="仿宋_GB2312" w:hAnsi="仿宋_GB2312" w:eastAsia="仿宋_GB2312" w:cs="仿宋_GB2312"/>
          <w:b/>
          <w:bCs/>
          <w:sz w:val="32"/>
          <w:szCs w:val="32"/>
        </w:rPr>
        <w:t>2.强化应急联防联控机制建设。</w:t>
      </w:r>
      <w:bookmarkEnd w:id="74"/>
      <w:r>
        <w:rPr>
          <w:rFonts w:hint="eastAsia" w:ascii="仿宋" w:hAnsi="仿宋" w:eastAsia="仿宋" w:cs="仿宋"/>
          <w:color w:val="000000"/>
          <w:sz w:val="32"/>
          <w:szCs w:val="32"/>
        </w:rPr>
        <w:t>构建应急管理部门统筹、相关部门参加的跨部门、跨层级、跨地域应急协调联动机制，形成整体合力。进一步完善分级响应机制，对敏感性强、容易失控的突发灾害事故，提级响应、加强指导，配合省、市政府建立健全应急管理“三纵三横三中心”（三纵：省市县三级应急管理系统对接；三横：省市县应急管理系统和相关职能部门、救援队伍对接；三中心：省市县应急指挥中心对接）网格化应急响应、应急指挥、应急处置能力一张网、一盘棋。</w:t>
      </w:r>
      <w:bookmarkStart w:id="75" w:name="_Toc53125896"/>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3.强化应急预案管理体系建设。</w:t>
      </w:r>
      <w:r>
        <w:rPr>
          <w:rFonts w:hint="eastAsia" w:ascii="仿宋" w:hAnsi="仿宋" w:eastAsia="仿宋" w:cs="仿宋"/>
          <w:color w:val="000000"/>
          <w:sz w:val="32"/>
          <w:szCs w:val="32"/>
        </w:rPr>
        <w:t>健全相互衔接的应急预案体系，加强上下级政府间、部门与部门间、政府与企业间预案的有效衔接，完善应急响应工作手册和行动方案，明显提升应急预案的科学性、适用性和可操作性。建设应急预案数字化管理系统，实现应急预案的编制、修订、评审、评估、备案、演练、更新等管理工作信息化、现代化。强化应急预案实战化应用，有针对性地分地区、分行业开展常态化重大灾害事故应急演练</w:t>
      </w:r>
      <w:bookmarkEnd w:id="75"/>
      <w:r>
        <w:rPr>
          <w:rFonts w:hint="eastAsia" w:ascii="仿宋" w:hAnsi="仿宋" w:eastAsia="仿宋" w:cs="仿宋"/>
          <w:color w:val="000000"/>
          <w:sz w:val="32"/>
          <w:szCs w:val="32"/>
        </w:rPr>
        <w:t>。</w:t>
      </w:r>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76" w:name="_Toc53125923"/>
      <w:bookmarkStart w:id="77" w:name="_Toc1246002186_WPSOffice_Level2"/>
      <w:r>
        <w:rPr>
          <w:rFonts w:hint="eastAsia" w:ascii="楷体_GB2312" w:hAnsi="楷体_GB2312" w:eastAsia="楷体_GB2312" w:cs="楷体_GB2312"/>
          <w:b/>
          <w:bCs/>
          <w:color w:val="000000"/>
          <w:sz w:val="32"/>
          <w:szCs w:val="32"/>
        </w:rPr>
        <w:t>（三）加强应急救援综合保障体系建设</w:t>
      </w:r>
      <w:bookmarkEnd w:id="76"/>
      <w:bookmarkEnd w:id="77"/>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78" w:name="_Toc53125924"/>
      <w:r>
        <w:rPr>
          <w:rFonts w:hint="eastAsia" w:ascii="仿宋_GB2312" w:hAnsi="仿宋_GB2312" w:eastAsia="仿宋_GB2312" w:cs="仿宋_GB2312"/>
          <w:sz w:val="32"/>
          <w:szCs w:val="32"/>
        </w:rPr>
        <w:t>1.强化应急物资装备保障。</w:t>
      </w:r>
      <w:bookmarkEnd w:id="78"/>
      <w:r>
        <w:rPr>
          <w:rFonts w:hint="eastAsia" w:ascii="仿宋" w:hAnsi="仿宋" w:eastAsia="仿宋" w:cs="仿宋"/>
          <w:b w:val="0"/>
          <w:bCs w:val="0"/>
          <w:color w:val="000000"/>
          <w:sz w:val="32"/>
          <w:szCs w:val="32"/>
        </w:rPr>
        <w:t>加快建立集中管理、统一调拨、平时服务、灾时应急、采储结合、节约高效的应急管理物资装备保障体系。完善县、乡物资装备储备布局，扩大储备规模、品种及数量，加强灾害事故易发多发地区的应急物资装备储备能力。推进县级救灾物资储备库建设，推动交通不便和灾害风险高的乡（镇）、村救灾物资储备库（点）建设，确保第一时间处置和应对各类突发灾情。建立应急储备补贴机制，鼓励企业、社会组织和家庭储备应急物资。</w:t>
      </w:r>
    </w:p>
    <w:tbl>
      <w:tblPr>
        <w:tblStyle w:val="2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60" w:type="dxa"/>
          </w:tcPr>
          <w:p>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0"/>
              <w:jc w:val="center"/>
              <w:textAlignment w:val="auto"/>
              <w:rPr>
                <w:rFonts w:ascii="仿宋" w:hAnsi="仿宋" w:eastAsia="仿宋"/>
                <w:b/>
                <w:color w:val="000000" w:themeColor="text1"/>
                <w:sz w:val="28"/>
                <w:szCs w:val="28"/>
                <w:lang w:eastAsia="zh-CN"/>
                <w14:textFill>
                  <w14:solidFill>
                    <w14:schemeClr w14:val="tx1"/>
                  </w14:solidFill>
                </w14:textFill>
              </w:rPr>
            </w:pPr>
            <w:bookmarkStart w:id="79" w:name="_Toc53125925"/>
            <w:r>
              <w:rPr>
                <w:rFonts w:ascii="仿宋" w:hAnsi="仿宋" w:eastAsia="仿宋"/>
                <w:b/>
                <w:color w:val="000000" w:themeColor="text1"/>
                <w:sz w:val="28"/>
                <w:szCs w:val="28"/>
                <w14:textFill>
                  <w14:solidFill>
                    <w14:schemeClr w14:val="tx1"/>
                  </w14:solidFill>
                </w14:textFill>
              </w:rPr>
              <w:t>专栏</w:t>
            </w:r>
            <w:r>
              <w:rPr>
                <w:rFonts w:hint="eastAsia" w:ascii="仿宋" w:hAnsi="仿宋" w:eastAsia="仿宋"/>
                <w:b/>
                <w:color w:val="000000" w:themeColor="text1"/>
                <w:sz w:val="28"/>
                <w:szCs w:val="28"/>
                <w:lang w:val="en-US" w:eastAsia="zh-CN"/>
                <w14:textFill>
                  <w14:solidFill>
                    <w14:schemeClr w14:val="tx1"/>
                  </w14:solidFill>
                </w14:textFill>
              </w:rPr>
              <w:t xml:space="preserve">4  </w:t>
            </w:r>
            <w:r>
              <w:rPr>
                <w:rFonts w:ascii="仿宋" w:hAnsi="仿宋" w:eastAsia="仿宋"/>
                <w:b/>
                <w:color w:val="000000" w:themeColor="text1"/>
                <w:sz w:val="28"/>
                <w:szCs w:val="28"/>
                <w14:textFill>
                  <w14:solidFill>
                    <w14:schemeClr w14:val="tx1"/>
                  </w14:solidFill>
                </w14:textFill>
              </w:rPr>
              <w:t>应急物资</w:t>
            </w:r>
            <w:r>
              <w:rPr>
                <w:rFonts w:hint="eastAsia" w:ascii="仿宋" w:hAnsi="仿宋" w:eastAsia="仿宋"/>
                <w:b/>
                <w:color w:val="000000" w:themeColor="text1"/>
                <w:sz w:val="28"/>
                <w:szCs w:val="28"/>
                <w:lang w:eastAsia="zh-CN"/>
                <w14:textFill>
                  <w14:solidFill>
                    <w14:schemeClr w14:val="tx1"/>
                  </w14:solidFill>
                </w14:textFill>
              </w:rPr>
              <w:t>装备储备</w:t>
            </w:r>
            <w:r>
              <w:rPr>
                <w:rFonts w:ascii="仿宋" w:hAnsi="仿宋" w:eastAsia="仿宋"/>
                <w:b/>
                <w:color w:val="000000" w:themeColor="text1"/>
                <w:sz w:val="28"/>
                <w:szCs w:val="28"/>
                <w:lang w:eastAsia="zh-CN"/>
                <w14:textFill>
                  <w14:solidFill>
                    <w14:schemeClr w14:val="tx1"/>
                  </w14:solidFill>
                </w14:textFill>
              </w:rPr>
              <w:t>重点</w:t>
            </w:r>
            <w:r>
              <w:rPr>
                <w:rFonts w:hint="eastAsia" w:ascii="仿宋" w:hAnsi="仿宋" w:eastAsia="仿宋"/>
                <w:b/>
                <w:color w:val="000000" w:themeColor="text1"/>
                <w:sz w:val="28"/>
                <w:szCs w:val="28"/>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060" w:type="dxa"/>
          </w:tcPr>
          <w:p>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PMingLiU"/>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生活类救灾物资：棉大衣、毛毯、毛巾被、夏凉被、家庭应急包、睡袋、折叠桌椅、简易厕所、炉子、场地照明灯、苫布、救灾帐篷、折叠床、棉被等</w:t>
            </w:r>
            <w:r>
              <w:rPr>
                <w:rFonts w:hint="eastAsia" w:ascii="仿宋" w:hAnsi="仿宋" w:eastAsia="仿宋"/>
                <w:color w:val="000000" w:themeColor="text1"/>
                <w:sz w:val="28"/>
                <w:szCs w:val="28"/>
                <w:lang w:eastAsia="zh-CN"/>
                <w14:textFill>
                  <w14:solidFill>
                    <w14:schemeClr w14:val="tx1"/>
                  </w14:solidFill>
                </w14:textFill>
              </w:rPr>
              <w:t>。</w:t>
            </w:r>
          </w:p>
          <w:p>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综合性消防救援应急物资</w:t>
            </w:r>
            <w:r>
              <w:rPr>
                <w:rFonts w:hint="eastAsia" w:ascii="仿宋" w:hAnsi="仿宋" w:eastAsia="仿宋"/>
                <w:color w:val="000000" w:themeColor="text1"/>
                <w:sz w:val="28"/>
                <w:szCs w:val="28"/>
                <w:lang w:val="en-US" w:eastAsia="zh-CN"/>
                <w14:textFill>
                  <w14:solidFill>
                    <w14:schemeClr w14:val="tx1"/>
                  </w14:solidFill>
                </w14:textFill>
              </w:rPr>
              <w:t>装备</w:t>
            </w:r>
            <w:r>
              <w:rPr>
                <w:rFonts w:ascii="仿宋" w:hAnsi="仿宋" w:eastAsia="仿宋"/>
                <w:color w:val="000000" w:themeColor="text1"/>
                <w:sz w:val="28"/>
                <w:szCs w:val="28"/>
                <w14:textFill>
                  <w14:solidFill>
                    <w14:schemeClr w14:val="tx1"/>
                  </w14:solidFill>
                </w14:textFill>
              </w:rPr>
              <w:t>：空气呼吸器、水带、灭火防护服、防化服、隔热服、防冻服、防毒面具、泡沫灭火剂、高倍数泡沫发生器、泡沫管枪等。</w:t>
            </w:r>
          </w:p>
          <w:p>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w:t>
            </w:r>
            <w:r>
              <w:rPr>
                <w:rFonts w:ascii="仿宋" w:hAnsi="仿宋" w:eastAsia="PMingLiU"/>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森林草原防灭火物资</w:t>
            </w:r>
            <w:r>
              <w:rPr>
                <w:rFonts w:hint="eastAsia" w:ascii="仿宋" w:hAnsi="仿宋" w:eastAsia="仿宋"/>
                <w:color w:val="000000" w:themeColor="text1"/>
                <w:sz w:val="28"/>
                <w:szCs w:val="28"/>
                <w:lang w:val="en-US" w:eastAsia="zh-CN"/>
                <w14:textFill>
                  <w14:solidFill>
                    <w14:schemeClr w14:val="tx1"/>
                  </w14:solidFill>
                </w14:textFill>
              </w:rPr>
              <w:t>装备</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新型</w:t>
            </w:r>
            <w:r>
              <w:rPr>
                <w:rFonts w:ascii="仿宋" w:hAnsi="仿宋" w:eastAsia="仿宋"/>
                <w:color w:val="000000" w:themeColor="text1"/>
                <w:sz w:val="28"/>
                <w:szCs w:val="28"/>
                <w14:textFill>
                  <w14:solidFill>
                    <w14:schemeClr w14:val="tx1"/>
                  </w14:solidFill>
                </w14:textFill>
              </w:rPr>
              <w:t>扑打、风力灭火、以水灭火、火场切割</w:t>
            </w:r>
            <w:r>
              <w:rPr>
                <w:rFonts w:hint="eastAsia" w:ascii="仿宋" w:hAnsi="仿宋" w:eastAsia="仿宋"/>
                <w:color w:val="000000" w:themeColor="text1"/>
                <w:sz w:val="28"/>
                <w:szCs w:val="28"/>
                <w14:textFill>
                  <w14:solidFill>
                    <w14:schemeClr w14:val="tx1"/>
                  </w14:solidFill>
                </w14:textFill>
              </w:rPr>
              <w:t>等</w:t>
            </w:r>
            <w:r>
              <w:rPr>
                <w:rFonts w:ascii="仿宋" w:hAnsi="仿宋" w:eastAsia="仿宋"/>
                <w:color w:val="000000" w:themeColor="text1"/>
                <w:sz w:val="28"/>
                <w:szCs w:val="28"/>
                <w14:textFill>
                  <w14:solidFill>
                    <w14:schemeClr w14:val="tx1"/>
                  </w14:solidFill>
                </w14:textFill>
              </w:rPr>
              <w:t>扑火机具，智能头盔、过滤式呼吸面罩、阻燃防护服等防护装备，隔离带挖掘机、全道路运兵车、履带式森林消防车、履带式水泡车等特种车辆装备，小型无人侦察机、单兵通信终端</w:t>
            </w: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lang w:eastAsia="zh-CN"/>
                <w14:textFill>
                  <w14:solidFill>
                    <w14:schemeClr w14:val="tx1"/>
                  </w14:solidFill>
                </w14:textFill>
              </w:rPr>
              <w:t>前线移动指挥车</w:t>
            </w:r>
            <w:r>
              <w:rPr>
                <w:rFonts w:ascii="仿宋" w:hAnsi="仿宋" w:eastAsia="仿宋"/>
                <w:color w:val="000000" w:themeColor="text1"/>
                <w:sz w:val="28"/>
                <w:szCs w:val="28"/>
                <w14:textFill>
                  <w14:solidFill>
                    <w14:schemeClr w14:val="tx1"/>
                  </w14:solidFill>
                </w14:textFill>
              </w:rPr>
              <w:t>等通信指挥装备，帐篷、睡袋等野外生存装备。</w:t>
            </w:r>
          </w:p>
          <w:p>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PMingLiU"/>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防汛抗旱物资</w:t>
            </w:r>
            <w:r>
              <w:rPr>
                <w:rFonts w:hint="eastAsia" w:ascii="仿宋" w:hAnsi="仿宋" w:eastAsia="仿宋"/>
                <w:color w:val="000000" w:themeColor="text1"/>
                <w:sz w:val="28"/>
                <w:szCs w:val="28"/>
                <w:lang w:val="en-US" w:eastAsia="zh-CN"/>
                <w14:textFill>
                  <w14:solidFill>
                    <w14:schemeClr w14:val="tx1"/>
                  </w14:solidFill>
                </w14:textFill>
              </w:rPr>
              <w:t>装备</w:t>
            </w:r>
            <w:r>
              <w:rPr>
                <w:rFonts w:ascii="仿宋" w:hAnsi="仿宋" w:eastAsia="仿宋"/>
                <w:color w:val="000000" w:themeColor="text1"/>
                <w:sz w:val="28"/>
                <w:szCs w:val="28"/>
                <w14:textFill>
                  <w14:solidFill>
                    <w14:schemeClr w14:val="tx1"/>
                  </w14:solidFill>
                </w14:textFill>
              </w:rPr>
              <w:t>：编织袋、土工布、防管涌单元、抢险网兜、防洪子堤等抢险物料，救生衣、橡皮艇、冲锋舟，巡堤查险灯具、大型移动灯塔、汽柴油发电机、大中型排涝泵站、水下探测设备等抢险装备。</w:t>
            </w:r>
          </w:p>
          <w:p>
            <w:pPr>
              <w:pStyle w:val="53"/>
              <w:keepNext w:val="0"/>
              <w:keepLines w:val="0"/>
              <w:pageBreakBefore w:val="0"/>
              <w:widowControl w:val="0"/>
              <w:tabs>
                <w:tab w:val="left" w:leader="underscore" w:pos="1709"/>
                <w:tab w:val="left" w:leader="underscore" w:pos="8515"/>
              </w:tabs>
              <w:kinsoku/>
              <w:wordWrap/>
              <w:overflowPunct/>
              <w:topLinePunct w:val="0"/>
              <w:autoSpaceDE/>
              <w:autoSpaceDN/>
              <w:bidi w:val="0"/>
              <w:adjustRightInd/>
              <w:snapToGrid/>
              <w:spacing w:line="400" w:lineRule="exact"/>
              <w:ind w:firstLine="560" w:firstLineChars="200"/>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w:t>
            </w:r>
            <w:r>
              <w:rPr>
                <w:rFonts w:ascii="仿宋" w:hAnsi="仿宋" w:eastAsia="PMingLiU"/>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矿山事故救援物资</w:t>
            </w:r>
            <w:r>
              <w:rPr>
                <w:rFonts w:hint="eastAsia" w:ascii="仿宋" w:hAnsi="仿宋" w:eastAsia="仿宋"/>
                <w:color w:val="000000" w:themeColor="text1"/>
                <w:sz w:val="28"/>
                <w:szCs w:val="28"/>
                <w:lang w:val="en-US" w:eastAsia="zh-CN"/>
                <w14:textFill>
                  <w14:solidFill>
                    <w14:schemeClr w14:val="tx1"/>
                  </w14:solidFill>
                </w14:textFill>
              </w:rPr>
              <w:t>装备</w:t>
            </w:r>
            <w:r>
              <w:rPr>
                <w:rFonts w:ascii="仿宋" w:hAnsi="仿宋" w:eastAsia="仿宋"/>
                <w:color w:val="000000" w:themeColor="text1"/>
                <w:sz w:val="28"/>
                <w:szCs w:val="28"/>
                <w14:textFill>
                  <w14:solidFill>
                    <w14:schemeClr w14:val="tx1"/>
                  </w14:solidFill>
                </w14:textFill>
              </w:rPr>
              <w:t>：潜水泵、排水管路、应急电源、帐篷等。</w:t>
            </w:r>
          </w:p>
        </w:tc>
      </w:tr>
    </w:tbl>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r>
        <w:rPr>
          <w:rFonts w:hint="eastAsia" w:ascii="仿宋_GB2312" w:hAnsi="仿宋_GB2312" w:eastAsia="仿宋_GB2312" w:cs="仿宋_GB2312"/>
          <w:sz w:val="32"/>
          <w:szCs w:val="32"/>
        </w:rPr>
        <w:t>2.强化应急救援紧急运输保障。</w:t>
      </w:r>
      <w:bookmarkEnd w:id="79"/>
      <w:r>
        <w:rPr>
          <w:rFonts w:hint="eastAsia" w:ascii="仿宋" w:hAnsi="仿宋" w:eastAsia="仿宋" w:cs="仿宋"/>
          <w:b w:val="0"/>
          <w:bCs w:val="0"/>
          <w:color w:val="000000"/>
          <w:sz w:val="32"/>
          <w:szCs w:val="32"/>
        </w:rPr>
        <w:t>强化紧急运输力量建设，布局一批综合运输保障基地。统筹现有物流及仓储资源，健全灾后紧急运输调运和征用机制，提升紧急运输市场储备能力。加强紧急运输绿色通道建设，完善应急物资及人员运输车辆跨区域优先免费通行机制。完善政企联通的紧急运输调度指挥平台，实现紧急条件下运输资源和信息的集中管理、统一调配。</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hint="eastAsia" w:ascii="仿宋" w:hAnsi="仿宋" w:eastAsia="仿宋" w:cs="仿宋"/>
          <w:b w:val="0"/>
          <w:bCs w:val="0"/>
          <w:color w:val="000000"/>
          <w:sz w:val="32"/>
          <w:szCs w:val="32"/>
        </w:rPr>
      </w:pPr>
      <w:bookmarkStart w:id="80" w:name="_Toc53125926"/>
      <w:r>
        <w:rPr>
          <w:rFonts w:hint="eastAsia" w:ascii="仿宋_GB2312" w:hAnsi="仿宋_GB2312" w:eastAsia="仿宋_GB2312" w:cs="仿宋_GB2312"/>
          <w:sz w:val="32"/>
          <w:szCs w:val="32"/>
        </w:rPr>
        <w:t>3.强化灾后救助保障。</w:t>
      </w:r>
      <w:bookmarkEnd w:id="80"/>
      <w:r>
        <w:rPr>
          <w:rFonts w:hint="eastAsia" w:ascii="仿宋" w:hAnsi="仿宋" w:eastAsia="仿宋" w:cs="仿宋"/>
          <w:b w:val="0"/>
          <w:bCs w:val="0"/>
          <w:color w:val="000000"/>
          <w:sz w:val="32"/>
          <w:szCs w:val="32"/>
        </w:rPr>
        <w:t>建立完善自然灾害、事故灾难救助保障体系，及时启动灾害事故应急响应，落实善后救助、灾后重建属地责任，健全受灾群众转移安置、生活救助、心理救助、恢复重建机制，保障救灾生活物资投入，确保受灾群众基本生活，全面提升灾害事故救助能力。统筹做好恢复重建技术指导、政策支持等工作。将居民住房恢复重建摆在突出和优先位置</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加快恢复完善公共服务体系。</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_GB2312" w:hAnsi="仿宋_GB2312" w:eastAsia="仿宋_GB2312" w:cs="仿宋_GB2312"/>
          <w:sz w:val="32"/>
          <w:szCs w:val="32"/>
        </w:rPr>
      </w:pPr>
      <w:bookmarkStart w:id="81" w:name="_Toc53125928"/>
      <w:bookmarkStart w:id="82" w:name="_Toc47710122"/>
      <w:r>
        <w:rPr>
          <w:rFonts w:hint="eastAsia" w:ascii="仿宋_GB2312" w:hAnsi="仿宋_GB2312" w:eastAsia="仿宋_GB2312" w:cs="仿宋_GB2312"/>
          <w:b/>
          <w:bCs/>
          <w:kern w:val="2"/>
          <w:sz w:val="32"/>
          <w:szCs w:val="32"/>
          <w:lang w:val="en-US" w:eastAsia="zh-CN" w:bidi="ar-SA"/>
        </w:rPr>
        <w:t>4.强化人才队伍保障。</w:t>
      </w:r>
      <w:bookmarkEnd w:id="81"/>
      <w:bookmarkEnd w:id="82"/>
      <w:r>
        <w:rPr>
          <w:rFonts w:hint="eastAsia" w:ascii="仿宋" w:hAnsi="仿宋" w:eastAsia="仿宋" w:cs="仿宋"/>
          <w:b w:val="0"/>
          <w:bCs w:val="0"/>
          <w:color w:val="000000"/>
          <w:sz w:val="32"/>
          <w:szCs w:val="32"/>
        </w:rPr>
        <w:t>加强应急系统人才交流，建立机关、基层双向挂职锻炼机制，建设一专多能的复合型人才梯队。</w:t>
      </w:r>
      <w:r>
        <w:rPr>
          <w:rFonts w:hint="eastAsia" w:ascii="仿宋" w:hAnsi="仿宋" w:eastAsia="仿宋" w:cs="仿宋"/>
          <w:b w:val="0"/>
          <w:bCs w:val="0"/>
          <w:color w:val="000000"/>
          <w:sz w:val="32"/>
          <w:szCs w:val="32"/>
          <w:lang w:eastAsia="zh-CN"/>
        </w:rPr>
        <w:t>将</w:t>
      </w:r>
      <w:r>
        <w:rPr>
          <w:rFonts w:hint="eastAsia" w:ascii="仿宋" w:hAnsi="仿宋" w:eastAsia="仿宋" w:cs="仿宋"/>
          <w:b w:val="0"/>
          <w:bCs w:val="0"/>
          <w:color w:val="000000"/>
          <w:sz w:val="32"/>
          <w:szCs w:val="32"/>
        </w:rPr>
        <w:t>应急管理能力培训课程纳入地方党政领导干部必修内容。着力打造忠诚干净担当专业的高素质应急管理人才队伍。加大培养树立先进典型力度，增强全社会对应急管理的职业尊崇。</w:t>
      </w:r>
    </w:p>
    <w:p>
      <w:pPr>
        <w:pStyle w:val="5"/>
        <w:keepNext w:val="0"/>
        <w:keepLines w:val="0"/>
        <w:pageBreakBefore w:val="0"/>
        <w:widowControl w:val="0"/>
        <w:kinsoku/>
        <w:wordWrap/>
        <w:overflowPunct/>
        <w:topLinePunct w:val="0"/>
        <w:bidi w:val="0"/>
        <w:adjustRightInd w:val="0"/>
        <w:spacing w:before="0" w:after="0" w:line="600" w:lineRule="exact"/>
        <w:ind w:firstLine="643" w:firstLineChars="200"/>
        <w:textAlignment w:val="auto"/>
        <w:rPr>
          <w:rFonts w:hint="eastAsia" w:ascii="仿宋" w:hAnsi="仿宋" w:eastAsia="仿宋" w:cs="仿宋"/>
          <w:b w:val="0"/>
          <w:bCs w:val="0"/>
          <w:color w:val="00000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5.强化科技保障。</w:t>
      </w:r>
      <w:r>
        <w:rPr>
          <w:rFonts w:hint="eastAsia" w:ascii="仿宋" w:hAnsi="仿宋" w:eastAsia="仿宋" w:cs="仿宋"/>
          <w:b w:val="0"/>
          <w:bCs w:val="0"/>
          <w:color w:val="000000"/>
          <w:kern w:val="2"/>
          <w:sz w:val="32"/>
          <w:szCs w:val="32"/>
          <w:lang w:val="en-US" w:eastAsia="zh-CN" w:bidi="ar-SA"/>
        </w:rPr>
        <w:t>统筹推进全市应急指挥信息网应用和应急PDT窄带无线通信网、卫星通信网、突发事件现场通信保障能力建设。完成新型智慧城市“应急防范一屏调度”场景建设工作，构建“1+17”应急指挥信息化体系，完善监督管理、监测预警、指挥救援、灾情管理、政务管理和城市消防远程监控系统等功能。加快推进“智慧消防”建设，构建立体化、全覆盖的社会火灾防控体系。</w:t>
      </w:r>
    </w:p>
    <w:p>
      <w:pPr>
        <w:pStyle w:val="7"/>
        <w:pageBreakBefore w:val="0"/>
        <w:kinsoku/>
        <w:wordWrap/>
        <w:overflowPunct/>
        <w:topLinePunct w:val="0"/>
        <w:bidi w:val="0"/>
        <w:spacing w:beforeAutospacing="0" w:line="600" w:lineRule="exact"/>
        <w:ind w:left="0" w:leftChars="0" w:firstLine="720"/>
        <w:rPr>
          <w:rFonts w:hint="eastAsia" w:ascii="楷体_GB2312" w:hAnsi="楷体_GB2312" w:eastAsia="楷体_GB2312" w:cs="楷体_GB2312"/>
          <w:b/>
          <w:bCs/>
          <w:color w:val="000000"/>
          <w:sz w:val="32"/>
          <w:szCs w:val="32"/>
        </w:rPr>
      </w:pPr>
      <w:bookmarkStart w:id="83" w:name="_Toc967875004_WPSOffice_Level2"/>
      <w:r>
        <w:rPr>
          <w:rFonts w:hint="eastAsia" w:ascii="楷体_GB2312" w:hAnsi="楷体_GB2312" w:eastAsia="楷体_GB2312" w:cs="楷体_GB2312"/>
          <w:b/>
          <w:bCs/>
          <w:color w:val="000000"/>
          <w:sz w:val="32"/>
          <w:szCs w:val="32"/>
        </w:rPr>
        <w:t>（四）加强应急救援力量体系建设</w:t>
      </w:r>
      <w:bookmarkEnd w:id="83"/>
    </w:p>
    <w:p>
      <w:pPr>
        <w:pStyle w:val="7"/>
        <w:pageBreakBefore w:val="0"/>
        <w:kinsoku/>
        <w:wordWrap/>
        <w:overflowPunct/>
        <w:topLinePunct w:val="0"/>
        <w:bidi w:val="0"/>
        <w:spacing w:beforeAutospacing="0" w:line="600" w:lineRule="exact"/>
        <w:ind w:left="0" w:leftChars="0" w:firstLine="720"/>
        <w:rPr>
          <w:rFonts w:ascii="仿宋" w:hAnsi="仿宋" w:eastAsia="仿宋" w:cs="仿宋"/>
          <w:b w:val="0"/>
          <w:color w:val="000000"/>
          <w:sz w:val="32"/>
          <w:szCs w:val="32"/>
        </w:rPr>
      </w:pPr>
      <w:bookmarkStart w:id="84" w:name="_Toc53125913"/>
      <w:r>
        <w:rPr>
          <w:rFonts w:hint="eastAsia" w:ascii="仿宋_GB2312" w:hAnsi="仿宋_GB2312" w:eastAsia="仿宋_GB2312" w:cs="仿宋_GB2312"/>
          <w:b/>
          <w:bCs/>
          <w:kern w:val="2"/>
          <w:sz w:val="32"/>
          <w:szCs w:val="32"/>
          <w:lang w:val="en-US" w:eastAsia="zh-CN" w:bidi="ar-SA"/>
        </w:rPr>
        <w:t>1.建强国家综合性消防救援队伍。</w:t>
      </w:r>
      <w:bookmarkEnd w:id="84"/>
      <w:r>
        <w:rPr>
          <w:rFonts w:ascii="仿宋" w:hAnsi="仿宋" w:eastAsia="仿宋" w:cs="仿宋"/>
          <w:b w:val="0"/>
          <w:color w:val="000000"/>
          <w:sz w:val="32"/>
          <w:szCs w:val="32"/>
        </w:rPr>
        <w:t>优化</w:t>
      </w:r>
      <w:r>
        <w:rPr>
          <w:rFonts w:hint="eastAsia" w:ascii="仿宋" w:hAnsi="仿宋" w:eastAsia="仿宋" w:cs="仿宋"/>
          <w:b w:val="0"/>
          <w:color w:val="000000"/>
          <w:sz w:val="32"/>
          <w:szCs w:val="32"/>
        </w:rPr>
        <w:t>消防救援</w:t>
      </w:r>
      <w:r>
        <w:rPr>
          <w:rFonts w:hint="eastAsia" w:ascii="仿宋" w:hAnsi="仿宋" w:eastAsia="仿宋" w:cs="仿宋"/>
          <w:b w:val="0"/>
          <w:color w:val="000000"/>
          <w:sz w:val="32"/>
          <w:szCs w:val="32"/>
          <w:lang w:eastAsia="zh-CN"/>
        </w:rPr>
        <w:t>站点</w:t>
      </w:r>
      <w:r>
        <w:rPr>
          <w:rFonts w:ascii="仿宋" w:hAnsi="仿宋" w:eastAsia="仿宋" w:cs="仿宋"/>
          <w:b w:val="0"/>
          <w:color w:val="000000"/>
          <w:sz w:val="32"/>
          <w:szCs w:val="32"/>
        </w:rPr>
        <w:t>布局和队伍编成</w:t>
      </w:r>
      <w:r>
        <w:rPr>
          <w:rFonts w:hint="eastAsia" w:ascii="仿宋" w:hAnsi="仿宋" w:eastAsia="仿宋" w:cs="仿宋"/>
          <w:b w:val="0"/>
          <w:color w:val="000000"/>
          <w:sz w:val="32"/>
          <w:szCs w:val="32"/>
        </w:rPr>
        <w:t>，稳步推动小型消防站项目建设。</w:t>
      </w:r>
      <w:r>
        <w:rPr>
          <w:rFonts w:ascii="仿宋" w:hAnsi="仿宋" w:eastAsia="仿宋" w:cs="仿宋"/>
          <w:b w:val="0"/>
          <w:color w:val="000000"/>
          <w:sz w:val="32"/>
          <w:szCs w:val="32"/>
        </w:rPr>
        <w:t>消除县</w:t>
      </w:r>
      <w:r>
        <w:rPr>
          <w:rFonts w:hint="eastAsia" w:ascii="仿宋" w:hAnsi="仿宋" w:eastAsia="仿宋" w:cs="仿宋"/>
          <w:b w:val="0"/>
          <w:color w:val="000000"/>
          <w:sz w:val="32"/>
          <w:szCs w:val="32"/>
        </w:rPr>
        <w:t>、</w:t>
      </w:r>
      <w:r>
        <w:rPr>
          <w:rFonts w:ascii="仿宋" w:hAnsi="仿宋" w:eastAsia="仿宋" w:cs="仿宋"/>
          <w:b w:val="0"/>
          <w:color w:val="000000"/>
          <w:sz w:val="32"/>
          <w:szCs w:val="32"/>
        </w:rPr>
        <w:t>乡和功能区“空白点”，实现</w:t>
      </w:r>
      <w:r>
        <w:rPr>
          <w:rFonts w:hint="eastAsia" w:ascii="仿宋" w:hAnsi="仿宋" w:eastAsia="仿宋" w:cs="仿宋"/>
          <w:b w:val="0"/>
          <w:color w:val="000000"/>
          <w:sz w:val="32"/>
          <w:szCs w:val="32"/>
        </w:rPr>
        <w:t>消防</w:t>
      </w:r>
      <w:r>
        <w:rPr>
          <w:rFonts w:ascii="仿宋" w:hAnsi="仿宋" w:eastAsia="仿宋" w:cs="仿宋"/>
          <w:b w:val="0"/>
          <w:color w:val="000000"/>
          <w:sz w:val="32"/>
          <w:szCs w:val="32"/>
        </w:rPr>
        <w:t>救援力量全覆盖。</w:t>
      </w:r>
      <w:r>
        <w:rPr>
          <w:rFonts w:hint="eastAsia" w:ascii="仿宋" w:hAnsi="仿宋" w:eastAsia="仿宋" w:cs="仿宋"/>
          <w:b w:val="0"/>
          <w:color w:val="000000"/>
          <w:sz w:val="32"/>
          <w:szCs w:val="32"/>
        </w:rPr>
        <w:t>推进沁水县应急救援基地建设，</w:t>
      </w:r>
      <w:r>
        <w:rPr>
          <w:rFonts w:ascii="仿宋" w:hAnsi="仿宋" w:eastAsia="仿宋" w:cs="仿宋"/>
          <w:b w:val="0"/>
          <w:color w:val="000000"/>
          <w:sz w:val="32"/>
          <w:szCs w:val="32"/>
        </w:rPr>
        <w:t>推进队伍标准化创建，持续改善基础设施及装备条件，加强</w:t>
      </w:r>
      <w:r>
        <w:rPr>
          <w:rFonts w:hint="eastAsia" w:ascii="仿宋" w:hAnsi="仿宋" w:eastAsia="仿宋" w:cs="仿宋"/>
          <w:b w:val="0"/>
          <w:color w:val="000000"/>
          <w:sz w:val="32"/>
          <w:szCs w:val="32"/>
        </w:rPr>
        <w:t>人员密集场所、物流仓储、商业综合体、高层建筑、文物建筑、“多合一”等</w:t>
      </w:r>
      <w:r>
        <w:rPr>
          <w:rFonts w:ascii="仿宋" w:hAnsi="仿宋" w:eastAsia="仿宋" w:cs="仿宋"/>
          <w:b w:val="0"/>
          <w:color w:val="000000"/>
          <w:sz w:val="32"/>
          <w:szCs w:val="32"/>
        </w:rPr>
        <w:t>复杂环境以及灾后极限条件下所需的先进、适用救援装备配备。</w:t>
      </w:r>
      <w:bookmarkStart w:id="85" w:name="_Toc53125914"/>
    </w:p>
    <w:p>
      <w:pPr>
        <w:pStyle w:val="7"/>
        <w:pageBreakBefore w:val="0"/>
        <w:kinsoku/>
        <w:wordWrap/>
        <w:overflowPunct/>
        <w:topLinePunct w:val="0"/>
        <w:bidi w:val="0"/>
        <w:spacing w:beforeAutospacing="0" w:line="600" w:lineRule="exact"/>
        <w:ind w:left="0" w:leftChars="0" w:firstLine="720"/>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2.建好综合应急救援队伍和行业救援队伍。</w:t>
      </w:r>
      <w:bookmarkEnd w:id="85"/>
      <w:r>
        <w:rPr>
          <w:rFonts w:hint="eastAsia" w:ascii="仿宋" w:hAnsi="仿宋" w:eastAsia="仿宋" w:cs="仿宋"/>
          <w:b w:val="0"/>
          <w:bCs w:val="0"/>
          <w:color w:val="000000"/>
          <w:sz w:val="32"/>
          <w:szCs w:val="32"/>
        </w:rPr>
        <w:t>推动建立一支县级应急救援大队，承担</w:t>
      </w:r>
      <w:r>
        <w:rPr>
          <w:rFonts w:ascii="仿宋" w:hAnsi="仿宋" w:eastAsia="仿宋" w:cs="仿宋"/>
          <w:b w:val="0"/>
          <w:bCs w:val="0"/>
          <w:color w:val="000000"/>
          <w:sz w:val="32"/>
          <w:szCs w:val="32"/>
        </w:rPr>
        <w:t>抗洪抢险、地震和地质灾害救援、森林草原防灭火、生产安全事故救援、公用事业保障（电力、通讯、供水、排水、燃气、供热、交通等）等各类专业救援力量。依托现有医疗卫生机构组建灾害事故应急医疗保障基地。完善各类专业救援队伍装备配备、基础设施和工作条件建设标准，提高“一专多能”救援能力。完善政府和企业购买应急服务机制，鼓励开发应急保险和理赔产品，加快建立专业救援队伍多渠道保障模式。</w:t>
      </w:r>
    </w:p>
    <w:tbl>
      <w:tblPr>
        <w:tblStyle w:val="2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3"/>
              <w:spacing w:line="360" w:lineRule="auto"/>
              <w:ind w:firstLine="0"/>
              <w:jc w:val="center"/>
              <w:rPr>
                <w:rFonts w:ascii="仿宋_GB2312" w:hAnsi="仿宋_GB2312" w:eastAsia="PMingLiU" w:cs="仿宋_GB2312"/>
                <w:b/>
                <w:strike w:val="0"/>
                <w:dstrike w:val="0"/>
                <w:color w:val="000000" w:themeColor="text1"/>
                <w:sz w:val="28"/>
                <w:szCs w:val="28"/>
                <w:lang w:bidi="ar"/>
                <w14:textFill>
                  <w14:solidFill>
                    <w14:schemeClr w14:val="tx1"/>
                  </w14:solidFill>
                </w14:textFill>
              </w:rPr>
            </w:pPr>
            <w:bookmarkStart w:id="86" w:name="_Toc53125915"/>
            <w:r>
              <w:rPr>
                <w:rFonts w:ascii="仿宋_GB2312" w:hAnsi="仿宋_GB2312" w:eastAsia="仿宋_GB2312" w:cs="仿宋_GB2312"/>
                <w:b/>
                <w:strike w:val="0"/>
                <w:dstrike w:val="0"/>
                <w:color w:val="000000" w:themeColor="text1"/>
                <w:sz w:val="28"/>
                <w:szCs w:val="28"/>
                <w:lang w:bidi="ar"/>
                <w14:textFill>
                  <w14:solidFill>
                    <w14:schemeClr w14:val="tx1"/>
                  </w14:solidFill>
                </w14:textFill>
              </w:rPr>
              <w:t>专栏</w:t>
            </w:r>
            <w:r>
              <w:rPr>
                <w:rFonts w:hint="eastAsia" w:ascii="仿宋_GB2312" w:hAnsi="仿宋_GB2312" w:eastAsia="仿宋_GB2312" w:cs="仿宋_GB2312"/>
                <w:b/>
                <w:strike w:val="0"/>
                <w:dstrike w:val="0"/>
                <w:color w:val="000000" w:themeColor="text1"/>
                <w:sz w:val="28"/>
                <w:szCs w:val="28"/>
                <w:lang w:val="en-US" w:eastAsia="zh-CN" w:bidi="ar"/>
                <w14:textFill>
                  <w14:solidFill>
                    <w14:schemeClr w14:val="tx1"/>
                  </w14:solidFill>
                </w14:textFill>
              </w:rPr>
              <w:t xml:space="preserve">4  </w:t>
            </w:r>
            <w:r>
              <w:rPr>
                <w:rFonts w:ascii="仿宋_GB2312" w:hAnsi="仿宋_GB2312" w:eastAsia="仿宋_GB2312" w:cs="仿宋_GB2312"/>
                <w:b/>
                <w:strike w:val="0"/>
                <w:dstrike w:val="0"/>
                <w:color w:val="000000" w:themeColor="text1"/>
                <w:sz w:val="28"/>
                <w:szCs w:val="28"/>
                <w:lang w:bidi="ar"/>
                <w14:textFill>
                  <w14:solidFill>
                    <w14:schemeClr w14:val="tx1"/>
                  </w14:solidFill>
                </w14:textFill>
              </w:rPr>
              <w:t>应急</w:t>
            </w:r>
            <w:r>
              <w:rPr>
                <w:rFonts w:hint="eastAsia" w:ascii="仿宋_GB2312" w:hAnsi="仿宋_GB2312" w:eastAsia="仿宋_GB2312" w:cs="仿宋_GB2312"/>
                <w:b/>
                <w:strike w:val="0"/>
                <w:dstrike w:val="0"/>
                <w:color w:val="000000" w:themeColor="text1"/>
                <w:sz w:val="28"/>
                <w:szCs w:val="28"/>
                <w:lang w:val="en-US" w:eastAsia="zh-CN" w:bidi="ar"/>
                <w14:textFill>
                  <w14:solidFill>
                    <w14:schemeClr w14:val="tx1"/>
                  </w14:solidFill>
                </w14:textFill>
              </w:rPr>
              <w:t>和</w:t>
            </w:r>
            <w:r>
              <w:rPr>
                <w:rFonts w:ascii="仿宋_GB2312" w:hAnsi="仿宋_GB2312" w:eastAsia="仿宋_GB2312" w:cs="仿宋_GB2312"/>
                <w:b/>
                <w:strike w:val="0"/>
                <w:dstrike w:val="0"/>
                <w:color w:val="000000" w:themeColor="text1"/>
                <w:sz w:val="28"/>
                <w:szCs w:val="28"/>
                <w:lang w:bidi="ar"/>
                <w14:textFill>
                  <w14:solidFill>
                    <w14:schemeClr w14:val="tx1"/>
                  </w14:solidFill>
                </w14:textFill>
              </w:rPr>
              <w:t>安全产品</w:t>
            </w:r>
            <w:r>
              <w:rPr>
                <w:rFonts w:hint="eastAsia" w:ascii="仿宋_GB2312" w:hAnsi="仿宋_GB2312" w:eastAsia="仿宋_GB2312" w:cs="仿宋_GB2312"/>
                <w:b/>
                <w:strike w:val="0"/>
                <w:dstrike w:val="0"/>
                <w:color w:val="000000" w:themeColor="text1"/>
                <w:sz w:val="28"/>
                <w:szCs w:val="28"/>
                <w:lang w:val="en-US" w:eastAsia="zh-CN" w:bidi="ar"/>
                <w14:textFill>
                  <w14:solidFill>
                    <w14:schemeClr w14:val="tx1"/>
                  </w14:solidFill>
                </w14:textFill>
              </w:rPr>
              <w:t>及</w:t>
            </w:r>
            <w:r>
              <w:rPr>
                <w:rFonts w:ascii="仿宋_GB2312" w:hAnsi="仿宋_GB2312" w:eastAsia="仿宋_GB2312" w:cs="仿宋_GB2312"/>
                <w:b/>
                <w:strike w:val="0"/>
                <w:dstrike w:val="0"/>
                <w:color w:val="000000" w:themeColor="text1"/>
                <w:sz w:val="28"/>
                <w:szCs w:val="28"/>
                <w:lang w:bidi="ar"/>
                <w14:textFill>
                  <w14:solidFill>
                    <w14:schemeClr w14:val="tx1"/>
                  </w14:solidFill>
                </w14:textFill>
              </w:rPr>
              <w:t>服务发展重点</w:t>
            </w:r>
            <w:r>
              <w:rPr>
                <w:rFonts w:hint="eastAsia" w:ascii="仿宋_GB2312" w:hAnsi="仿宋_GB2312" w:eastAsia="仿宋_GB2312" w:cs="仿宋_GB2312"/>
                <w:b/>
                <w:strike w:val="0"/>
                <w:dstrike w:val="0"/>
                <w:color w:val="000000" w:themeColor="text1"/>
                <w:sz w:val="28"/>
                <w:szCs w:val="28"/>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3"/>
              <w:spacing w:line="400" w:lineRule="exact"/>
              <w:ind w:firstLine="420" w:firstLineChars="150"/>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cs="仿宋_GB2312" w:eastAsiaTheme="minorEastAsia"/>
                <w:strike w:val="0"/>
                <w:dstrike w:val="0"/>
                <w:color w:val="000000" w:themeColor="text1"/>
                <w:sz w:val="28"/>
                <w:szCs w:val="28"/>
                <w:lang w:eastAsia="zh-CN" w:bidi="ar"/>
                <w14:textFill>
                  <w14:solidFill>
                    <w14:schemeClr w14:val="tx1"/>
                  </w14:solidFill>
                </w14:textFill>
              </w:rPr>
              <w:t>1.</w:t>
            </w:r>
            <w:r>
              <w:rPr>
                <w:rFonts w:ascii="仿宋_GB2312" w:hAnsi="仿宋_GB2312" w:eastAsia="仿宋_GB2312" w:cs="仿宋_GB2312"/>
                <w:strike w:val="0"/>
                <w:dstrike w:val="0"/>
                <w:color w:val="000000" w:themeColor="text1"/>
                <w:sz w:val="28"/>
                <w:szCs w:val="28"/>
                <w:lang w:bidi="ar"/>
                <w14:textFill>
                  <w14:solidFill>
                    <w14:schemeClr w14:val="tx1"/>
                  </w14:solidFill>
                </w14:textFill>
              </w:rPr>
              <w:t>高精度监测预警产品：灾害事故动态风险评估与监测预警产品、危化品侦检产品等。</w:t>
            </w:r>
          </w:p>
          <w:p>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2.高可靠风险防控与安全防护产品：救援人员防护产品、重要设施防护系统、工程与建筑施工安全防护设备、防护材料等。</w:t>
            </w:r>
          </w:p>
          <w:p>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3.新型应急指挥通信和信息感知产品：应急管理与指挥调度平台、应急通信产品、应急广播系统、灾害</w:t>
            </w: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事故</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现场信息获取产品等。</w:t>
            </w:r>
          </w:p>
          <w:p>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4.新型消防救援装备：高层建筑消防产品、地下工程消防产品、化工灭火产品、森林草原防灭火产品、消防侦检产品、消防员职业健康产品、消防员训练产品、高性能绿色阻燃材料、环境友好灭火剂等。</w:t>
            </w:r>
          </w:p>
          <w:p>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5</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事故灾难抢险救援关键装备：人员搜索与定位产品、危险化学品事故救援产品、矿难事故救援产品、特种设备应急产品、电力应急保障产品、大流量排涝装备、多功能应急电源、便携机动救援装备、密闭空间排烟装备、生命探测装备、事故灾难医学救护关键装备、应急示位标救生衣（艇、筏）等。</w:t>
            </w:r>
          </w:p>
          <w:p>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6</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.智能无人应急救援装备：长航时大载荷无人机、无人船艇、单兵助力机器人、危险气体巡检机器人、矿井救援机器人、井下抢险作业机器人、灾后搜救水陆两栖机器人等。</w:t>
            </w:r>
          </w:p>
          <w:p>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7</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.应急管理支撑服务：风险评估服务、隐患排查服务、检验检测认证服务等。</w:t>
            </w:r>
          </w:p>
          <w:p>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8</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.应急</w:t>
            </w: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和安全</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专业技术服务：自然灾害防治技术服务、消防技术服务、安全生产技术服务、应急测绘技术服务、安保技术服务等。</w:t>
            </w:r>
          </w:p>
          <w:p>
            <w:pPr>
              <w:pStyle w:val="53"/>
              <w:spacing w:line="400" w:lineRule="exact"/>
              <w:rPr>
                <w:rFonts w:ascii="仿宋_GB2312" w:hAnsi="仿宋_GB2312" w:eastAsia="仿宋_GB2312" w:cs="仿宋_GB2312"/>
                <w:strike w:val="0"/>
                <w:dstrike w:val="0"/>
                <w:color w:val="000000" w:themeColor="text1"/>
                <w:sz w:val="28"/>
                <w:szCs w:val="28"/>
                <w:lang w:bidi="ar"/>
                <w14:textFill>
                  <w14:solidFill>
                    <w14:schemeClr w14:val="tx1"/>
                  </w14:solidFill>
                </w14:textFill>
              </w:rPr>
            </w:pP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9</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.社会化应急救援服务：航空救援服务、应急物流服务、道路救援服务、安全教育培训服务、应急演练服务、</w:t>
            </w:r>
            <w:r>
              <w:rPr>
                <w:rFonts w:hint="eastAsia" w:ascii="仿宋_GB2312" w:hAnsi="仿宋_GB2312" w:eastAsia="仿宋_GB2312" w:cs="仿宋_GB2312"/>
                <w:strike w:val="0"/>
                <w:dstrike w:val="0"/>
                <w:color w:val="000000" w:themeColor="text1"/>
                <w:sz w:val="28"/>
                <w:szCs w:val="28"/>
                <w:lang w:val="en-US" w:eastAsia="zh-CN" w:bidi="ar"/>
                <w14:textFill>
                  <w14:solidFill>
                    <w14:schemeClr w14:val="tx1"/>
                  </w14:solidFill>
                </w14:textFill>
              </w:rPr>
              <w:t>灾害事故</w:t>
            </w:r>
            <w:r>
              <w:rPr>
                <w:rFonts w:hint="eastAsia" w:ascii="仿宋_GB2312" w:hAnsi="仿宋_GB2312" w:eastAsia="仿宋_GB2312" w:cs="仿宋_GB2312"/>
                <w:strike w:val="0"/>
                <w:dstrike w:val="0"/>
                <w:color w:val="000000" w:themeColor="text1"/>
                <w:sz w:val="28"/>
                <w:szCs w:val="28"/>
                <w:lang w:bidi="ar"/>
                <w14:textFill>
                  <w14:solidFill>
                    <w14:schemeClr w14:val="tx1"/>
                  </w14:solidFill>
                </w14:textFill>
              </w:rPr>
              <w:t>保险等。</w:t>
            </w:r>
          </w:p>
        </w:tc>
      </w:tr>
    </w:tbl>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3</w:t>
      </w:r>
      <w:bookmarkEnd w:id="86"/>
      <w:bookmarkStart w:id="87" w:name="_Toc53125916"/>
      <w:r>
        <w:rPr>
          <w:rFonts w:hint="eastAsia" w:ascii="仿宋_GB2312" w:hAnsi="仿宋_GB2312" w:eastAsia="仿宋_GB2312" w:cs="仿宋_GB2312"/>
          <w:b/>
          <w:bCs/>
          <w:kern w:val="2"/>
          <w:sz w:val="32"/>
          <w:szCs w:val="32"/>
          <w:lang w:val="en-US" w:eastAsia="zh-CN" w:bidi="ar-SA"/>
        </w:rPr>
        <w:t>.发展社会应急救援队伍。</w:t>
      </w:r>
      <w:bookmarkEnd w:id="87"/>
      <w:r>
        <w:rPr>
          <w:rFonts w:hint="eastAsia" w:ascii="仿宋" w:hAnsi="仿宋" w:eastAsia="仿宋" w:cs="仿宋"/>
          <w:b w:val="0"/>
          <w:color w:val="000000"/>
          <w:sz w:val="32"/>
          <w:szCs w:val="32"/>
        </w:rPr>
        <w:t>开展社会应急救援力量调查摸底，掌握社会应急救援力量人员、装备、资金、保障等基本信息。制定推进社会应急力量健康发展的意见，明确法律地位、功能定位和主要职责。建立社会应急救援力量管理服务平台，统一社会应急救援力量形象标识，加强行业指导和监督管理，推动建立队伍管理、人员备勤、装备维护、训练演练等制度。建立社会应急救援力量诚信体系，完善激励约束政策，对在应急工作中作用发挥好的社会应急救援力量和个人给予表彰奖励。</w:t>
      </w:r>
      <w:bookmarkStart w:id="88" w:name="_Toc53125917"/>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4.提升队伍协同应对能力。</w:t>
      </w:r>
      <w:bookmarkEnd w:id="88"/>
      <w:r>
        <w:rPr>
          <w:rFonts w:hint="eastAsia" w:ascii="仿宋" w:hAnsi="仿宋" w:eastAsia="仿宋" w:cs="仿宋"/>
          <w:b w:val="0"/>
          <w:bCs w:val="0"/>
          <w:color w:val="000000"/>
          <w:sz w:val="32"/>
          <w:szCs w:val="32"/>
        </w:rPr>
        <w:t>完善以国家综合性消防救援队伍为主力、专业救援队伍为协同、社会力量为辅助的应急救援力量管理模式。将各类应急救援队伍纳入统一指挥体系，强化队伍统筹管理，加强队伍间资源共享和信息互通，健全应急通信互联互通体系，完善共训共练、指挥协同、救援合作机制。充分利用现有应急教育培训资源，开展常态化协同训练和实战演练。通过政府购买航空救援服务，提升</w:t>
      </w:r>
      <w:r>
        <w:rPr>
          <w:rFonts w:hint="eastAsia" w:ascii="仿宋" w:hAnsi="仿宋" w:eastAsia="仿宋" w:cs="仿宋"/>
          <w:b w:val="0"/>
          <w:bCs w:val="0"/>
          <w:color w:val="000000"/>
          <w:sz w:val="32"/>
          <w:szCs w:val="32"/>
          <w:lang w:eastAsia="zh-CN"/>
        </w:rPr>
        <w:t>航空</w:t>
      </w:r>
      <w:r>
        <w:rPr>
          <w:rFonts w:hint="eastAsia" w:ascii="仿宋" w:hAnsi="仿宋" w:eastAsia="仿宋" w:cs="仿宋"/>
          <w:b w:val="0"/>
          <w:bCs w:val="0"/>
          <w:color w:val="000000"/>
          <w:sz w:val="32"/>
          <w:szCs w:val="32"/>
        </w:rPr>
        <w:t>救援能力。规范应对灾害事故指挥协调流程，实现各类救援力量就近调配、快速行动、科学指挥、有序救援，提升急难险重任务协同处置能力。</w:t>
      </w:r>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89" w:name="_Toc1737270438_WPSOffice_Level2"/>
      <w:r>
        <w:rPr>
          <w:rFonts w:hint="eastAsia" w:ascii="楷体_GB2312" w:hAnsi="楷体_GB2312" w:eastAsia="楷体_GB2312" w:cs="楷体_GB2312"/>
          <w:b/>
          <w:bCs/>
          <w:color w:val="000000"/>
          <w:sz w:val="32"/>
          <w:szCs w:val="32"/>
        </w:rPr>
        <w:t>（五）推进灾害事故预防体系建设</w:t>
      </w:r>
      <w:bookmarkEnd w:id="70"/>
      <w:r>
        <w:rPr>
          <w:rFonts w:hint="eastAsia" w:ascii="楷体_GB2312" w:hAnsi="楷体_GB2312" w:eastAsia="楷体_GB2312" w:cs="楷体_GB2312"/>
          <w:b/>
          <w:bCs/>
          <w:color w:val="000000"/>
          <w:sz w:val="32"/>
          <w:szCs w:val="32"/>
        </w:rPr>
        <w:t>。</w:t>
      </w:r>
      <w:bookmarkEnd w:id="71"/>
      <w:bookmarkEnd w:id="89"/>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_GB2312" w:hAnsi="仿宋_GB2312" w:eastAsia="仿宋_GB2312" w:cs="仿宋_GB2312"/>
          <w:b w:val="0"/>
          <w:bCs w:val="0"/>
          <w:color w:val="000000"/>
          <w:sz w:val="32"/>
          <w:szCs w:val="32"/>
        </w:rPr>
      </w:pPr>
      <w:bookmarkStart w:id="90" w:name="_Toc53125906"/>
      <w:r>
        <w:rPr>
          <w:rFonts w:hint="eastAsia" w:ascii="仿宋_GB2312" w:hAnsi="仿宋_GB2312" w:eastAsia="仿宋_GB2312" w:cs="仿宋_GB2312"/>
          <w:b/>
          <w:bCs/>
          <w:kern w:val="2"/>
          <w:sz w:val="32"/>
          <w:szCs w:val="32"/>
          <w:lang w:val="en-US" w:eastAsia="zh-CN" w:bidi="ar-SA"/>
        </w:rPr>
        <w:t>1.推进灾害风险评估体系建设。</w:t>
      </w:r>
      <w:bookmarkEnd w:id="90"/>
      <w:r>
        <w:rPr>
          <w:rFonts w:hint="eastAsia" w:ascii="仿宋" w:hAnsi="仿宋" w:eastAsia="仿宋" w:cs="仿宋"/>
          <w:b w:val="0"/>
          <w:bCs w:val="0"/>
          <w:color w:val="000000"/>
          <w:sz w:val="32"/>
          <w:szCs w:val="32"/>
        </w:rPr>
        <w:t>健全城乡规划、建设、运行等全生命周期灾害事故风险防控管理制度。推进灾害事故风险防控与各级各类区域规划、空间规划、专项规划的衔接。完善自然灾害、事故灾难风险评估工作机制。完善重大决策安全风险评估与论证机制，提高社会参与度和决策透明度，实行重大安全风险“一票否决”。严格高危行业领域和重点工程建设项目安全条件审查，严格控制区域风险等级和风险容量，严格落实安全标准、防护设施和管控措施。</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91" w:name="_Toc53125907"/>
      <w:r>
        <w:rPr>
          <w:rFonts w:hint="eastAsia" w:ascii="仿宋_GB2312" w:hAnsi="仿宋_GB2312" w:eastAsia="仿宋_GB2312" w:cs="仿宋_GB2312"/>
          <w:sz w:val="32"/>
          <w:szCs w:val="32"/>
        </w:rPr>
        <w:t>2.提升灾害风险管控能力。</w:t>
      </w:r>
      <w:bookmarkEnd w:id="91"/>
      <w:r>
        <w:rPr>
          <w:rFonts w:hint="eastAsia" w:ascii="仿宋" w:hAnsi="仿宋" w:eastAsia="仿宋" w:cs="仿宋"/>
          <w:b w:val="0"/>
          <w:bCs w:val="0"/>
          <w:color w:val="000000"/>
          <w:sz w:val="32"/>
          <w:szCs w:val="32"/>
        </w:rPr>
        <w:t>按照国家《自然灾害防治重点工程实施方案》和《</w:t>
      </w:r>
      <w:r>
        <w:rPr>
          <w:rFonts w:hint="eastAsia" w:ascii="仿宋" w:hAnsi="仿宋" w:eastAsia="仿宋" w:cs="仿宋"/>
          <w:b w:val="0"/>
          <w:bCs w:val="0"/>
          <w:color w:val="000000"/>
          <w:sz w:val="32"/>
          <w:szCs w:val="32"/>
          <w:lang w:eastAsia="zh-CN"/>
        </w:rPr>
        <w:t>晋城市</w:t>
      </w:r>
      <w:r>
        <w:rPr>
          <w:rFonts w:hint="eastAsia" w:ascii="仿宋" w:hAnsi="仿宋" w:eastAsia="仿宋" w:cs="仿宋"/>
          <w:b w:val="0"/>
          <w:bCs w:val="0"/>
          <w:color w:val="000000"/>
          <w:sz w:val="32"/>
          <w:szCs w:val="32"/>
        </w:rPr>
        <w:t>关于实施自然灾害防治重点工程的通知》要求，加快推进</w:t>
      </w:r>
      <w:r>
        <w:rPr>
          <w:rFonts w:hint="eastAsia" w:ascii="仿宋" w:hAnsi="仿宋" w:eastAsia="仿宋" w:cs="仿宋"/>
          <w:b w:val="0"/>
          <w:bCs w:val="0"/>
          <w:color w:val="000000"/>
          <w:sz w:val="32"/>
          <w:szCs w:val="32"/>
          <w:lang w:val="en-US" w:eastAsia="zh-CN"/>
        </w:rPr>
        <w:t>9</w:t>
      </w:r>
      <w:r>
        <w:rPr>
          <w:rFonts w:hint="eastAsia" w:ascii="仿宋" w:hAnsi="仿宋" w:eastAsia="仿宋" w:cs="仿宋"/>
          <w:b w:val="0"/>
          <w:bCs w:val="0"/>
          <w:color w:val="000000"/>
          <w:sz w:val="32"/>
          <w:szCs w:val="32"/>
        </w:rPr>
        <w:t>项灾害防治工程项目建设。开展灾害事故风险隐患排查和重点地区、重点行业领域风险详查，查明潜在灾害事故的主要类型、发生诱因，开展城乡社区抗灾能力和重点行业企业安全生产水平专项普查，建立分类型、分区域、分层级的灾害事故信息数据库。完善灾害事故风险隐患分级分类标准，绘制灾害事故综合风险区划图和重点灾种、主要事故防治区划图，推动</w:t>
      </w:r>
      <w:r>
        <w:rPr>
          <w:rFonts w:hint="eastAsia" w:ascii="仿宋" w:hAnsi="仿宋" w:eastAsia="仿宋" w:cs="仿宋"/>
          <w:b w:val="0"/>
          <w:bCs w:val="0"/>
          <w:color w:val="000000"/>
          <w:sz w:val="32"/>
          <w:szCs w:val="32"/>
          <w:lang w:eastAsia="zh-CN"/>
        </w:rPr>
        <w:t>村（</w:t>
      </w:r>
      <w:r>
        <w:rPr>
          <w:rFonts w:hint="eastAsia" w:ascii="仿宋" w:hAnsi="仿宋" w:eastAsia="仿宋" w:cs="仿宋"/>
          <w:b w:val="0"/>
          <w:bCs w:val="0"/>
          <w:color w:val="000000"/>
          <w:sz w:val="32"/>
          <w:szCs w:val="32"/>
        </w:rPr>
        <w:t>社区</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明确风险点和隐患源，制定风险隐患管控清单。</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FF"/>
          <w:sz w:val="32"/>
          <w:szCs w:val="32"/>
        </w:rPr>
      </w:pPr>
      <w:bookmarkStart w:id="92" w:name="_Toc53125908"/>
      <w:r>
        <w:rPr>
          <w:rFonts w:hint="eastAsia" w:ascii="仿宋_GB2312" w:hAnsi="仿宋_GB2312" w:eastAsia="仿宋_GB2312" w:cs="仿宋_GB2312"/>
          <w:b/>
          <w:bCs/>
          <w:kern w:val="2"/>
          <w:sz w:val="32"/>
          <w:szCs w:val="32"/>
          <w:lang w:val="en-US" w:eastAsia="zh-CN" w:bidi="ar-SA"/>
        </w:rPr>
        <w:t>3.强化灾害风险监测预警预报。</w:t>
      </w:r>
      <w:bookmarkEnd w:id="92"/>
      <w:r>
        <w:rPr>
          <w:rFonts w:hint="eastAsia" w:ascii="仿宋" w:hAnsi="仿宋" w:eastAsia="仿宋" w:cs="仿宋"/>
          <w:b w:val="0"/>
          <w:bCs w:val="0"/>
          <w:color w:val="000000"/>
          <w:sz w:val="32"/>
          <w:szCs w:val="32"/>
        </w:rPr>
        <w:t>加强</w:t>
      </w:r>
      <w:r>
        <w:rPr>
          <w:rFonts w:ascii="仿宋" w:hAnsi="仿宋" w:eastAsia="仿宋" w:cs="仿宋"/>
          <w:b w:val="0"/>
          <w:bCs w:val="0"/>
          <w:color w:val="000000"/>
          <w:sz w:val="32"/>
          <w:szCs w:val="32"/>
        </w:rPr>
        <w:t>信息互联互通，</w:t>
      </w:r>
      <w:r>
        <w:rPr>
          <w:rFonts w:hint="eastAsia" w:ascii="仿宋" w:hAnsi="仿宋" w:eastAsia="仿宋" w:cs="仿宋"/>
          <w:b w:val="0"/>
          <w:bCs w:val="0"/>
          <w:color w:val="000000"/>
          <w:sz w:val="32"/>
          <w:szCs w:val="32"/>
        </w:rPr>
        <w:t>统一灾害事故监测预警数据标准，在重点行业企业全面推行安全生产在线监测监控预警系统。完善重点地区自然灾害监测站网布局、加密监测站点。完善灾害事故信息预警发布机制，加快建立快速、精准、高效、共享的预警信息发布体系，解决信息发布“最后一公里”问题。</w:t>
      </w:r>
      <w:r>
        <w:rPr>
          <w:rFonts w:hint="eastAsia" w:ascii="仿宋" w:hAnsi="仿宋" w:eastAsia="仿宋" w:cs="仿宋"/>
          <w:b w:val="0"/>
          <w:bCs w:val="0"/>
          <w:color w:val="0000FF"/>
          <w:sz w:val="32"/>
          <w:szCs w:val="32"/>
        </w:rPr>
        <w:t>加强灾害信息员队伍建设，建立覆盖</w:t>
      </w:r>
      <w:r>
        <w:rPr>
          <w:rFonts w:ascii="仿宋" w:hAnsi="仿宋" w:eastAsia="仿宋" w:cs="仿宋"/>
          <w:b w:val="0"/>
          <w:bCs w:val="0"/>
          <w:color w:val="0000FF"/>
          <w:sz w:val="32"/>
          <w:szCs w:val="32"/>
        </w:rPr>
        <w:t>全县</w:t>
      </w:r>
      <w:r>
        <w:rPr>
          <w:rFonts w:hint="eastAsia" w:ascii="仿宋" w:hAnsi="仿宋" w:eastAsia="仿宋" w:cs="仿宋"/>
          <w:b w:val="0"/>
          <w:bCs w:val="0"/>
          <w:color w:val="0000FF"/>
          <w:sz w:val="32"/>
          <w:szCs w:val="32"/>
          <w:lang w:eastAsia="zh-CN"/>
        </w:rPr>
        <w:t>所有</w:t>
      </w:r>
      <w:r>
        <w:rPr>
          <w:rFonts w:hint="eastAsia" w:ascii="仿宋" w:hAnsi="仿宋" w:eastAsia="仿宋" w:cs="仿宋"/>
          <w:b w:val="0"/>
          <w:bCs w:val="0"/>
          <w:color w:val="0000FF"/>
          <w:sz w:val="32"/>
          <w:szCs w:val="32"/>
        </w:rPr>
        <w:t>乡（镇）、村</w:t>
      </w:r>
      <w:r>
        <w:rPr>
          <w:rFonts w:hint="eastAsia" w:ascii="仿宋" w:hAnsi="仿宋" w:eastAsia="仿宋" w:cs="仿宋"/>
          <w:b w:val="0"/>
          <w:bCs w:val="0"/>
          <w:color w:val="0000FF"/>
          <w:sz w:val="32"/>
          <w:szCs w:val="32"/>
          <w:lang w:eastAsia="zh-CN"/>
        </w:rPr>
        <w:t>（社区）</w:t>
      </w:r>
      <w:r>
        <w:rPr>
          <w:rFonts w:hint="eastAsia" w:ascii="仿宋" w:hAnsi="仿宋" w:eastAsia="仿宋" w:cs="仿宋"/>
          <w:b w:val="0"/>
          <w:bCs w:val="0"/>
          <w:color w:val="0000FF"/>
          <w:sz w:val="32"/>
          <w:szCs w:val="32"/>
        </w:rPr>
        <w:t>，熟练掌握灾情统计报送和开展灾情核查评估的基层灾害信息员队伍，为精准预警、救灾和开展灾害救助奠定坚实基础。</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93" w:name="_Toc53125909"/>
      <w:r>
        <w:rPr>
          <w:rFonts w:hint="eastAsia" w:ascii="仿宋_GB2312" w:hAnsi="仿宋_GB2312" w:eastAsia="仿宋_GB2312" w:cs="仿宋_GB2312"/>
          <w:sz w:val="32"/>
          <w:szCs w:val="32"/>
        </w:rPr>
        <w:t>4.提升城镇安全运行能力。</w:t>
      </w:r>
      <w:bookmarkEnd w:id="93"/>
      <w:r>
        <w:rPr>
          <w:rFonts w:hint="eastAsia" w:ascii="仿宋" w:hAnsi="仿宋" w:eastAsia="仿宋" w:cs="仿宋"/>
          <w:b w:val="0"/>
          <w:bCs w:val="0"/>
          <w:color w:val="000000"/>
          <w:sz w:val="32"/>
          <w:szCs w:val="32"/>
        </w:rPr>
        <w:t>建立城镇安全风险评估动态更新机制，重点关注新增安全风险、等级升高的安全风险和综合叠加安全风险，实现安全风险评估常态化。动态排查燃气设施安全隐患，完善燃气事故防范长效机制。建立地下管网隐患排查治理信息系统。加强供水、排水设施安全管理，重点排查治理大中型水利工程设施运行、供排水老旧管网等风险隐患。排查整治户外广告、餐饮场所、“煤改气”等公共设施安全隐患。</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r>
        <w:rPr>
          <w:rFonts w:hint="eastAsia" w:ascii="仿宋_GB2312" w:hAnsi="仿宋_GB2312" w:eastAsia="仿宋_GB2312" w:cs="仿宋_GB2312"/>
          <w:color w:val="000000"/>
          <w:sz w:val="32"/>
          <w:szCs w:val="32"/>
        </w:rPr>
        <w:t>5.</w:t>
      </w:r>
      <w:r>
        <w:rPr>
          <w:rFonts w:hint="eastAsia" w:ascii="仿宋" w:hAnsi="仿宋" w:eastAsia="仿宋" w:cs="仿宋"/>
          <w:sz w:val="32"/>
          <w:szCs w:val="32"/>
        </w:rPr>
        <w:t>强化消防基础设施建设。</w:t>
      </w:r>
      <w:r>
        <w:rPr>
          <w:rFonts w:hint="eastAsia" w:ascii="仿宋" w:hAnsi="仿宋" w:eastAsia="仿宋" w:cs="仿宋"/>
          <w:b w:val="0"/>
          <w:bCs w:val="0"/>
          <w:color w:val="000000"/>
          <w:sz w:val="32"/>
          <w:szCs w:val="32"/>
        </w:rPr>
        <w:t>根据实战需要进一步优化消防装备结构，购置先进实用的灭火救援装备，确保消防装备建设全部达到国家标准</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加强消防水源建设，距离县城较远的乡镇、村，要充分利用河流、水库等天然水源修建消防取水口，提高乡村消防供水能力；结合农村供水、水利建设和改造，因地制宜修建消防水池、消火栓等消防取水设施，弥补城乡人工消防水源不足；结合农村道路工程建设，畅通乡村消防车通道，并为乡</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村配备适合用于扑救农村火灾的小型消防水罐车、消防摩托车等。实施高层建筑、大型商业综合体、老旧小区、地下工程、油库、加油加气站等重点场所消防系统改造，打通消防车通道、楼内疏散通道等“生命通道”，新建市政道路同步建设市政消防供水设施。开展企业专职消防队、乡镇政府专职消防队标准化创建。</w:t>
      </w:r>
    </w:p>
    <w:p>
      <w:pPr>
        <w:pageBreakBefore w:val="0"/>
        <w:kinsoku/>
        <w:wordWrap/>
        <w:overflowPunct/>
        <w:topLinePunct w:val="0"/>
        <w:bidi w:val="0"/>
        <w:adjustRightInd w:val="0"/>
        <w:snapToGrid w:val="0"/>
        <w:spacing w:beforeAutospacing="0" w:line="600" w:lineRule="exact"/>
        <w:ind w:left="0" w:leftChars="0" w:firstLine="643" w:firstLineChars="200"/>
        <w:outlineLvl w:val="1"/>
        <w:rPr>
          <w:rFonts w:ascii="楷体_GB2312" w:hAnsi="楷体_GB2312" w:eastAsia="楷体_GB2312" w:cs="楷体_GB2312"/>
          <w:b/>
          <w:bCs/>
          <w:color w:val="000000"/>
          <w:sz w:val="32"/>
          <w:szCs w:val="32"/>
        </w:rPr>
      </w:pPr>
      <w:bookmarkStart w:id="94" w:name="_Toc399337927"/>
      <w:bookmarkStart w:id="95" w:name="_Toc42679746"/>
      <w:bookmarkStart w:id="96" w:name="_Toc47037047"/>
      <w:bookmarkStart w:id="97" w:name="_Toc53125929"/>
      <w:bookmarkStart w:id="98" w:name="_Toc878679114_WPSOffice_Level2"/>
      <w:r>
        <w:rPr>
          <w:rFonts w:hint="eastAsia" w:ascii="楷体_GB2312" w:hAnsi="楷体_GB2312" w:eastAsia="楷体_GB2312" w:cs="楷体_GB2312"/>
          <w:b/>
          <w:bCs/>
          <w:color w:val="000000"/>
          <w:sz w:val="32"/>
          <w:szCs w:val="32"/>
        </w:rPr>
        <w:t>（六）</w:t>
      </w:r>
      <w:bookmarkEnd w:id="94"/>
      <w:bookmarkEnd w:id="95"/>
      <w:bookmarkEnd w:id="96"/>
      <w:bookmarkEnd w:id="97"/>
      <w:bookmarkStart w:id="99" w:name="_Toc47037048"/>
      <w:bookmarkStart w:id="100" w:name="_Toc42679747"/>
      <w:bookmarkStart w:id="101" w:name="_Toc53125935"/>
      <w:r>
        <w:rPr>
          <w:rFonts w:hint="eastAsia" w:ascii="楷体_GB2312" w:hAnsi="楷体_GB2312" w:eastAsia="楷体_GB2312" w:cs="楷体_GB2312"/>
          <w:b/>
          <w:bCs/>
          <w:color w:val="000000"/>
          <w:sz w:val="32"/>
          <w:szCs w:val="32"/>
        </w:rPr>
        <w:t>加强共建共治共享体系建设</w:t>
      </w:r>
      <w:bookmarkEnd w:id="99"/>
      <w:bookmarkEnd w:id="100"/>
      <w:r>
        <w:rPr>
          <w:rFonts w:hint="eastAsia" w:ascii="楷体_GB2312" w:hAnsi="楷体_GB2312" w:eastAsia="楷体_GB2312" w:cs="楷体_GB2312"/>
          <w:b/>
          <w:bCs/>
          <w:color w:val="000000"/>
          <w:sz w:val="32"/>
          <w:szCs w:val="32"/>
        </w:rPr>
        <w:t>。</w:t>
      </w:r>
      <w:bookmarkEnd w:id="98"/>
      <w:bookmarkEnd w:id="101"/>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102" w:name="_Toc53125936"/>
      <w:r>
        <w:rPr>
          <w:rFonts w:hint="eastAsia" w:ascii="仿宋_GB2312" w:hAnsi="仿宋_GB2312" w:eastAsia="仿宋_GB2312" w:cs="仿宋_GB2312"/>
          <w:sz w:val="32"/>
          <w:szCs w:val="32"/>
        </w:rPr>
        <w:t>1.提高公众参与能力。</w:t>
      </w:r>
      <w:bookmarkEnd w:id="102"/>
      <w:r>
        <w:rPr>
          <w:rFonts w:hint="eastAsia" w:ascii="仿宋" w:hAnsi="仿宋" w:eastAsia="仿宋" w:cs="仿宋"/>
          <w:b w:val="0"/>
          <w:bCs w:val="0"/>
          <w:color w:val="000000"/>
          <w:sz w:val="32"/>
          <w:szCs w:val="32"/>
        </w:rPr>
        <w:t>鼓励主流媒体开办应急管理节目、栏目，开发制作电视专题片、公开课、微视频、公益广告，加强应急微博、微信和客户端建设，加大公益宣传、警示教育力度。将应急、安全生产和</w:t>
      </w:r>
      <w:r>
        <w:rPr>
          <w:rFonts w:hint="eastAsia" w:ascii="仿宋" w:hAnsi="仿宋" w:eastAsia="仿宋" w:cs="仿宋"/>
          <w:b w:val="0"/>
          <w:bCs w:val="0"/>
          <w:color w:val="000000"/>
          <w:sz w:val="32"/>
          <w:szCs w:val="32"/>
          <w:lang w:eastAsia="zh-CN"/>
        </w:rPr>
        <w:t>防灾减灾</w:t>
      </w:r>
      <w:r>
        <w:rPr>
          <w:rFonts w:hint="eastAsia" w:ascii="仿宋" w:hAnsi="仿宋" w:eastAsia="仿宋" w:cs="仿宋"/>
          <w:b w:val="0"/>
          <w:bCs w:val="0"/>
          <w:color w:val="000000"/>
          <w:sz w:val="32"/>
          <w:szCs w:val="32"/>
        </w:rPr>
        <w:t>教育纳入国民教育体系，拓展社会公众参与互动体验渠道，开展形式多样、群众喜闻乐见的应急和安全文化宣教活动。加强从业人员安全生产培训，倡导“安全第一行为人”理念。做好应急状态下的舆论引导，建立有效互动渠道，及时发布权威信息，公开透明回应群众关切。</w:t>
      </w:r>
    </w:p>
    <w:p>
      <w:pPr>
        <w:pStyle w:val="5"/>
        <w:keepNext w:val="0"/>
        <w:keepLines w:val="0"/>
        <w:pageBreakBefore w:val="0"/>
        <w:kinsoku/>
        <w:wordWrap/>
        <w:overflowPunct/>
        <w:topLinePunct w:val="0"/>
        <w:bidi w:val="0"/>
        <w:adjustRightInd w:val="0"/>
        <w:spacing w:before="0" w:beforeAutospacing="0" w:after="0" w:line="600" w:lineRule="exact"/>
        <w:ind w:left="0" w:leftChars="0" w:firstLine="643" w:firstLineChars="200"/>
        <w:rPr>
          <w:rFonts w:ascii="仿宋" w:hAnsi="仿宋" w:eastAsia="仿宋" w:cs="仿宋"/>
          <w:b w:val="0"/>
          <w:bCs w:val="0"/>
          <w:color w:val="000000"/>
          <w:sz w:val="32"/>
          <w:szCs w:val="32"/>
        </w:rPr>
      </w:pPr>
      <w:bookmarkStart w:id="103" w:name="_Toc53125937"/>
      <w:r>
        <w:rPr>
          <w:rFonts w:hint="eastAsia" w:ascii="仿宋_GB2312" w:hAnsi="仿宋_GB2312" w:eastAsia="仿宋_GB2312" w:cs="仿宋_GB2312"/>
          <w:sz w:val="32"/>
          <w:szCs w:val="32"/>
        </w:rPr>
        <w:t>2.提升基层治理能力。</w:t>
      </w:r>
      <w:bookmarkEnd w:id="103"/>
      <w:r>
        <w:rPr>
          <w:rFonts w:hint="eastAsia" w:ascii="仿宋" w:hAnsi="仿宋" w:eastAsia="仿宋" w:cs="仿宋"/>
          <w:b w:val="0"/>
          <w:bCs w:val="0"/>
          <w:color w:val="000000"/>
          <w:sz w:val="32"/>
          <w:szCs w:val="32"/>
        </w:rPr>
        <w:t>以乡</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镇</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、村</w:t>
      </w:r>
      <w:r>
        <w:rPr>
          <w:rFonts w:hint="eastAsia" w:ascii="仿宋" w:hAnsi="仿宋" w:eastAsia="仿宋" w:cs="仿宋"/>
          <w:b w:val="0"/>
          <w:bCs w:val="0"/>
          <w:color w:val="000000"/>
          <w:sz w:val="32"/>
          <w:szCs w:val="32"/>
          <w:lang w:eastAsia="zh-CN"/>
        </w:rPr>
        <w:t>（社区）</w:t>
      </w:r>
      <w:r>
        <w:rPr>
          <w:rFonts w:hint="eastAsia" w:ascii="仿宋" w:hAnsi="仿宋" w:eastAsia="仿宋" w:cs="仿宋"/>
          <w:b w:val="0"/>
          <w:bCs w:val="0"/>
          <w:color w:val="000000"/>
          <w:sz w:val="32"/>
          <w:szCs w:val="32"/>
        </w:rPr>
        <w:t>为重点，健全完善基层灾害事故“吹哨人”和网格化管理制度。完善社区安全隐患和各灾种信息直报、定期发布机制，定期开展乡村、社区层面的应急和疏散演练，提高风险快速排查和隐患快速处置能力。引导社会工作者参与社区和乡村应急工作，推广高素质社会工作者驻社区驻村模式。发挥志愿者队伍“第一时间”响应的优势，完善志愿者权益保障和激励机制，加强应急志愿文化宣传力度。推动设立乡、村应急服务站，有效衔接志愿者和属地居民，形成广泛而紧密的志愿者网络。</w:t>
      </w:r>
    </w:p>
    <w:p>
      <w:pPr>
        <w:pStyle w:val="5"/>
        <w:keepNext w:val="0"/>
        <w:keepLines w:val="0"/>
        <w:pageBreakBefore w:val="0"/>
        <w:widowControl w:val="0"/>
        <w:kinsoku/>
        <w:wordWrap/>
        <w:overflowPunct/>
        <w:topLinePunct w:val="0"/>
        <w:bidi w:val="0"/>
        <w:adjustRightInd w:val="0"/>
        <w:spacing w:before="0" w:after="0" w:line="600" w:lineRule="exact"/>
        <w:ind w:firstLine="643" w:firstLineChars="200"/>
        <w:textAlignment w:val="auto"/>
        <w:rPr>
          <w:rFonts w:ascii="Times New Roman" w:hAnsi="Times New Roman" w:eastAsia="仿宋_GB2312"/>
          <w:color w:val="000000" w:themeColor="text1"/>
          <w:sz w:val="32"/>
          <w:szCs w:val="32"/>
          <w14:textFill>
            <w14:solidFill>
              <w14:schemeClr w14:val="tx1"/>
            </w14:solidFill>
          </w14:textFill>
        </w:rPr>
      </w:pPr>
      <w:bookmarkStart w:id="104" w:name="_Toc53125938"/>
      <w:r>
        <w:rPr>
          <w:rFonts w:hint="eastAsia" w:ascii="仿宋_GB2312" w:hAnsi="仿宋_GB2312" w:eastAsia="仿宋_GB2312" w:cs="仿宋_GB2312"/>
          <w:sz w:val="32"/>
          <w:szCs w:val="32"/>
        </w:rPr>
        <w:t>3.提升社会服务能力。</w:t>
      </w:r>
      <w:bookmarkEnd w:id="104"/>
      <w:r>
        <w:rPr>
          <w:rFonts w:hint="eastAsia" w:ascii="仿宋" w:hAnsi="仿宋" w:eastAsia="仿宋" w:cs="仿宋"/>
          <w:b w:val="0"/>
          <w:bCs w:val="0"/>
          <w:color w:val="000000"/>
          <w:sz w:val="32"/>
          <w:szCs w:val="32"/>
        </w:rPr>
        <w:t>制定完善政府购买应急管理、安全生产、消防服务指导目录，加快培育发展安全生产、应急救援、防灾减灾救灾等社会服务组织。推动保险机构、第三方机构参与企业安全管理服务，提高企业安全管理水平。鼓励社会团体、行业协会等组织协助开展灾后救助、心理疏导、一线从业人员法律援助等活动。向公众开放应急设施，推动应急设施建设和运营社会化</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加快推进安全生产信用体系建设，强化失信惩戒和守信激励，将安全生产重大违法行为纳入联合惩戒“黑名单”。加快推行安全生产责任保险</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高危行业领域企业普遍投保安全生产责任保险，丰富应急救援人员人身安全保险品种。</w:t>
      </w:r>
    </w:p>
    <w:p>
      <w:pPr>
        <w:pStyle w:val="3"/>
        <w:keepNext w:val="0"/>
        <w:keepLines w:val="0"/>
        <w:pageBreakBefore w:val="0"/>
        <w:widowControl w:val="0"/>
        <w:kinsoku/>
        <w:wordWrap/>
        <w:overflowPunct/>
        <w:topLinePunct w:val="0"/>
        <w:bidi w:val="0"/>
        <w:spacing w:before="0" w:after="0" w:line="600" w:lineRule="exact"/>
        <w:ind w:firstLine="640" w:firstLineChars="200"/>
        <w:textAlignment w:val="auto"/>
        <w:rPr>
          <w:rFonts w:ascii="黑体" w:hAnsi="黑体" w:eastAsia="黑体" w:cs="黑体"/>
          <w:b w:val="0"/>
          <w:bCs w:val="0"/>
          <w:i w:val="0"/>
          <w:iCs w:val="0"/>
          <w:strike w:val="0"/>
          <w:dstrike w:val="0"/>
          <w:color w:val="000000" w:themeColor="text1"/>
          <w:sz w:val="32"/>
          <w:szCs w:val="32"/>
          <w:u w:val="none"/>
          <w14:textFill>
            <w14:solidFill>
              <w14:schemeClr w14:val="tx1"/>
            </w14:solidFill>
          </w14:textFill>
        </w:rPr>
      </w:pPr>
      <w:bookmarkStart w:id="105" w:name="_Toc2600"/>
      <w:bookmarkStart w:id="106" w:name="_Toc113500538_WPSOffice_Level1"/>
      <w:bookmarkStart w:id="107" w:name="_Toc53125940"/>
      <w:r>
        <w:rPr>
          <w:rFonts w:hint="eastAsia" w:ascii="黑体" w:hAnsi="黑体" w:eastAsia="黑体" w:cs="黑体"/>
          <w:b w:val="0"/>
          <w:bCs w:val="0"/>
          <w:sz w:val="32"/>
          <w:szCs w:val="32"/>
        </w:rPr>
        <w:t>四</w:t>
      </w:r>
      <w:r>
        <w:rPr>
          <w:rFonts w:hint="eastAsia" w:ascii="黑体" w:hAnsi="黑体" w:eastAsia="黑体" w:cs="黑体"/>
          <w:b w:val="0"/>
          <w:bCs w:val="0"/>
          <w:i w:val="0"/>
          <w:iCs w:val="0"/>
          <w:strike w:val="0"/>
          <w:dstrike w:val="0"/>
          <w:color w:val="000000" w:themeColor="text1"/>
          <w:sz w:val="32"/>
          <w:szCs w:val="32"/>
          <w:u w:val="none"/>
          <w14:textFill>
            <w14:solidFill>
              <w14:schemeClr w14:val="tx1"/>
            </w14:solidFill>
          </w14:textFill>
        </w:rPr>
        <w:t>、重点工程</w:t>
      </w:r>
      <w:bookmarkEnd w:id="105"/>
      <w:bookmarkEnd w:id="106"/>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08" w:name="_Toc18575"/>
      <w:bookmarkStart w:id="109" w:name="_Toc70237535"/>
      <w:bookmarkStart w:id="110" w:name="_Toc1634561806_WPSOffice_Level2"/>
      <w:bookmarkStart w:id="111" w:name="_Toc6190"/>
      <w:bookmarkStart w:id="112" w:name="_Toc70237525"/>
      <w:bookmarkStart w:id="113" w:name="_Toc31573"/>
      <w:r>
        <w:rPr>
          <w:rFonts w:hint="eastAsia" w:ascii="华文楷体" w:hAnsi="华文楷体" w:eastAsia="华文楷体" w:cs="华文楷体"/>
          <w:b/>
          <w:bCs/>
          <w:color w:val="000000" w:themeColor="text1"/>
          <w:sz w:val="32"/>
          <w:szCs w:val="32"/>
          <w:lang w:eastAsia="zh-CN"/>
          <w14:textFill>
            <w14:solidFill>
              <w14:schemeClr w14:val="tx1"/>
            </w14:solidFill>
          </w14:textFill>
        </w:rPr>
        <w:t>（</w:t>
      </w:r>
      <w:r>
        <w:rPr>
          <w:rFonts w:hint="eastAsia" w:ascii="华文楷体" w:hAnsi="华文楷体" w:eastAsia="华文楷体" w:cs="华文楷体"/>
          <w:b/>
          <w:bCs/>
          <w:color w:val="000000" w:themeColor="text1"/>
          <w:sz w:val="32"/>
          <w:szCs w:val="32"/>
          <w14:textFill>
            <w14:solidFill>
              <w14:schemeClr w14:val="tx1"/>
            </w14:solidFill>
          </w14:textFill>
        </w:rPr>
        <w:t>一</w:t>
      </w:r>
      <w:r>
        <w:rPr>
          <w:rFonts w:hint="eastAsia" w:ascii="华文楷体" w:hAnsi="华文楷体" w:eastAsia="华文楷体" w:cs="华文楷体"/>
          <w:b/>
          <w:bCs/>
          <w:color w:val="000000" w:themeColor="text1"/>
          <w:sz w:val="32"/>
          <w:szCs w:val="32"/>
          <w:lang w:eastAsia="zh-CN"/>
          <w14:textFill>
            <w14:solidFill>
              <w14:schemeClr w14:val="tx1"/>
            </w14:solidFill>
          </w14:textFill>
        </w:rPr>
        <w:t>）安全生产预防能力提升工程</w:t>
      </w:r>
      <w:bookmarkEnd w:id="108"/>
      <w:bookmarkEnd w:id="109"/>
      <w:bookmarkEnd w:id="110"/>
      <w:bookmarkEnd w:id="111"/>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在矿山、危险化学品、金属冶炼、道路交通、建筑施工、</w:t>
      </w:r>
      <w:r>
        <w:rPr>
          <w:rFonts w:ascii="仿宋_GB2312" w:hAnsi="仿宋_GB2312" w:eastAsia="仿宋_GB2312" w:cs="仿宋_GB2312"/>
          <w:color w:val="000000" w:themeColor="text1"/>
          <w:sz w:val="32"/>
          <w:szCs w:val="32"/>
          <w14:textFill>
            <w14:solidFill>
              <w14:schemeClr w14:val="tx1"/>
            </w14:solidFill>
          </w14:textFill>
        </w:rPr>
        <w:t>特种设备</w:t>
      </w:r>
      <w:r>
        <w:rPr>
          <w:rFonts w:hint="eastAsia" w:ascii="仿宋_GB2312" w:hAnsi="仿宋_GB2312" w:eastAsia="仿宋_GB2312" w:cs="仿宋_GB2312"/>
          <w:color w:val="000000" w:themeColor="text1"/>
          <w:sz w:val="32"/>
          <w:szCs w:val="32"/>
          <w14:textFill>
            <w14:solidFill>
              <w14:schemeClr w14:val="tx1"/>
            </w14:solidFill>
          </w14:textFill>
        </w:rPr>
        <w:t>等重点行业领域开展风险辨识、评估、分级管控和监测预警等</w:t>
      </w:r>
      <w:r>
        <w:rPr>
          <w:rFonts w:ascii="仿宋_GB2312" w:hAnsi="仿宋_GB2312" w:eastAsia="仿宋_GB2312" w:cs="仿宋_GB2312"/>
          <w:color w:val="000000" w:themeColor="text1"/>
          <w:sz w:val="32"/>
          <w:szCs w:val="32"/>
          <w14:textFill>
            <w14:solidFill>
              <w14:schemeClr w14:val="tx1"/>
            </w14:solidFill>
          </w14:textFill>
        </w:rPr>
        <w:t>全过程</w:t>
      </w:r>
      <w:r>
        <w:rPr>
          <w:rFonts w:hint="eastAsia" w:ascii="仿宋_GB2312" w:hAnsi="仿宋_GB2312" w:eastAsia="仿宋_GB2312" w:cs="仿宋_GB2312"/>
          <w:color w:val="000000" w:themeColor="text1"/>
          <w:sz w:val="32"/>
          <w:szCs w:val="32"/>
          <w14:textFill>
            <w14:solidFill>
              <w14:schemeClr w14:val="tx1"/>
            </w14:solidFill>
          </w14:textFill>
        </w:rPr>
        <w:t>本质</w:t>
      </w:r>
      <w:r>
        <w:rPr>
          <w:rFonts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14:textFill>
            <w14:solidFill>
              <w14:schemeClr w14:val="tx1"/>
            </w14:solidFill>
          </w14:textFill>
        </w:rPr>
        <w:t>能力提升行动。</w:t>
      </w:r>
      <w:r>
        <w:rPr>
          <w:rFonts w:ascii="仿宋_GB2312" w:hAnsi="仿宋_GB2312" w:eastAsia="仿宋_GB2312" w:cs="仿宋_GB2312"/>
          <w:color w:val="000000" w:themeColor="text1"/>
          <w:sz w:val="32"/>
          <w:szCs w:val="32"/>
          <w14:textFill>
            <w14:solidFill>
              <w14:schemeClr w14:val="tx1"/>
            </w14:solidFill>
          </w14:textFill>
        </w:rPr>
        <w:t>以危险工艺本质安全提升与自动化改造、安全防护距离达标改造、危险源监测预警系统建设为重点，建设园区风险评估与分级管控平台</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推进园区示范建设</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继续推进城镇人口密集区危险化学品生产企业</w:t>
      </w:r>
      <w:r>
        <w:rPr>
          <w:rFonts w:hint="eastAsia" w:ascii="仿宋_GB2312" w:hAnsi="仿宋_GB2312" w:eastAsia="仿宋_GB2312" w:cs="仿宋_GB2312"/>
          <w:color w:val="000000" w:themeColor="text1"/>
          <w:sz w:val="32"/>
          <w:szCs w:val="32"/>
          <w14:textFill>
            <w14:solidFill>
              <w14:schemeClr w14:val="tx1"/>
            </w14:solidFill>
          </w14:textFill>
        </w:rPr>
        <w:t>和存在重大风险隐患企业</w:t>
      </w:r>
      <w:r>
        <w:rPr>
          <w:rFonts w:ascii="仿宋_GB2312" w:hAnsi="仿宋_GB2312" w:eastAsia="仿宋_GB2312" w:cs="仿宋_GB2312"/>
          <w:color w:val="000000" w:themeColor="text1"/>
          <w:sz w:val="32"/>
          <w:szCs w:val="32"/>
          <w14:textFill>
            <w14:solidFill>
              <w14:schemeClr w14:val="tx1"/>
            </w14:solidFill>
          </w14:textFill>
        </w:rPr>
        <w:t>搬迁工程。实施“工业互联网+安全生产”融合应用工程，建设基于工业互联网的安全生产监管平台。</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color w:val="000000" w:themeColor="text1"/>
          <w:sz w:val="32"/>
          <w:szCs w:val="32"/>
          <w14:textFill>
            <w14:solidFill>
              <w14:schemeClr w14:val="tx1"/>
            </w14:solidFill>
          </w14:textFill>
        </w:rPr>
      </w:pPr>
      <w:bookmarkStart w:id="114" w:name="_Toc142438421_WPSOffice_Level2"/>
      <w:r>
        <w:rPr>
          <w:rFonts w:hint="eastAsia" w:ascii="华文楷体" w:hAnsi="华文楷体" w:eastAsia="华文楷体" w:cs="华文楷体"/>
          <w:b/>
          <w:bCs/>
          <w:color w:val="000000" w:themeColor="text1"/>
          <w:sz w:val="32"/>
          <w:szCs w:val="32"/>
          <w14:textFill>
            <w14:solidFill>
              <w14:schemeClr w14:val="tx1"/>
            </w14:solidFill>
          </w14:textFill>
        </w:rPr>
        <w:t>（</w:t>
      </w:r>
      <w:r>
        <w:rPr>
          <w:rFonts w:hint="eastAsia" w:ascii="华文楷体" w:hAnsi="华文楷体" w:eastAsia="华文楷体" w:cs="华文楷体"/>
          <w:b/>
          <w:bCs/>
          <w:color w:val="000000" w:themeColor="text1"/>
          <w:sz w:val="32"/>
          <w:szCs w:val="32"/>
          <w:lang w:eastAsia="zh-CN"/>
          <w14:textFill>
            <w14:solidFill>
              <w14:schemeClr w14:val="tx1"/>
            </w14:solidFill>
          </w14:textFill>
        </w:rPr>
        <w:t>二</w:t>
      </w:r>
      <w:r>
        <w:rPr>
          <w:rFonts w:hint="eastAsia" w:ascii="华文楷体" w:hAnsi="华文楷体" w:eastAsia="华文楷体" w:cs="华文楷体"/>
          <w:b/>
          <w:bCs/>
          <w:color w:val="000000" w:themeColor="text1"/>
          <w:sz w:val="32"/>
          <w:szCs w:val="32"/>
          <w14:textFill>
            <w14:solidFill>
              <w14:schemeClr w14:val="tx1"/>
            </w14:solidFill>
          </w14:textFill>
        </w:rPr>
        <w:t>）</w:t>
      </w:r>
      <w:bookmarkEnd w:id="112"/>
      <w:bookmarkEnd w:id="113"/>
      <w:bookmarkStart w:id="115" w:name="_Toc2110"/>
      <w:bookmarkStart w:id="116" w:name="_Toc7077"/>
      <w:bookmarkStart w:id="117" w:name="_Toc70237526"/>
      <w:r>
        <w:rPr>
          <w:rFonts w:hint="eastAsia" w:ascii="华文楷体" w:hAnsi="华文楷体" w:eastAsia="华文楷体" w:cs="华文楷体"/>
          <w:color w:val="000000" w:themeColor="text1"/>
          <w:sz w:val="32"/>
          <w:szCs w:val="32"/>
          <w14:textFill>
            <w14:solidFill>
              <w14:schemeClr w14:val="tx1"/>
            </w14:solidFill>
          </w14:textFill>
        </w:rPr>
        <w:t>灾害风险调查和重点隐患排查工程</w:t>
      </w:r>
      <w:bookmarkEnd w:id="114"/>
      <w:bookmarkEnd w:id="115"/>
      <w:bookmarkEnd w:id="116"/>
      <w:bookmarkEnd w:id="117"/>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开展地震灾害、地质灾害、气象灾害、水旱灾害、森林草原火灾等风险要素全面调查，</w:t>
      </w:r>
      <w:r>
        <w:rPr>
          <w:rFonts w:hint="eastAsia" w:ascii="仿宋_GB2312" w:hAnsi="仿宋_GB2312" w:eastAsia="仿宋_GB2312" w:cs="仿宋_GB2312"/>
          <w:color w:val="000000" w:themeColor="text1"/>
          <w:sz w:val="32"/>
          <w:szCs w:val="32"/>
          <w14:textFill>
            <w14:solidFill>
              <w14:schemeClr w14:val="tx1"/>
            </w14:solidFill>
          </w14:textFill>
        </w:rPr>
        <w:t>开展干旱、暴雨、高温、低温冷冻、风雹、雪灾和雷电等气象灾害综合风险调查、重点隐患排查及气象灾害风险评估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突出地震、洪水、地质灾害和重点隐患排查，</w:t>
      </w:r>
      <w:r>
        <w:rPr>
          <w:rFonts w:ascii="仿宋" w:hAnsi="仿宋" w:eastAsia="仿宋"/>
          <w:color w:val="000000" w:themeColor="text1"/>
          <w:sz w:val="32"/>
          <w:szCs w:val="32"/>
          <w14:textFill>
            <w14:solidFill>
              <w14:schemeClr w14:val="tx1"/>
            </w14:solidFill>
          </w14:textFill>
        </w:rPr>
        <w:t>查明区域抗灾能力，建立分类型、分区域的自然灾害风险与减灾能力数据库。开展灾害风险评估，</w:t>
      </w:r>
      <w:r>
        <w:rPr>
          <w:rFonts w:hint="eastAsia" w:ascii="仿宋字体" w:hAnsi="仿宋字体" w:eastAsia="仿宋字体" w:cs="仿宋字体"/>
          <w:color w:val="000000" w:themeColor="text1"/>
          <w:sz w:val="32"/>
          <w:szCs w:val="32"/>
          <w14:textFill>
            <w14:solidFill>
              <w14:schemeClr w14:val="tx1"/>
            </w14:solidFill>
          </w14:textFill>
        </w:rPr>
        <w:t>编制完成县</w:t>
      </w:r>
      <w:r>
        <w:rPr>
          <w:rFonts w:hint="eastAsia" w:ascii="仿宋字体" w:hAnsi="仿宋字体" w:eastAsia="仿宋字体" w:cs="仿宋字体"/>
          <w:color w:val="000000" w:themeColor="text1"/>
          <w:sz w:val="32"/>
          <w:szCs w:val="32"/>
          <w:lang w:eastAsia="zh-CN"/>
          <w14:textFill>
            <w14:solidFill>
              <w14:schemeClr w14:val="tx1"/>
            </w14:solidFill>
          </w14:textFill>
        </w:rPr>
        <w:t>级</w:t>
      </w:r>
      <w:r>
        <w:rPr>
          <w:rFonts w:hint="eastAsia" w:ascii="仿宋字体" w:hAnsi="仿宋字体" w:eastAsia="仿宋字体" w:cs="仿宋字体"/>
          <w:color w:val="000000" w:themeColor="text1"/>
          <w:sz w:val="32"/>
          <w:szCs w:val="32"/>
          <w14:textFill>
            <w14:solidFill>
              <w14:schemeClr w14:val="tx1"/>
            </w14:solidFill>
          </w14:textFill>
        </w:rPr>
        <w:t>地质灾害风险区划图</w:t>
      </w:r>
      <w:r>
        <w:rPr>
          <w:rFonts w:hint="eastAsia" w:ascii="仿宋字体" w:hAnsi="仿宋字体" w:eastAsia="仿宋字体" w:cs="仿宋字体"/>
          <w:color w:val="000000" w:themeColor="text1"/>
          <w:sz w:val="32"/>
          <w:szCs w:val="32"/>
          <w:lang w:eastAsia="zh-CN"/>
          <w14:textFill>
            <w14:solidFill>
              <w14:schemeClr w14:val="tx1"/>
            </w14:solidFill>
          </w14:textFill>
        </w:rPr>
        <w:t>、</w:t>
      </w:r>
      <w:r>
        <w:rPr>
          <w:rFonts w:hint="eastAsia" w:ascii="仿宋字体" w:hAnsi="仿宋字体" w:eastAsia="仿宋字体" w:cs="仿宋字体"/>
          <w:color w:val="000000" w:themeColor="text1"/>
          <w:sz w:val="32"/>
          <w:szCs w:val="32"/>
          <w14:textFill>
            <w14:solidFill>
              <w14:schemeClr w14:val="tx1"/>
            </w14:solidFill>
          </w14:textFill>
        </w:rPr>
        <w:t>防治区划图</w:t>
      </w:r>
      <w:r>
        <w:rPr>
          <w:rFonts w:hint="eastAsia" w:ascii="仿宋字体" w:hAnsi="仿宋字体" w:eastAsia="仿宋字体" w:cs="仿宋字体"/>
          <w:color w:val="000000" w:themeColor="text1"/>
          <w:sz w:val="32"/>
          <w:szCs w:val="32"/>
          <w:lang w:eastAsia="zh-CN"/>
          <w14:textFill>
            <w14:solidFill>
              <w14:schemeClr w14:val="tx1"/>
            </w14:solidFill>
          </w14:textFill>
        </w:rPr>
        <w:t>和</w:t>
      </w:r>
      <w:r>
        <w:rPr>
          <w:rFonts w:ascii="仿宋" w:hAnsi="仿宋" w:eastAsia="仿宋"/>
          <w:color w:val="000000" w:themeColor="text1"/>
          <w:sz w:val="32"/>
          <w:szCs w:val="32"/>
          <w14:textFill>
            <w14:solidFill>
              <w14:schemeClr w14:val="tx1"/>
            </w14:solidFill>
          </w14:textFill>
        </w:rPr>
        <w:t>水旱灾害风险区划图。开展暴雨、暴雪等气象灾害风险调查，编制不同尺度的危险性分布和风险评估分布图。</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14:textFill>
            <w14:solidFill>
              <w14:schemeClr w14:val="tx1"/>
            </w14:solidFill>
          </w14:textFill>
        </w:rPr>
      </w:pPr>
      <w:bookmarkStart w:id="118" w:name="_Toc1391181594_WPSOffice_Level2"/>
      <w:bookmarkStart w:id="119" w:name="_Toc70237528"/>
      <w:r>
        <w:rPr>
          <w:rFonts w:hint="eastAsia" w:ascii="华文楷体" w:hAnsi="华文楷体" w:eastAsia="华文楷体" w:cs="华文楷体"/>
          <w:b/>
          <w:bCs/>
          <w:color w:val="000000" w:themeColor="text1"/>
          <w:sz w:val="32"/>
          <w:szCs w:val="32"/>
          <w14:textFill>
            <w14:solidFill>
              <w14:schemeClr w14:val="tx1"/>
            </w14:solidFill>
          </w14:textFill>
        </w:rPr>
        <w:t>（</w:t>
      </w:r>
      <w:r>
        <w:rPr>
          <w:rFonts w:hint="eastAsia" w:ascii="华文楷体" w:hAnsi="华文楷体" w:eastAsia="华文楷体" w:cs="华文楷体"/>
          <w:b/>
          <w:bCs/>
          <w:color w:val="000000" w:themeColor="text1"/>
          <w:sz w:val="32"/>
          <w:szCs w:val="32"/>
          <w:lang w:eastAsia="zh-CN"/>
          <w14:textFill>
            <w14:solidFill>
              <w14:schemeClr w14:val="tx1"/>
            </w14:solidFill>
          </w14:textFill>
        </w:rPr>
        <w:t>三</w:t>
      </w:r>
      <w:r>
        <w:rPr>
          <w:rFonts w:hint="eastAsia" w:ascii="华文楷体" w:hAnsi="华文楷体" w:eastAsia="华文楷体" w:cs="华文楷体"/>
          <w:b/>
          <w:bCs/>
          <w:color w:val="000000" w:themeColor="text1"/>
          <w:sz w:val="32"/>
          <w:szCs w:val="32"/>
          <w14:textFill>
            <w14:solidFill>
              <w14:schemeClr w14:val="tx1"/>
            </w14:solidFill>
          </w14:textFill>
        </w:rPr>
        <w:t>）</w:t>
      </w:r>
      <w:r>
        <w:rPr>
          <w:rFonts w:hint="eastAsia" w:ascii="华文楷体" w:hAnsi="华文楷体" w:eastAsia="华文楷体" w:cs="华文楷体"/>
          <w:b/>
          <w:bCs/>
          <w:color w:val="000000" w:themeColor="text1"/>
          <w:sz w:val="32"/>
          <w:szCs w:val="32"/>
          <w:lang w:eastAsia="zh-CN"/>
          <w14:textFill>
            <w14:solidFill>
              <w14:schemeClr w14:val="tx1"/>
            </w14:solidFill>
          </w14:textFill>
        </w:rPr>
        <w:t>自然灾害</w:t>
      </w:r>
      <w:r>
        <w:rPr>
          <w:rFonts w:hint="eastAsia" w:ascii="华文楷体" w:hAnsi="华文楷体" w:eastAsia="华文楷体" w:cs="华文楷体"/>
          <w:b/>
          <w:bCs/>
          <w:color w:val="000000" w:themeColor="text1"/>
          <w:sz w:val="32"/>
          <w:szCs w:val="32"/>
          <w14:textFill>
            <w14:solidFill>
              <w14:schemeClr w14:val="tx1"/>
            </w14:solidFill>
          </w14:textFill>
        </w:rPr>
        <w:t>综合治理</w:t>
      </w:r>
      <w:r>
        <w:rPr>
          <w:rFonts w:hint="eastAsia" w:ascii="华文楷体" w:hAnsi="华文楷体" w:eastAsia="华文楷体" w:cs="华文楷体"/>
          <w:b/>
          <w:bCs/>
          <w:color w:val="000000" w:themeColor="text1"/>
          <w:sz w:val="32"/>
          <w:szCs w:val="32"/>
          <w:lang w:eastAsia="zh-CN"/>
          <w14:textFill>
            <w14:solidFill>
              <w14:schemeClr w14:val="tx1"/>
            </w14:solidFill>
          </w14:textFill>
        </w:rPr>
        <w:t>、</w:t>
      </w:r>
      <w:r>
        <w:rPr>
          <w:rFonts w:hint="eastAsia" w:ascii="华文楷体" w:hAnsi="华文楷体" w:eastAsia="华文楷体" w:cs="华文楷体"/>
          <w:b/>
          <w:bCs/>
          <w:color w:val="000000" w:themeColor="text1"/>
          <w:sz w:val="32"/>
          <w:szCs w:val="32"/>
          <w14:textFill>
            <w14:solidFill>
              <w14:schemeClr w14:val="tx1"/>
            </w14:solidFill>
          </w14:textFill>
        </w:rPr>
        <w:t>避险移民搬迁工程</w:t>
      </w:r>
      <w:bookmarkEnd w:id="118"/>
    </w:p>
    <w:bookmarkEnd w:id="119"/>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开展</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辖区内中小河流治理和中小型水库除险加固任务。</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完成里河、梅河</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2</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条山洪沟道治理</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提升山洪灾害综合防御能力。开展堤防、排水管网等</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城乡</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防洪排涝工程建设，增强</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城乡</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防涝能力。每年持续进行山洪灾害防治非工程措施建设，逐步巩固更新已建水雨情监测预警设备，持续开展群测群防体系建设和综合保障体系建设。对险情等级较高的地质灾害隐患点实施工程治理</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对险情等级较低的地质灾害隐患点实施排危除险</w:t>
      </w:r>
      <w:r>
        <w:rPr>
          <w:rFonts w:hint="eastAsia" w:ascii="仿宋" w:hAnsi="仿宋" w:eastAsia="仿宋" w:cs="黑体"/>
          <w:b w:val="0"/>
          <w:bCs w:val="0"/>
          <w:color w:val="000000" w:themeColor="text1"/>
          <w:kern w:val="0"/>
          <w:sz w:val="32"/>
          <w:szCs w:val="32"/>
          <w:lang w:val="en-US" w:eastAsia="zh-CN" w:bidi="ar-SA"/>
          <w14:textFill>
            <w14:solidFill>
              <w14:schemeClr w14:val="tx1"/>
            </w14:solidFill>
          </w14:textFill>
        </w:rPr>
        <w:t>。</w:t>
      </w:r>
      <w:r>
        <w:rPr>
          <w:rFonts w:hint="eastAsia" w:ascii="仿宋" w:hAnsi="仿宋" w:eastAsia="仿宋" w:cs="黑体"/>
          <w:b w:val="0"/>
          <w:bCs w:val="0"/>
          <w:color w:val="000000" w:themeColor="text1"/>
          <w:kern w:val="0"/>
          <w:sz w:val="32"/>
          <w:szCs w:val="32"/>
          <w:lang w:val="en-US" w:eastAsia="en-US" w:bidi="ar-SA"/>
          <w14:textFill>
            <w14:solidFill>
              <w14:schemeClr w14:val="tx1"/>
            </w14:solidFill>
          </w14:textFill>
        </w:rPr>
        <w:t>对工程治理难度大、群众疏散条件困难的区域，结合生态移民、新农村建设和小城镇改造等，推进受隐患威胁区域移民搬迁，逐步消除隐患威胁。</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0" w:name="_Toc70237530"/>
      <w:bookmarkStart w:id="121" w:name="_Toc196904627_WPSOffice_Level2"/>
      <w:r>
        <w:rPr>
          <w:rFonts w:hint="eastAsia" w:ascii="华文楷体" w:hAnsi="华文楷体" w:eastAsia="华文楷体" w:cs="华文楷体"/>
          <w:b/>
          <w:bCs/>
          <w:color w:val="000000" w:themeColor="text1"/>
          <w:sz w:val="32"/>
          <w:szCs w:val="32"/>
          <w:lang w:eastAsia="zh-CN"/>
          <w14:textFill>
            <w14:solidFill>
              <w14:schemeClr w14:val="tx1"/>
            </w14:solidFill>
          </w14:textFill>
        </w:rPr>
        <w:t>（四）应急救援指挥中心建设工程</w:t>
      </w:r>
      <w:bookmarkEnd w:id="120"/>
      <w:bookmarkEnd w:id="121"/>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建设</w:t>
      </w:r>
      <w:r>
        <w:rPr>
          <w:rFonts w:hint="eastAsia" w:ascii="仿宋_GB2312" w:hAnsi="宋体" w:eastAsia="仿宋_GB2312" w:cs="宋体"/>
          <w:color w:val="000000" w:themeColor="text1"/>
          <w:sz w:val="32"/>
          <w:szCs w:val="32"/>
          <w:lang w:val="en-US" w:eastAsia="zh-CN"/>
          <w14:textFill>
            <w14:solidFill>
              <w14:schemeClr w14:val="tx1"/>
            </w14:solidFill>
          </w14:textFill>
        </w:rPr>
        <w:t>完善</w:t>
      </w:r>
      <w:r>
        <w:rPr>
          <w:rFonts w:hint="eastAsia" w:ascii="仿宋_GB2312" w:hAnsi="宋体" w:eastAsia="仿宋_GB2312" w:cs="宋体"/>
          <w:color w:val="000000" w:themeColor="text1"/>
          <w:sz w:val="32"/>
          <w:szCs w:val="32"/>
          <w:lang w:eastAsia="zh-CN"/>
          <w14:textFill>
            <w14:solidFill>
              <w14:schemeClr w14:val="tx1"/>
            </w14:solidFill>
          </w14:textFill>
        </w:rPr>
        <w:t>县</w:t>
      </w:r>
      <w:r>
        <w:rPr>
          <w:rFonts w:hint="eastAsia" w:ascii="仿宋_GB2312" w:hAnsi="宋体" w:eastAsia="仿宋_GB2312" w:cs="宋体"/>
          <w:color w:val="000000" w:themeColor="text1"/>
          <w:sz w:val="32"/>
          <w:szCs w:val="32"/>
          <w14:textFill>
            <w14:solidFill>
              <w14:schemeClr w14:val="tx1"/>
            </w14:solidFill>
          </w14:textFill>
        </w:rPr>
        <w:t>应急指挥中心，打造全</w:t>
      </w:r>
      <w:r>
        <w:rPr>
          <w:rFonts w:hint="eastAsia" w:ascii="仿宋_GB2312" w:hAnsi="宋体" w:eastAsia="仿宋_GB2312" w:cs="宋体"/>
          <w:color w:val="000000" w:themeColor="text1"/>
          <w:sz w:val="32"/>
          <w:szCs w:val="32"/>
          <w:lang w:eastAsia="zh-CN"/>
          <w14:textFill>
            <w14:solidFill>
              <w14:schemeClr w14:val="tx1"/>
            </w14:solidFill>
          </w14:textFill>
        </w:rPr>
        <w:t>县</w:t>
      </w:r>
      <w:r>
        <w:rPr>
          <w:rFonts w:hint="eastAsia" w:ascii="仿宋_GB2312" w:hAnsi="宋体" w:eastAsia="仿宋_GB2312" w:cs="宋体"/>
          <w:color w:val="000000" w:themeColor="text1"/>
          <w:sz w:val="32"/>
          <w:szCs w:val="32"/>
          <w14:textFill>
            <w14:solidFill>
              <w14:schemeClr w14:val="tx1"/>
            </w14:solidFill>
          </w14:textFill>
        </w:rPr>
        <w:t>应急</w:t>
      </w:r>
      <w:r>
        <w:rPr>
          <w:rFonts w:hint="eastAsia" w:ascii="仿宋_GB2312" w:hAnsi="宋体" w:eastAsia="仿宋_GB2312" w:cs="宋体"/>
          <w:color w:val="000000" w:themeColor="text1"/>
          <w:sz w:val="32"/>
          <w:szCs w:val="32"/>
          <w:lang w:val="en-US" w:eastAsia="zh-CN"/>
          <w14:textFill>
            <w14:solidFill>
              <w14:schemeClr w14:val="tx1"/>
            </w14:solidFill>
          </w14:textFill>
        </w:rPr>
        <w:t>调度</w:t>
      </w:r>
      <w:r>
        <w:rPr>
          <w:rFonts w:hint="eastAsia" w:ascii="仿宋_GB2312" w:hAnsi="宋体" w:eastAsia="仿宋_GB2312" w:cs="宋体"/>
          <w:color w:val="000000" w:themeColor="text1"/>
          <w:sz w:val="32"/>
          <w:szCs w:val="32"/>
          <w14:textFill>
            <w14:solidFill>
              <w14:schemeClr w14:val="tx1"/>
            </w14:solidFill>
          </w14:textFill>
        </w:rPr>
        <w:t>指挥中枢</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建设统一指挥、专长兼备、反应灵敏、下上联动、平战结合的</w:t>
      </w:r>
      <w:r>
        <w:rPr>
          <w:rFonts w:hint="eastAsia" w:ascii="仿宋_GB2312" w:hAnsi="宋体" w:eastAsia="仿宋_GB2312" w:cs="宋体"/>
          <w:color w:val="000000" w:themeColor="text1"/>
          <w:sz w:val="32"/>
          <w:szCs w:val="32"/>
          <w:lang w:eastAsia="zh-CN"/>
          <w14:textFill>
            <w14:solidFill>
              <w14:schemeClr w14:val="tx1"/>
            </w14:solidFill>
          </w14:textFill>
        </w:rPr>
        <w:t>县</w:t>
      </w:r>
      <w:r>
        <w:rPr>
          <w:rFonts w:hint="eastAsia" w:ascii="仿宋_GB2312" w:hAnsi="宋体" w:eastAsia="仿宋_GB2312" w:cs="宋体"/>
          <w:color w:val="000000" w:themeColor="text1"/>
          <w:sz w:val="32"/>
          <w:szCs w:val="32"/>
          <w14:textFill>
            <w14:solidFill>
              <w14:schemeClr w14:val="tx1"/>
            </w14:solidFill>
          </w14:textFill>
        </w:rPr>
        <w:t>应急指挥平台</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统筹指挥协调各类信息资源、应急队伍、应急装备、应急物资，形成应急救援“一盘棋”格局，提升应急指挥效率。建设完善应急管理“智慧大脑”，实现信息资源共享、灾害综合监测预警、调度会商、应急决策、远程视频指挥、应急保障等功能，为应急指挥提供科技支撑。</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2" w:name="_Toc1568994444_WPSOffice_Level2"/>
      <w:bookmarkStart w:id="123" w:name="_Toc70237531"/>
      <w:r>
        <w:rPr>
          <w:rFonts w:hint="eastAsia" w:ascii="华文楷体" w:hAnsi="华文楷体" w:eastAsia="华文楷体" w:cs="华文楷体"/>
          <w:b/>
          <w:bCs/>
          <w:color w:val="000000" w:themeColor="text1"/>
          <w:sz w:val="32"/>
          <w:szCs w:val="32"/>
          <w:lang w:eastAsia="zh-CN"/>
          <w14:textFill>
            <w14:solidFill>
              <w14:schemeClr w14:val="tx1"/>
            </w14:solidFill>
          </w14:textFill>
        </w:rPr>
        <w:t>（五）风险监测预警信息化工程</w:t>
      </w:r>
      <w:bookmarkEnd w:id="122"/>
      <w:bookmarkEnd w:id="123"/>
    </w:p>
    <w:p>
      <w:pPr>
        <w:pStyle w:val="26"/>
        <w:keepNext w:val="0"/>
        <w:keepLines w:val="0"/>
        <w:pageBreakBefore w:val="0"/>
        <w:widowControl w:val="0"/>
        <w:kinsoku/>
        <w:wordWrap/>
        <w:overflowPunct/>
        <w:topLinePunct w:val="0"/>
        <w:autoSpaceDE/>
        <w:autoSpaceDN/>
        <w:bidi w:val="0"/>
        <w:snapToGrid/>
        <w:spacing w:before="0" w:beforeAutospacing="0" w:line="600" w:lineRule="exact"/>
        <w:ind w:firstLine="640" w:firstLineChars="200"/>
        <w:textAlignment w:val="auto"/>
        <w:rPr>
          <w:rFonts w:ascii="仿宋_GB2312" w:hAnsi="宋体" w:eastAsia="仿宋_GB2312" w:cs="宋体"/>
          <w:color w:val="000000" w:themeColor="text1"/>
          <w:sz w:val="32"/>
          <w:szCs w:val="32"/>
          <w14:textFill>
            <w14:solidFill>
              <w14:schemeClr w14:val="tx1"/>
            </w14:solidFill>
          </w14:textFill>
        </w:rPr>
      </w:pPr>
      <w:r>
        <w:rPr>
          <w:rFonts w:ascii="仿宋_GB2312" w:hAnsi="宋体" w:eastAsia="仿宋_GB2312" w:cs="宋体"/>
          <w:color w:val="000000" w:themeColor="text1"/>
          <w:sz w:val="32"/>
          <w:szCs w:val="32"/>
          <w14:textFill>
            <w14:solidFill>
              <w14:schemeClr w14:val="tx1"/>
            </w14:solidFill>
          </w14:textFill>
        </w:rPr>
        <w:t>建设应急管理综合监测预警信息系统，实现跨部门、跨</w:t>
      </w:r>
      <w:r>
        <w:rPr>
          <w:rFonts w:hint="eastAsia" w:ascii="仿宋_GB2312" w:hAnsi="宋体" w:eastAsia="仿宋_GB2312" w:cs="宋体"/>
          <w:color w:val="000000" w:themeColor="text1"/>
          <w:sz w:val="32"/>
          <w:szCs w:val="32"/>
          <w:lang w:eastAsia="zh-CN"/>
          <w14:textFill>
            <w14:solidFill>
              <w14:schemeClr w14:val="tx1"/>
            </w14:solidFill>
          </w14:textFill>
        </w:rPr>
        <w:t>乡（镇）</w:t>
      </w:r>
      <w:r>
        <w:rPr>
          <w:rFonts w:ascii="仿宋_GB2312" w:hAnsi="宋体" w:eastAsia="仿宋_GB2312" w:cs="宋体"/>
          <w:color w:val="000000" w:themeColor="text1"/>
          <w:sz w:val="32"/>
          <w:szCs w:val="32"/>
          <w14:textFill>
            <w14:solidFill>
              <w14:schemeClr w14:val="tx1"/>
            </w14:solidFill>
          </w14:textFill>
        </w:rPr>
        <w:t>网络互联和信息共享，对各类基础地理、社会经济、防灾工程等基础数据及自然灾害风险等专题数据进行快速处理分析，开展自然灾害综合监测预警。推进自然灾害分类监测和分级预警信息化建设，实施地震烈度速报预警工程</w:t>
      </w:r>
      <w:r>
        <w:rPr>
          <w:rFonts w:hint="eastAsia" w:ascii="仿宋_GB2312" w:hAnsi="宋体" w:eastAsia="仿宋_GB2312" w:cs="宋体"/>
          <w:color w:val="000000" w:themeColor="text1"/>
          <w:sz w:val="32"/>
          <w:szCs w:val="32"/>
          <w:lang w:val="en-US" w:eastAsia="zh-CN"/>
          <w14:textFill>
            <w14:solidFill>
              <w14:schemeClr w14:val="tx1"/>
            </w14:solidFill>
          </w14:textFill>
        </w:rPr>
        <w:t>和</w:t>
      </w:r>
      <w:r>
        <w:rPr>
          <w:rFonts w:ascii="仿宋_GB2312" w:hAnsi="宋体" w:eastAsia="仿宋_GB2312" w:cs="宋体"/>
          <w:color w:val="000000" w:themeColor="text1"/>
          <w:sz w:val="32"/>
          <w:szCs w:val="32"/>
          <w14:textFill>
            <w14:solidFill>
              <w14:schemeClr w14:val="tx1"/>
            </w14:solidFill>
          </w14:textFill>
        </w:rPr>
        <w:t>气象灾害监测预警能力提升工程，推进山洪灾害监测预警、地质灾害隐患点专业监测、敏感区气象监测、林火视频监控、林火应急指挥及通信系统等建设，提升各灾种专业监测能力。整合信息发布资源，完善全</w:t>
      </w:r>
      <w:r>
        <w:rPr>
          <w:rFonts w:hint="eastAsia" w:ascii="仿宋_GB2312" w:hAnsi="宋体" w:eastAsia="仿宋_GB2312" w:cs="宋体"/>
          <w:color w:val="000000" w:themeColor="text1"/>
          <w:sz w:val="32"/>
          <w:szCs w:val="32"/>
          <w:lang w:eastAsia="zh-CN"/>
          <w14:textFill>
            <w14:solidFill>
              <w14:schemeClr w14:val="tx1"/>
            </w14:solidFill>
          </w14:textFill>
        </w:rPr>
        <w:t>县</w:t>
      </w:r>
      <w:r>
        <w:rPr>
          <w:rFonts w:ascii="仿宋_GB2312" w:hAnsi="宋体" w:eastAsia="仿宋_GB2312" w:cs="宋体"/>
          <w:color w:val="000000" w:themeColor="text1"/>
          <w:sz w:val="32"/>
          <w:szCs w:val="32"/>
          <w14:textFill>
            <w14:solidFill>
              <w14:schemeClr w14:val="tx1"/>
            </w14:solidFill>
          </w14:textFill>
        </w:rPr>
        <w:t>突发事件预警信息发布渠道，建设基于云架构的预警信息发布系统，提升预警信息发布的覆盖面、精准度和时效性。</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4" w:name="_Toc70237532"/>
      <w:bookmarkStart w:id="125" w:name="_Toc1190213240_WPSOffice_Level2"/>
      <w:r>
        <w:rPr>
          <w:rFonts w:hint="eastAsia" w:ascii="华文楷体" w:hAnsi="华文楷体" w:eastAsia="华文楷体" w:cs="华文楷体"/>
          <w:b/>
          <w:bCs/>
          <w:color w:val="000000" w:themeColor="text1"/>
          <w:sz w:val="32"/>
          <w:szCs w:val="32"/>
          <w:lang w:eastAsia="zh-CN"/>
          <w14:textFill>
            <w14:solidFill>
              <w14:schemeClr w14:val="tx1"/>
            </w14:solidFill>
          </w14:textFill>
        </w:rPr>
        <w:t>（六）灾害防治技术装备现代化工程</w:t>
      </w:r>
      <w:bookmarkEnd w:id="124"/>
      <w:bookmarkEnd w:id="125"/>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126" w:name="_Toc70237533"/>
      <w:r>
        <w:rPr>
          <w:rFonts w:hint="eastAsia" w:ascii="仿宋_GB2312" w:hAnsi="仿宋_GB2312" w:eastAsia="仿宋_GB2312" w:cs="仿宋_GB2312"/>
          <w:color w:val="000000" w:themeColor="text1"/>
          <w:sz w:val="32"/>
          <w:szCs w:val="32"/>
          <w14:textFill>
            <w14:solidFill>
              <w14:schemeClr w14:val="tx1"/>
            </w14:solidFill>
          </w14:textFill>
        </w:rPr>
        <w:t>针对</w:t>
      </w:r>
      <w:r>
        <w:rPr>
          <w:rFonts w:hint="eastAsia" w:ascii="仿宋_GB2312" w:hAnsi="仿宋_GB2312" w:eastAsia="仿宋_GB2312" w:cs="仿宋_GB2312"/>
          <w:color w:val="000000" w:themeColor="text1"/>
          <w:sz w:val="32"/>
          <w:szCs w:val="32"/>
          <w:lang w:eastAsia="zh-CN"/>
          <w14:textFill>
            <w14:solidFill>
              <w14:schemeClr w14:val="tx1"/>
            </w14:solidFill>
          </w14:textFill>
        </w:rPr>
        <w:t>县域范围内的</w:t>
      </w:r>
      <w:r>
        <w:rPr>
          <w:rFonts w:hint="eastAsia" w:ascii="仿宋_GB2312" w:hAnsi="仿宋_GB2312" w:eastAsia="仿宋_GB2312" w:cs="仿宋_GB2312"/>
          <w:color w:val="000000" w:themeColor="text1"/>
          <w:sz w:val="32"/>
          <w:szCs w:val="32"/>
          <w14:textFill>
            <w14:solidFill>
              <w14:schemeClr w14:val="tx1"/>
            </w14:solidFill>
          </w14:textFill>
        </w:rPr>
        <w:t>自然灾害的灾种、等级，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特别</w:t>
      </w:r>
      <w:r>
        <w:rPr>
          <w:rFonts w:hint="eastAsia" w:ascii="仿宋_GB2312" w:hAnsi="仿宋_GB2312" w:eastAsia="仿宋_GB2312" w:cs="仿宋_GB2312"/>
          <w:color w:val="000000" w:themeColor="text1"/>
          <w:sz w:val="32"/>
          <w:szCs w:val="32"/>
          <w14:textFill>
            <w14:solidFill>
              <w14:schemeClr w14:val="tx1"/>
            </w14:solidFill>
          </w14:textFill>
        </w:rPr>
        <w:t>是重特大灾害防治需求，按照防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治技术装备同步发展，通用装备与专用装备协同推进的原则，重点发展新型应急指挥通信、特种交通应急保障、专用紧急医学救援、专用抢险救援、监测预警和灾害信息获取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自然灾害防治技术装备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重点突破监测预报预警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灾害信息获取、生命搜索救援、风险评估、决策指挥、恢复重建等关键技术。深入推进人工智能、5G、大数据、云计算等新一代信息技术与自然灾害防治技术装备融合发展，不断提高技术装备智能化、轻型化、标准化水平。</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7" w:name="_Toc2106513601_WPSOffice_Level2"/>
      <w:r>
        <w:rPr>
          <w:rFonts w:hint="eastAsia" w:ascii="华文楷体" w:hAnsi="华文楷体" w:eastAsia="华文楷体" w:cs="华文楷体"/>
          <w:b/>
          <w:bCs/>
          <w:color w:val="000000" w:themeColor="text1"/>
          <w:sz w:val="32"/>
          <w:szCs w:val="32"/>
          <w:lang w:eastAsia="zh-CN"/>
          <w14:textFill>
            <w14:solidFill>
              <w14:schemeClr w14:val="tx1"/>
            </w14:solidFill>
          </w14:textFill>
        </w:rPr>
        <w:t>（七）综合减灾示范社区创建工程</w:t>
      </w:r>
      <w:bookmarkEnd w:id="126"/>
      <w:bookmarkEnd w:id="127"/>
    </w:p>
    <w:p>
      <w:pPr>
        <w:pStyle w:val="26"/>
        <w:keepNext w:val="0"/>
        <w:keepLines w:val="0"/>
        <w:pageBreakBefore w:val="0"/>
        <w:widowControl w:val="0"/>
        <w:kinsoku/>
        <w:wordWrap/>
        <w:overflowPunct/>
        <w:topLinePunct w:val="0"/>
        <w:autoSpaceDE/>
        <w:autoSpaceDN/>
        <w:bidi w:val="0"/>
        <w:snapToGrid/>
        <w:spacing w:before="0" w:beforeAutospacing="0" w:line="600" w:lineRule="exact"/>
        <w:ind w:firstLine="640" w:firstLineChars="200"/>
        <w:textAlignment w:val="auto"/>
        <w:rPr>
          <w:rFonts w:ascii="仿宋_GB2312" w:hAnsi="仿宋_GB2312" w:eastAsia="仿宋_GB2312" w:cs="仿宋_GB2312"/>
          <w:color w:val="000000" w:themeColor="text1"/>
          <w:sz w:val="32"/>
          <w:szCs w:val="32"/>
          <w:lang w:val="en-US" w:eastAsia="zh-CN" w:bidi="ar-SA"/>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以创建综合减灾示范社区为抓手，扎实推进社区减灾工作，引领带动基层主动落实自然灾害防治责任，推动基层一线成为防灾减灾救灾工作主战场。完善社区防灾减灾基础设施，储备应急救援物资、设备，开展防灾减灾宣传，不断提升社区自然灾害防治能力。</w:t>
      </w:r>
      <w:r>
        <w:rPr>
          <w:rFonts w:hint="eastAsia" w:ascii="仿宋_GB2312" w:hAnsi="仿宋_GB2312" w:eastAsia="仿宋_GB2312" w:cs="仿宋_GB2312"/>
          <w:color w:val="000000" w:themeColor="text1"/>
          <w:sz w:val="32"/>
          <w:szCs w:val="32"/>
          <w14:textFill>
            <w14:solidFill>
              <w14:schemeClr w14:val="tx1"/>
            </w14:solidFill>
          </w14:textFill>
        </w:rPr>
        <w:t>“十四五”期间创建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个“山西省综合减灾示范社区”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个“全国综合减灾示范社区”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，力争创建为</w:t>
      </w:r>
      <w:r>
        <w:rPr>
          <w:rFonts w:hint="eastAsia" w:ascii="仿宋_GB2312" w:hAnsi="仿宋_GB2312" w:eastAsia="仿宋_GB2312" w:cs="仿宋_GB2312"/>
          <w:color w:val="000000" w:themeColor="text1"/>
          <w:sz w:val="32"/>
          <w:szCs w:val="32"/>
          <w14:textFill>
            <w14:solidFill>
              <w14:schemeClr w14:val="tx1"/>
            </w14:solidFill>
          </w14:textFill>
        </w:rPr>
        <w:t>“全国综合减灾示范县”。</w:t>
      </w:r>
      <w:r>
        <w:rPr>
          <w:rFonts w:ascii="仿宋_GB2312" w:hAnsi="仿宋_GB2312" w:eastAsia="仿宋_GB2312" w:cs="仿宋_GB2312"/>
          <w:color w:val="000000" w:themeColor="text1"/>
          <w:sz w:val="32"/>
          <w:szCs w:val="32"/>
          <w14:textFill>
            <w14:solidFill>
              <w14:schemeClr w14:val="tx1"/>
            </w14:solidFill>
          </w14:textFill>
        </w:rPr>
        <w:t>建立综合减灾示范社区创建动态管理机制，确保创建质量。</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28" w:name="_Toc70237538"/>
      <w:bookmarkStart w:id="129" w:name="_Toc545006235_WPSOffice_Level2"/>
      <w:r>
        <w:rPr>
          <w:rFonts w:hint="eastAsia" w:ascii="华文楷体" w:hAnsi="华文楷体" w:eastAsia="华文楷体" w:cs="华文楷体"/>
          <w:b/>
          <w:bCs/>
          <w:color w:val="000000" w:themeColor="text1"/>
          <w:sz w:val="32"/>
          <w:szCs w:val="32"/>
          <w:lang w:eastAsia="zh-CN"/>
          <w14:textFill>
            <w14:solidFill>
              <w14:schemeClr w14:val="tx1"/>
            </w14:solidFill>
          </w14:textFill>
        </w:rPr>
        <w:t>（八）强化综合性消防救援能力建设工程</w:t>
      </w:r>
      <w:bookmarkEnd w:id="128"/>
      <w:bookmarkEnd w:id="129"/>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bookmarkStart w:id="130" w:name="_Toc70237539"/>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实施国家综合性消防救援队伍装备现代化工程，配齐配强灭火和应急救援通用装备，补齐泥石流、洪涝、雨雪冰冻、地震等自然灾害救援装备和突发公共卫生事件处置装备，配齐配强消防搜救犬，加强指挥通信车、移动指挥终端及单兵可穿戴设备配置，升级个人防护装备，构建“适应灾种、品类齐全、功能完备、高效集成”的现代化装备体系。强化综合性消防救援队伍应急物资装备保障，推进战勤保障编组建设，配齐配全战勤保障车辆和应急物资装备。</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eastAsia="zh-CN"/>
          <w14:textFill>
            <w14:solidFill>
              <w14:schemeClr w14:val="tx1"/>
            </w14:solidFill>
          </w14:textFill>
        </w:rPr>
      </w:pPr>
      <w:bookmarkStart w:id="131" w:name="_Toc52492601_WPSOffice_Level2"/>
      <w:r>
        <w:rPr>
          <w:rFonts w:hint="eastAsia" w:ascii="华文楷体" w:hAnsi="华文楷体" w:eastAsia="华文楷体" w:cs="华文楷体"/>
          <w:b/>
          <w:bCs/>
          <w:color w:val="000000" w:themeColor="text1"/>
          <w:sz w:val="32"/>
          <w:szCs w:val="32"/>
          <w:lang w:eastAsia="zh-CN"/>
          <w14:textFill>
            <w14:solidFill>
              <w14:schemeClr w14:val="tx1"/>
            </w14:solidFill>
          </w14:textFill>
        </w:rPr>
        <w:t>（九）</w:t>
      </w:r>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应急救援基地建设</w:t>
      </w:r>
      <w:r>
        <w:rPr>
          <w:rFonts w:hint="eastAsia" w:ascii="华文楷体" w:hAnsi="华文楷体" w:eastAsia="华文楷体" w:cs="华文楷体"/>
          <w:b/>
          <w:bCs/>
          <w:color w:val="000000" w:themeColor="text1"/>
          <w:sz w:val="32"/>
          <w:szCs w:val="32"/>
          <w:lang w:eastAsia="zh-CN"/>
          <w14:textFill>
            <w14:solidFill>
              <w14:schemeClr w14:val="tx1"/>
            </w14:solidFill>
          </w14:textFill>
        </w:rPr>
        <w:t>工程</w:t>
      </w:r>
      <w:bookmarkEnd w:id="130"/>
      <w:bookmarkEnd w:id="131"/>
    </w:p>
    <w:p>
      <w:pPr>
        <w:pStyle w:val="26"/>
        <w:keepNext w:val="0"/>
        <w:keepLines w:val="0"/>
        <w:pageBreakBefore w:val="0"/>
        <w:widowControl w:val="0"/>
        <w:kinsoku/>
        <w:wordWrap/>
        <w:overflowPunct/>
        <w:topLinePunct w:val="0"/>
        <w:autoSpaceDE/>
        <w:autoSpaceDN/>
        <w:bidi w:val="0"/>
        <w:snapToGrid/>
        <w:spacing w:before="0" w:beforeAutospacing="0"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建立应急救援队伍综合实训基地，完善训练设施，推动救援技术装备现代化，按标准配齐装备器材，形成“一用一训一备”装备配备体系，实现救援队伍与各级应急指挥平台信息互联互通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训练基地可同时保障100人的应急培训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强化实训功能，配备可模拟多种灾害事故场景的实战化训练设施和专业化训练场地，为专业救援队伍、社会救援队伍等提供实训服务。建设灾害事故应急救援现场技术支撑保障队伍，提高抢险救灾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专业</w:t>
      </w:r>
      <w:r>
        <w:rPr>
          <w:rFonts w:hint="eastAsia" w:ascii="仿宋_GB2312" w:hAnsi="仿宋_GB2312" w:eastAsia="仿宋_GB2312" w:cs="仿宋_GB2312"/>
          <w:color w:val="000000" w:themeColor="text1"/>
          <w:sz w:val="32"/>
          <w:szCs w:val="32"/>
          <w14:textFill>
            <w14:solidFill>
              <w14:schemeClr w14:val="tx1"/>
            </w14:solidFill>
          </w14:textFill>
        </w:rPr>
        <w:t>技术支撑能力。结合区域灾害事故特点，分类、定量储备区域常用、易耗易损等应急救援物资装备，力求达到就近储备、快速输送、及时到位、高效救援的目的。</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val="en-US" w:eastAsia="zh-CN"/>
          <w14:textFill>
            <w14:solidFill>
              <w14:schemeClr w14:val="tx1"/>
            </w14:solidFill>
          </w14:textFill>
        </w:rPr>
      </w:pPr>
      <w:bookmarkStart w:id="132" w:name="_Toc158354382_WPSOffice_Level2"/>
      <w:bookmarkStart w:id="133" w:name="_Toc70237545"/>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（十）城乡防灾基础设施建设工程</w:t>
      </w:r>
      <w:bookmarkEnd w:id="132"/>
      <w:bookmarkEnd w:id="133"/>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w:t>
      </w:r>
      <w:r>
        <w:rPr>
          <w:rFonts w:hint="eastAsia" w:ascii="仿宋_GB2312" w:hAnsi="仿宋_GB2312" w:eastAsia="仿宋_GB2312" w:cs="仿宋_GB2312"/>
          <w:color w:val="000000" w:themeColor="text1"/>
          <w:sz w:val="32"/>
          <w:szCs w:val="32"/>
          <w14:textFill>
            <w14:solidFill>
              <w14:schemeClr w14:val="tx1"/>
            </w14:solidFill>
          </w14:textFill>
        </w:rPr>
        <w:t>重大建设工程、交通基础设施等隐患治理，建立基于</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w:t>
      </w:r>
      <w:r>
        <w:rPr>
          <w:rFonts w:hint="eastAsia" w:ascii="仿宋_GB2312" w:hAnsi="仿宋_GB2312" w:eastAsia="仿宋_GB2312" w:cs="仿宋_GB2312"/>
          <w:color w:val="000000" w:themeColor="text1"/>
          <w:sz w:val="32"/>
          <w:szCs w:val="32"/>
          <w14:textFill>
            <w14:solidFill>
              <w14:schemeClr w14:val="tx1"/>
            </w14:solidFill>
          </w14:textFill>
        </w:rPr>
        <w:t>信息模型的防洪排涝智能化管理平台，建设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w:t>
      </w:r>
      <w:r>
        <w:rPr>
          <w:rFonts w:hint="eastAsia" w:ascii="仿宋_GB2312" w:hAnsi="仿宋_GB2312" w:eastAsia="仿宋_GB2312" w:cs="仿宋_GB2312"/>
          <w:color w:val="000000" w:themeColor="text1"/>
          <w:sz w:val="32"/>
          <w:szCs w:val="32"/>
          <w14:textFill>
            <w14:solidFill>
              <w14:schemeClr w14:val="tx1"/>
            </w14:solidFill>
          </w14:textFill>
        </w:rPr>
        <w:t>物联感知网络和安全风险综合管理系统，构建</w:t>
      </w:r>
      <w:r>
        <w:rPr>
          <w:rFonts w:hint="eastAsia" w:ascii="仿宋_GB2312" w:hAnsi="仿宋_GB2312" w:eastAsia="仿宋_GB2312" w:cs="仿宋_GB2312"/>
          <w:color w:val="000000" w:themeColor="text1"/>
          <w:sz w:val="32"/>
          <w:szCs w:val="32"/>
          <w:lang w:eastAsia="zh-CN"/>
          <w14:textFill>
            <w14:solidFill>
              <w14:schemeClr w14:val="tx1"/>
            </w14:solidFill>
          </w14:textFill>
        </w:rPr>
        <w:t>城乡</w:t>
      </w:r>
      <w:r>
        <w:rPr>
          <w:rFonts w:hint="eastAsia" w:ascii="仿宋_GB2312" w:hAnsi="仿宋_GB2312" w:eastAsia="仿宋_GB2312" w:cs="仿宋_GB2312"/>
          <w:color w:val="000000" w:themeColor="text1"/>
          <w:sz w:val="32"/>
          <w:szCs w:val="32"/>
          <w14:textFill>
            <w14:solidFill>
              <w14:schemeClr w14:val="tx1"/>
            </w14:solidFill>
          </w14:textFill>
        </w:rPr>
        <w:t>安全“智慧大脑”。加强农村公路、隧道隐患整治，实施农村公路危桥改造，</w:t>
      </w:r>
      <w:r>
        <w:rPr>
          <w:rFonts w:ascii="仿宋_GB2312" w:hAnsi="仿宋_GB2312" w:eastAsia="仿宋_GB2312" w:cs="仿宋_GB2312"/>
          <w:color w:val="000000" w:themeColor="text1"/>
          <w:sz w:val="32"/>
          <w:szCs w:val="32"/>
          <w14:textFill>
            <w14:solidFill>
              <w14:schemeClr w14:val="tx1"/>
            </w14:solidFill>
          </w14:textFill>
        </w:rPr>
        <w:t>深入推进农村公路平交路口“千灯万带”示范工程。</w:t>
      </w:r>
      <w:r>
        <w:rPr>
          <w:rFonts w:hint="eastAsia" w:ascii="Times New Roman" w:hAnsi="Times New Roman" w:eastAsia="仿宋_GB2312"/>
          <w:color w:val="000000" w:themeColor="text1"/>
          <w:sz w:val="32"/>
          <w:szCs w:val="32"/>
          <w14:textFill>
            <w14:solidFill>
              <w14:schemeClr w14:val="tx1"/>
            </w14:solidFill>
          </w14:textFill>
        </w:rPr>
        <w:t>按照</w:t>
      </w:r>
      <w:r>
        <w:rPr>
          <w:rFonts w:ascii="Times New Roman" w:hAnsi="Times New Roman" w:eastAsia="仿宋_GB2312"/>
          <w:color w:val="000000" w:themeColor="text1"/>
          <w:sz w:val="32"/>
          <w:szCs w:val="32"/>
          <w14:textFill>
            <w14:solidFill>
              <w14:schemeClr w14:val="tx1"/>
            </w14:solidFill>
          </w14:textFill>
        </w:rPr>
        <w:t>国家标准</w:t>
      </w:r>
      <w:r>
        <w:rPr>
          <w:rFonts w:ascii="仿宋_GB2312" w:hAnsi="仿宋_GB2312" w:eastAsia="仿宋_GB2312" w:cs="仿宋_GB2312"/>
          <w:color w:val="000000" w:themeColor="text1"/>
          <w:sz w:val="32"/>
          <w:szCs w:val="32"/>
          <w14:textFill>
            <w14:solidFill>
              <w14:schemeClr w14:val="tx1"/>
            </w14:solidFill>
          </w14:textFill>
        </w:rPr>
        <w:t>统筹规划建设消防救援</w:t>
      </w:r>
      <w:r>
        <w:rPr>
          <w:rFonts w:hint="eastAsia" w:ascii="仿宋_GB2312" w:hAnsi="仿宋_GB2312" w:eastAsia="仿宋_GB2312" w:cs="仿宋_GB2312"/>
          <w:color w:val="000000" w:themeColor="text1"/>
          <w:sz w:val="32"/>
          <w:szCs w:val="32"/>
          <w14:textFill>
            <w14:solidFill>
              <w14:schemeClr w14:val="tx1"/>
            </w14:solidFill>
          </w14:textFill>
        </w:rPr>
        <w:t>站点，</w:t>
      </w:r>
      <w:r>
        <w:rPr>
          <w:rFonts w:hint="eastAsia" w:ascii="仿宋_GB2312" w:hAnsi="仿宋_GB2312" w:eastAsia="仿宋_GB2312" w:cs="仿宋_GB2312"/>
          <w:color w:val="000000" w:themeColor="text1"/>
          <w:sz w:val="32"/>
          <w:szCs w:val="32"/>
          <w:lang w:eastAsia="zh-CN"/>
          <w14:textFill>
            <w14:solidFill>
              <w14:schemeClr w14:val="tx1"/>
            </w14:solidFill>
          </w14:textFill>
        </w:rPr>
        <w:t>配备人员、车辆、器材、装备。</w:t>
      </w:r>
      <w:r>
        <w:rPr>
          <w:rFonts w:hint="eastAsia" w:ascii="仿宋_GB2312" w:hAnsi="仿宋_GB2312" w:eastAsia="仿宋_GB2312" w:cs="仿宋_GB2312"/>
          <w:color w:val="000000" w:themeColor="text1"/>
          <w:sz w:val="32"/>
          <w:szCs w:val="32"/>
          <w14:textFill>
            <w14:solidFill>
              <w14:schemeClr w14:val="tx1"/>
            </w14:solidFill>
          </w14:textFill>
        </w:rPr>
        <w:t>县级地方人民政府合理规划建设与人口规模相适应的应急避难场所，利用符合条件的广场、绿地、公园、学校、体育场馆等公共设施</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因地制宜设立符合相关标准的应急避难场所</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统筹安排必需的交通、通信、供水、供电、排污、环保、物资储备等设备设施。</w:t>
      </w:r>
    </w:p>
    <w:p>
      <w:pPr>
        <w:pStyle w:val="7"/>
        <w:keepNext w:val="0"/>
        <w:keepLines w:val="0"/>
        <w:pageBreakBefore w:val="0"/>
        <w:widowControl w:val="0"/>
        <w:kinsoku/>
        <w:wordWrap/>
        <w:overflowPunct/>
        <w:topLinePunct w:val="0"/>
        <w:autoSpaceDE/>
        <w:autoSpaceDN/>
        <w:bidi w:val="0"/>
        <w:snapToGrid/>
        <w:spacing w:line="600" w:lineRule="exact"/>
        <w:ind w:firstLine="643"/>
        <w:textAlignment w:val="auto"/>
        <w:rPr>
          <w:rFonts w:hint="eastAsia" w:eastAsia="楷体_GB2312"/>
          <w:b/>
          <w:bCs/>
          <w:i w:val="0"/>
          <w:iCs w:val="0"/>
          <w:strike w:val="0"/>
          <w:dstrike w:val="0"/>
          <w:color w:val="000000" w:themeColor="text1"/>
          <w:kern w:val="0"/>
          <w:szCs w:val="32"/>
          <w:u w:val="none"/>
          <w14:textFill>
            <w14:solidFill>
              <w14:schemeClr w14:val="tx1"/>
            </w14:solidFill>
          </w14:textFill>
        </w:rPr>
      </w:pPr>
      <w:bookmarkStart w:id="134" w:name="_Toc1906650463_WPSOffice_Level2"/>
      <w:bookmarkStart w:id="135" w:name="_Toc70237546"/>
      <w:r>
        <w:rPr>
          <w:rFonts w:hint="eastAsia" w:eastAsia="楷体_GB2312"/>
          <w:b/>
          <w:bCs/>
          <w:i w:val="0"/>
          <w:iCs w:val="0"/>
          <w:strike w:val="0"/>
          <w:dstrike w:val="0"/>
          <w:color w:val="000000" w:themeColor="text1"/>
          <w:kern w:val="0"/>
          <w:szCs w:val="32"/>
          <w:u w:val="none"/>
          <w14:textFill>
            <w14:solidFill>
              <w14:schemeClr w14:val="tx1"/>
            </w14:solidFill>
          </w14:textFill>
        </w:rPr>
        <w:t>（</w:t>
      </w:r>
      <w:r>
        <w:rPr>
          <w:rFonts w:hint="eastAsia" w:eastAsia="楷体_GB2312"/>
          <w:b/>
          <w:bCs/>
          <w:i w:val="0"/>
          <w:iCs w:val="0"/>
          <w:strike w:val="0"/>
          <w:dstrike w:val="0"/>
          <w:color w:val="000000" w:themeColor="text1"/>
          <w:kern w:val="0"/>
          <w:szCs w:val="32"/>
          <w:u w:val="none"/>
          <w:lang w:eastAsia="zh-CN"/>
          <w14:textFill>
            <w14:solidFill>
              <w14:schemeClr w14:val="tx1"/>
            </w14:solidFill>
          </w14:textFill>
        </w:rPr>
        <w:t>十一</w:t>
      </w:r>
      <w:r>
        <w:rPr>
          <w:rFonts w:hint="eastAsia" w:eastAsia="楷体_GB2312"/>
          <w:b/>
          <w:bCs/>
          <w:i w:val="0"/>
          <w:iCs w:val="0"/>
          <w:strike w:val="0"/>
          <w:dstrike w:val="0"/>
          <w:color w:val="000000" w:themeColor="text1"/>
          <w:kern w:val="0"/>
          <w:szCs w:val="32"/>
          <w:u w:val="none"/>
          <w14:textFill>
            <w14:solidFill>
              <w14:schemeClr w14:val="tx1"/>
            </w14:solidFill>
          </w14:textFill>
        </w:rPr>
        <w:t>）安全监管能力建设工程</w:t>
      </w:r>
      <w:bookmarkEnd w:id="134"/>
    </w:p>
    <w:p>
      <w:pPr>
        <w:pStyle w:val="7"/>
        <w:keepNext w:val="0"/>
        <w:keepLines w:val="0"/>
        <w:pageBreakBefore w:val="0"/>
        <w:widowControl w:val="0"/>
        <w:kinsoku/>
        <w:wordWrap/>
        <w:overflowPunct/>
        <w:topLinePunct w:val="0"/>
        <w:autoSpaceDE/>
        <w:autoSpaceDN/>
        <w:bidi w:val="0"/>
        <w:snapToGrid/>
        <w:spacing w:line="600" w:lineRule="exact"/>
        <w:ind w:firstLine="643"/>
        <w:textAlignment w:val="auto"/>
        <w:rPr>
          <w:rFonts w:ascii="仿宋_GB2312" w:hAnsi="仿宋_GB2312" w:cs="仿宋_GB2312"/>
          <w:i w:val="0"/>
          <w:iCs w:val="0"/>
          <w:strike w:val="0"/>
          <w:dstrike w:val="0"/>
          <w:color w:val="FF0000"/>
          <w:szCs w:val="32"/>
          <w:u w:val="none"/>
          <w:lang w:bidi="ar"/>
        </w:rPr>
      </w:pPr>
      <w:r>
        <w:rPr>
          <w:rFonts w:hint="eastAsia" w:ascii="仿宋_GB2312" w:hAnsi="仿宋_GB2312" w:cs="仿宋_GB2312"/>
          <w:i w:val="0"/>
          <w:iCs w:val="0"/>
          <w:strike w:val="0"/>
          <w:dstrike w:val="0"/>
          <w:color w:val="000000" w:themeColor="text1"/>
          <w:szCs w:val="32"/>
          <w:u w:val="none"/>
          <w:lang w:bidi="ar"/>
          <w14:textFill>
            <w14:solidFill>
              <w14:schemeClr w14:val="tx1"/>
            </w14:solidFill>
          </w14:textFill>
        </w:rPr>
        <w:t>按照《关于加强安全生产监管能力建设的意见》，加强安全监管队伍建设，健全完善监管机构，充实安全监管力量，优化执法工作条件，为安全监管执法人员补充配备执法装备、执法车辆，配发制式服装。</w:t>
      </w:r>
    </w:p>
    <w:p>
      <w:pPr>
        <w:pStyle w:val="5"/>
        <w:keepNext w:val="0"/>
        <w:keepLines w:val="0"/>
        <w:pageBreakBefore w:val="0"/>
        <w:widowControl w:val="0"/>
        <w:kinsoku/>
        <w:wordWrap/>
        <w:overflowPunct/>
        <w:topLinePunct w:val="0"/>
        <w:autoSpaceDE/>
        <w:autoSpaceDN/>
        <w:bidi w:val="0"/>
        <w:adjustRightInd w:val="0"/>
        <w:snapToGrid/>
        <w:spacing w:before="0" w:after="0" w:line="600" w:lineRule="exact"/>
        <w:ind w:firstLine="643" w:firstLineChars="200"/>
        <w:textAlignment w:val="auto"/>
        <w:rPr>
          <w:rFonts w:hint="eastAsia" w:ascii="华文楷体" w:hAnsi="华文楷体" w:eastAsia="华文楷体" w:cs="华文楷体"/>
          <w:b/>
          <w:bCs/>
          <w:color w:val="000000" w:themeColor="text1"/>
          <w:sz w:val="32"/>
          <w:szCs w:val="32"/>
          <w:lang w:val="en-US" w:eastAsia="zh-CN"/>
          <w14:textFill>
            <w14:solidFill>
              <w14:schemeClr w14:val="tx1"/>
            </w14:solidFill>
          </w14:textFill>
        </w:rPr>
      </w:pPr>
      <w:bookmarkStart w:id="136" w:name="_Toc1803140219_WPSOffice_Level2"/>
      <w:r>
        <w:rPr>
          <w:rFonts w:hint="eastAsia" w:ascii="华文楷体" w:hAnsi="华文楷体" w:eastAsia="华文楷体" w:cs="华文楷体"/>
          <w:b/>
          <w:bCs/>
          <w:color w:val="000000" w:themeColor="text1"/>
          <w:sz w:val="32"/>
          <w:szCs w:val="32"/>
          <w:lang w:val="en-US" w:eastAsia="zh-CN"/>
          <w14:textFill>
            <w14:solidFill>
              <w14:schemeClr w14:val="tx1"/>
            </w14:solidFill>
          </w14:textFill>
        </w:rPr>
        <w:t>（十二）基层应急能力建设工程</w:t>
      </w:r>
      <w:bookmarkEnd w:id="135"/>
      <w:bookmarkEnd w:id="136"/>
    </w:p>
    <w:p>
      <w:pPr>
        <w:pStyle w:val="7"/>
        <w:keepNext w:val="0"/>
        <w:keepLines w:val="0"/>
        <w:pageBreakBefore w:val="0"/>
        <w:widowControl w:val="0"/>
        <w:kinsoku/>
        <w:wordWrap/>
        <w:overflowPunct/>
        <w:topLinePunct w:val="0"/>
        <w:autoSpaceDE/>
        <w:autoSpaceDN/>
        <w:bidi w:val="0"/>
        <w:snapToGrid/>
        <w:spacing w:line="600" w:lineRule="exact"/>
        <w:ind w:firstLine="643"/>
        <w:textAlignment w:val="auto"/>
        <w:rPr>
          <w:rFonts w:hint="eastAsia" w:ascii="Times New Roman" w:hAnsi="Times New Roman" w:eastAsia="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建设基层社区应急救援示范队伍，开展基层应急管理站（所）、社区微型消防站达标创建。为基层应急管理机构配备常用应急救援装备和个体防护装备，推广应用应急管理智慧终端。</w:t>
      </w:r>
      <w:r>
        <w:rPr>
          <w:rFonts w:hint="eastAsia" w:ascii="仿宋_GB2312" w:hAnsi="仿宋_GB2312" w:eastAsia="仿宋_GB2312" w:cs="仿宋_GB2312"/>
          <w:color w:val="000000" w:themeColor="text1"/>
          <w:sz w:val="32"/>
          <w:szCs w:val="32"/>
          <w:u w:val="single"/>
          <w:lang w:val="en-US" w:eastAsia="zh-CN" w:bidi="ar-SA"/>
          <w14:textFill>
            <w14:solidFill>
              <w14:schemeClr w14:val="tx1"/>
            </w14:solidFill>
          </w14:textFill>
        </w:rPr>
        <w:t>推</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进基层应急广播系统建设，开展农村应急广播使用人员培训和信息发布演练。</w:t>
      </w:r>
      <w:r>
        <w:rPr>
          <w:rFonts w:hint="eastAsia" w:ascii="Times New Roman" w:hAnsi="Times New Roman" w:eastAsia="仿宋_GB2312"/>
          <w:color w:val="000000" w:themeColor="text1"/>
          <w:sz w:val="32"/>
          <w:szCs w:val="32"/>
          <w:u w:val="none"/>
          <w:lang w:eastAsia="zh-CN"/>
          <w14:textFill>
            <w14:solidFill>
              <w14:schemeClr w14:val="tx1"/>
            </w14:solidFill>
          </w14:textFill>
        </w:rPr>
        <w:t>建设</w:t>
      </w:r>
      <w:r>
        <w:rPr>
          <w:rFonts w:hint="eastAsia" w:ascii="Times New Roman" w:hAnsi="Times New Roman" w:eastAsia="仿宋_GB2312"/>
          <w:color w:val="000000" w:themeColor="text1"/>
          <w:sz w:val="32"/>
          <w:szCs w:val="32"/>
          <w:u w:val="none"/>
          <w14:textFill>
            <w14:solidFill>
              <w14:schemeClr w14:val="tx1"/>
            </w14:solidFill>
          </w14:textFill>
        </w:rPr>
        <w:t>完善</w:t>
      </w:r>
      <w:r>
        <w:rPr>
          <w:rFonts w:hint="eastAsia" w:ascii="Times New Roman" w:hAnsi="Times New Roman" w:eastAsia="仿宋_GB2312"/>
          <w:color w:val="000000" w:themeColor="text1"/>
          <w:sz w:val="32"/>
          <w:szCs w:val="32"/>
          <w:u w:val="none"/>
          <w:lang w:eastAsia="zh-CN"/>
          <w14:textFill>
            <w14:solidFill>
              <w14:schemeClr w14:val="tx1"/>
            </w14:solidFill>
          </w14:textFill>
        </w:rPr>
        <w:t>县级</w:t>
      </w:r>
      <w:r>
        <w:rPr>
          <w:rFonts w:hint="eastAsia" w:ascii="Times New Roman" w:hAnsi="Times New Roman" w:eastAsia="仿宋_GB2312"/>
          <w:color w:val="000000" w:themeColor="text1"/>
          <w:sz w:val="32"/>
          <w:szCs w:val="32"/>
          <w:u w:val="none"/>
          <w14:textFill>
            <w14:solidFill>
              <w14:schemeClr w14:val="tx1"/>
            </w14:solidFill>
          </w14:textFill>
        </w:rPr>
        <w:t>救灾物资储备库，</w:t>
      </w:r>
      <w:r>
        <w:rPr>
          <w:rFonts w:hint="eastAsia" w:ascii="仿宋_GB2312" w:hAnsi="仿宋_GB2312" w:eastAsia="仿宋_GB2312" w:cs="仿宋_GB2312"/>
          <w:color w:val="000000" w:themeColor="text1"/>
          <w:sz w:val="32"/>
          <w:szCs w:val="32"/>
          <w:u w:val="none"/>
          <w:lang w:val="en-US" w:eastAsia="zh-CN" w:bidi="ar-SA"/>
          <w14:textFill>
            <w14:solidFill>
              <w14:schemeClr w14:val="tx1"/>
            </w14:solidFill>
          </w14:textFill>
        </w:rPr>
        <w:t>在交通不便或灾害风险等级高的乡镇建设应急物资储备点（库），</w:t>
      </w:r>
      <w:r>
        <w:rPr>
          <w:rFonts w:hint="eastAsia" w:ascii="Times New Roman" w:hAnsi="Times New Roman" w:eastAsia="仿宋_GB2312"/>
          <w:color w:val="000000" w:themeColor="text1"/>
          <w:sz w:val="32"/>
          <w:szCs w:val="32"/>
          <w:u w:val="none"/>
          <w14:textFill>
            <w14:solidFill>
              <w14:schemeClr w14:val="tx1"/>
            </w14:solidFill>
          </w14:textFill>
        </w:rPr>
        <w:t>形成多级救灾物资储备网络。</w:t>
      </w:r>
      <w:bookmarkStart w:id="137" w:name="bookmark88"/>
      <w:bookmarkEnd w:id="137"/>
      <w:bookmarkStart w:id="138" w:name="bookmark87"/>
      <w:bookmarkEnd w:id="138"/>
    </w:p>
    <w:p>
      <w:pPr>
        <w:pStyle w:val="3"/>
        <w:keepNext w:val="0"/>
        <w:keepLines w:val="0"/>
        <w:pageBreakBefore w:val="0"/>
        <w:kinsoku/>
        <w:wordWrap/>
        <w:overflowPunct/>
        <w:topLinePunct w:val="0"/>
        <w:bidi w:val="0"/>
        <w:spacing w:before="0" w:beforeAutospacing="0" w:after="0" w:line="600" w:lineRule="exact"/>
        <w:ind w:left="0" w:leftChars="0" w:firstLine="640" w:firstLineChars="200"/>
        <w:rPr>
          <w:rFonts w:ascii="黑体" w:hAnsi="黑体" w:eastAsia="黑体" w:cs="黑体"/>
          <w:b w:val="0"/>
          <w:bCs w:val="0"/>
          <w:sz w:val="32"/>
          <w:szCs w:val="32"/>
        </w:rPr>
      </w:pPr>
      <w:bookmarkStart w:id="139" w:name="_Toc844611505_WPSOffice_Level1"/>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、规划实施及评价</w:t>
      </w:r>
      <w:bookmarkEnd w:id="107"/>
      <w:bookmarkEnd w:id="139"/>
    </w:p>
    <w:p>
      <w:pPr>
        <w:pageBreakBefore w:val="0"/>
        <w:shd w:val="clear" w:color="auto" w:fill="FFFFFF"/>
        <w:kinsoku/>
        <w:wordWrap/>
        <w:overflowPunct/>
        <w:topLinePunct w:val="0"/>
        <w:bidi w:val="0"/>
        <w:spacing w:beforeAutospacing="0" w:line="600" w:lineRule="exact"/>
        <w:ind w:left="0" w:leftChars="0" w:firstLine="630" w:firstLineChars="196"/>
        <w:jc w:val="left"/>
        <w:outlineLvl w:val="1"/>
        <w:rPr>
          <w:rFonts w:eastAsia="楷体_GB2312"/>
          <w:color w:val="000000" w:themeColor="text1"/>
          <w:kern w:val="0"/>
          <w:sz w:val="32"/>
          <w:szCs w:val="32"/>
          <w14:textFill>
            <w14:solidFill>
              <w14:schemeClr w14:val="tx1"/>
            </w14:solidFill>
          </w14:textFill>
        </w:rPr>
      </w:pPr>
      <w:bookmarkStart w:id="140" w:name="_Toc448912531"/>
      <w:bookmarkStart w:id="141" w:name="_Toc448933356"/>
      <w:bookmarkStart w:id="142" w:name="_Toc452966606"/>
      <w:bookmarkStart w:id="143" w:name="_Toc844611505_WPSOffice_Level2"/>
      <w:bookmarkStart w:id="144" w:name="_Toc9217"/>
      <w:bookmarkStart w:id="145" w:name="_Toc453946026"/>
      <w:bookmarkStart w:id="146" w:name="_Toc448933420"/>
      <w:bookmarkStart w:id="147" w:name="_Toc452471835"/>
      <w:r>
        <w:rPr>
          <w:rFonts w:eastAsia="楷体_GB2312"/>
          <w:b/>
          <w:bCs/>
          <w:color w:val="000000" w:themeColor="text1"/>
          <w:kern w:val="0"/>
          <w:sz w:val="32"/>
          <w:szCs w:val="32"/>
          <w14:textFill>
            <w14:solidFill>
              <w14:schemeClr w14:val="tx1"/>
            </w14:solidFill>
          </w14:textFill>
        </w:rPr>
        <w:t>（一）</w:t>
      </w:r>
      <w:r>
        <w:rPr>
          <w:rFonts w:hint="eastAsia" w:eastAsia="楷体_GB2312"/>
          <w:b/>
          <w:bCs/>
          <w:color w:val="000000" w:themeColor="text1"/>
          <w:kern w:val="0"/>
          <w:sz w:val="32"/>
          <w:szCs w:val="32"/>
          <w14:textFill>
            <w14:solidFill>
              <w14:schemeClr w14:val="tx1"/>
            </w14:solidFill>
          </w14:textFill>
        </w:rPr>
        <w:t>加强组织领导</w:t>
      </w:r>
      <w:bookmarkEnd w:id="140"/>
      <w:bookmarkEnd w:id="141"/>
      <w:bookmarkEnd w:id="142"/>
      <w:bookmarkEnd w:id="143"/>
      <w:bookmarkEnd w:id="144"/>
      <w:bookmarkEnd w:id="145"/>
      <w:bookmarkEnd w:id="146"/>
      <w:bookmarkEnd w:id="147"/>
    </w:p>
    <w:p>
      <w:pPr>
        <w:pageBreakBefore w:val="0"/>
        <w:kinsoku/>
        <w:wordWrap/>
        <w:overflowPunct/>
        <w:topLinePunct w:val="0"/>
        <w:autoSpaceDE w:val="0"/>
        <w:autoSpaceDN w:val="0"/>
        <w:bidi w:val="0"/>
        <w:adjustRightInd w:val="0"/>
        <w:spacing w:beforeAutospacing="0" w:line="600" w:lineRule="exact"/>
        <w:ind w:left="0" w:leftChars="0"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各乡（镇）、各县直部门要高度重视，加强组织领导，明确分工责任，切实推动“十四五”规划全面实施，将应急管理体和本质安全能力建设纳入经济社会发展总体布局。</w:t>
      </w:r>
      <w:r>
        <w:rPr>
          <w:rFonts w:hint="eastAsia" w:ascii="仿宋" w:hAnsi="仿宋" w:eastAsia="仿宋" w:cs="仿宋"/>
          <w:color w:val="000000" w:themeColor="text1"/>
          <w:sz w:val="32"/>
          <w:szCs w:val="32"/>
          <w14:textFill>
            <w14:solidFill>
              <w14:schemeClr w14:val="tx1"/>
            </w14:solidFill>
          </w14:textFill>
        </w:rPr>
        <w:t>要分解落实规划确定的安全生产目标指标、主要任务、重点工程。县</w:t>
      </w:r>
      <w:r>
        <w:rPr>
          <w:rFonts w:hint="eastAsia" w:ascii="仿宋" w:hAnsi="仿宋" w:eastAsia="仿宋" w:cs="仿宋"/>
          <w:color w:val="000000" w:themeColor="text1"/>
          <w:kern w:val="0"/>
          <w:sz w:val="32"/>
          <w:szCs w:val="32"/>
          <w:lang w:val="zh-CN"/>
          <w14:textFill>
            <w14:solidFill>
              <w14:schemeClr w14:val="tx1"/>
            </w14:solidFill>
          </w14:textFill>
        </w:rPr>
        <w:t>安全生产委员会要充分发挥协调作用，及时掌握本地区规划目标和任务完成进度，研究解决跨部门、跨行业的安全生产重大问题，</w:t>
      </w:r>
      <w:r>
        <w:rPr>
          <w:rFonts w:hint="eastAsia" w:ascii="仿宋" w:hAnsi="仿宋" w:eastAsia="仿宋" w:cs="仿宋"/>
          <w:color w:val="000000" w:themeColor="text1"/>
          <w:sz w:val="32"/>
          <w:szCs w:val="32"/>
          <w14:textFill>
            <w14:solidFill>
              <w14:schemeClr w14:val="tx1"/>
            </w14:solidFill>
          </w14:textFill>
        </w:rPr>
        <w:t>充分调动各方力量，完成规划任务。</w:t>
      </w:r>
    </w:p>
    <w:p>
      <w:pPr>
        <w:pageBreakBefore w:val="0"/>
        <w:shd w:val="clear" w:color="auto" w:fill="FFFFFF"/>
        <w:kinsoku/>
        <w:wordWrap/>
        <w:overflowPunct/>
        <w:topLinePunct w:val="0"/>
        <w:bidi w:val="0"/>
        <w:spacing w:beforeAutospacing="0" w:line="600" w:lineRule="exact"/>
        <w:ind w:left="0" w:leftChars="0" w:firstLine="630" w:firstLineChars="196"/>
        <w:jc w:val="left"/>
        <w:outlineLvl w:val="1"/>
        <w:rPr>
          <w:rFonts w:eastAsia="楷体_GB2312"/>
          <w:b/>
          <w:bCs/>
          <w:color w:val="000000" w:themeColor="text1"/>
          <w:kern w:val="0"/>
          <w:sz w:val="32"/>
          <w:szCs w:val="32"/>
          <w14:textFill>
            <w14:solidFill>
              <w14:schemeClr w14:val="tx1"/>
            </w14:solidFill>
          </w14:textFill>
        </w:rPr>
      </w:pPr>
      <w:bookmarkStart w:id="148" w:name="_Toc453946027"/>
      <w:bookmarkStart w:id="149" w:name="_Toc448933421"/>
      <w:bookmarkStart w:id="150" w:name="_Toc452471836"/>
      <w:bookmarkStart w:id="151" w:name="_Toc22905"/>
      <w:bookmarkStart w:id="152" w:name="_Toc452966607"/>
      <w:bookmarkStart w:id="153" w:name="_Toc448933357"/>
      <w:bookmarkStart w:id="154" w:name="_Toc751611492_WPSOffice_Level2"/>
      <w:bookmarkStart w:id="155" w:name="_Toc448912532"/>
      <w:r>
        <w:rPr>
          <w:rFonts w:eastAsia="楷体_GB2312"/>
          <w:b/>
          <w:bCs/>
          <w:color w:val="000000" w:themeColor="text1"/>
          <w:kern w:val="0"/>
          <w:sz w:val="32"/>
          <w:szCs w:val="32"/>
          <w14:textFill>
            <w14:solidFill>
              <w14:schemeClr w14:val="tx1"/>
            </w14:solidFill>
          </w14:textFill>
        </w:rPr>
        <w:t>（二）</w:t>
      </w:r>
      <w:r>
        <w:rPr>
          <w:rFonts w:hint="eastAsia" w:eastAsia="楷体_GB2312"/>
          <w:b/>
          <w:bCs/>
          <w:color w:val="000000" w:themeColor="text1"/>
          <w:kern w:val="0"/>
          <w:sz w:val="32"/>
          <w:szCs w:val="32"/>
          <w14:textFill>
            <w14:solidFill>
              <w14:schemeClr w14:val="tx1"/>
            </w14:solidFill>
          </w14:textFill>
        </w:rPr>
        <w:t>强化投入</w:t>
      </w:r>
      <w:r>
        <w:rPr>
          <w:rFonts w:eastAsia="楷体_GB2312"/>
          <w:b/>
          <w:bCs/>
          <w:color w:val="000000" w:themeColor="text1"/>
          <w:kern w:val="0"/>
          <w:sz w:val="32"/>
          <w:szCs w:val="32"/>
          <w14:textFill>
            <w14:solidFill>
              <w14:schemeClr w14:val="tx1"/>
            </w14:solidFill>
          </w14:textFill>
        </w:rPr>
        <w:t>保障</w:t>
      </w:r>
      <w:bookmarkEnd w:id="148"/>
      <w:bookmarkEnd w:id="149"/>
      <w:bookmarkEnd w:id="150"/>
      <w:bookmarkEnd w:id="151"/>
      <w:bookmarkEnd w:id="152"/>
      <w:bookmarkEnd w:id="153"/>
      <w:bookmarkEnd w:id="154"/>
      <w:bookmarkEnd w:id="155"/>
    </w:p>
    <w:p>
      <w:pPr>
        <w:pageBreakBefore w:val="0"/>
        <w:kinsoku/>
        <w:wordWrap/>
        <w:overflowPunct/>
        <w:topLinePunct w:val="0"/>
        <w:bidi w:val="0"/>
        <w:spacing w:beforeAutospacing="0" w:line="600" w:lineRule="exact"/>
        <w:ind w:left="0" w:leftChars="0" w:firstLine="640" w:firstLineChars="200"/>
        <w:rPr>
          <w:rFonts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lang w:val="zh-CN"/>
          <w14:textFill>
            <w14:solidFill>
              <w14:schemeClr w14:val="tx1"/>
            </w14:solidFill>
          </w14:textFill>
        </w:rPr>
        <w:t>加强财政安全生产预防及应急相关资金使用管理，根据财力状况设立应急管理和安全生产专项资金，按照事权与支出责任相适应的原则，完善财政、金融、信贷等政策，加快工程项目实施。强化政府引导，促进优势要素合理流动和有效配置，努力消除地区和城乡差异，拓宽规划多元投入保障渠道。</w:t>
      </w:r>
    </w:p>
    <w:p>
      <w:pPr>
        <w:pStyle w:val="23"/>
        <w:pageBreakBefore w:val="0"/>
        <w:widowControl w:val="0"/>
        <w:kinsoku/>
        <w:wordWrap/>
        <w:overflowPunct/>
        <w:topLinePunct w:val="0"/>
        <w:bidi w:val="0"/>
        <w:spacing w:before="0" w:beforeAutospacing="0" w:after="0" w:afterAutospacing="0" w:line="600" w:lineRule="exact"/>
        <w:ind w:left="0" w:leftChars="0" w:firstLine="643" w:firstLineChars="200"/>
        <w:outlineLvl w:val="1"/>
        <w:rPr>
          <w:rFonts w:ascii="Times New Roman" w:hAnsi="Times New Roman" w:eastAsia="楷体_GB2312" w:cs="Times New Roman"/>
          <w:b/>
          <w:color w:val="000000" w:themeColor="text1"/>
          <w:spacing w:val="0"/>
          <w:sz w:val="32"/>
          <w:szCs w:val="32"/>
          <w14:textFill>
            <w14:solidFill>
              <w14:schemeClr w14:val="tx1"/>
            </w14:solidFill>
          </w14:textFill>
        </w:rPr>
      </w:pPr>
      <w:bookmarkStart w:id="156" w:name="_Toc448933358"/>
      <w:bookmarkStart w:id="157" w:name="_Toc448912533"/>
      <w:bookmarkStart w:id="158" w:name="_Toc453946028"/>
      <w:bookmarkStart w:id="159" w:name="_Toc16786"/>
      <w:bookmarkStart w:id="160" w:name="_Toc448933422"/>
      <w:bookmarkStart w:id="161" w:name="_Toc452966608"/>
      <w:bookmarkStart w:id="162" w:name="_Toc452471837"/>
      <w:bookmarkStart w:id="163" w:name="_Toc334596863_WPSOffice_Level2"/>
      <w:r>
        <w:rPr>
          <w:rFonts w:ascii="Times New Roman" w:hAnsi="Times New Roman" w:eastAsia="楷体_GB2312" w:cs="Times New Roman"/>
          <w:b/>
          <w:color w:val="000000" w:themeColor="text1"/>
          <w:spacing w:val="0"/>
          <w:sz w:val="32"/>
          <w:szCs w:val="32"/>
          <w14:textFill>
            <w14:solidFill>
              <w14:schemeClr w14:val="tx1"/>
            </w14:solidFill>
          </w14:textFill>
        </w:rPr>
        <w:t>（三）</w:t>
      </w:r>
      <w:bookmarkEnd w:id="156"/>
      <w:bookmarkEnd w:id="157"/>
      <w:bookmarkEnd w:id="158"/>
      <w:bookmarkEnd w:id="159"/>
      <w:bookmarkEnd w:id="160"/>
      <w:bookmarkEnd w:id="161"/>
      <w:bookmarkEnd w:id="162"/>
      <w:bookmarkStart w:id="164" w:name="_Toc448933359"/>
      <w:bookmarkStart w:id="165" w:name="_Toc7224"/>
      <w:bookmarkStart w:id="166" w:name="_Toc452471838"/>
      <w:bookmarkStart w:id="167" w:name="_Toc452966609"/>
      <w:bookmarkStart w:id="168" w:name="_Toc448912534"/>
      <w:bookmarkStart w:id="169" w:name="_Toc448933423"/>
      <w:bookmarkStart w:id="170" w:name="_Toc453946029"/>
      <w:r>
        <w:rPr>
          <w:rFonts w:ascii="Times New Roman" w:hAnsi="Times New Roman" w:eastAsia="楷体_GB2312" w:cs="Times New Roman"/>
          <w:b/>
          <w:color w:val="000000" w:themeColor="text1"/>
          <w:spacing w:val="0"/>
          <w:sz w:val="32"/>
          <w:szCs w:val="32"/>
          <w14:textFill>
            <w14:solidFill>
              <w14:schemeClr w14:val="tx1"/>
            </w14:solidFill>
          </w14:textFill>
        </w:rPr>
        <w:t>加强</w:t>
      </w:r>
      <w:r>
        <w:rPr>
          <w:rFonts w:hint="eastAsia" w:eastAsia="楷体_GB2312" w:cs="Times New Roman"/>
          <w:b/>
          <w:color w:val="000000" w:themeColor="text1"/>
          <w:spacing w:val="0"/>
          <w:sz w:val="32"/>
          <w:szCs w:val="32"/>
          <w14:textFill>
            <w14:solidFill>
              <w14:schemeClr w14:val="tx1"/>
            </w14:solidFill>
          </w14:textFill>
        </w:rPr>
        <w:t>评估</w:t>
      </w:r>
      <w:r>
        <w:rPr>
          <w:rFonts w:ascii="Times New Roman" w:hAnsi="Times New Roman" w:eastAsia="楷体_GB2312" w:cs="Times New Roman"/>
          <w:b/>
          <w:color w:val="000000" w:themeColor="text1"/>
          <w:spacing w:val="0"/>
          <w:sz w:val="32"/>
          <w:szCs w:val="32"/>
          <w14:textFill>
            <w14:solidFill>
              <w14:schemeClr w14:val="tx1"/>
            </w14:solidFill>
          </w14:textFill>
        </w:rPr>
        <w:t>考核</w:t>
      </w:r>
      <w:bookmarkEnd w:id="163"/>
      <w:bookmarkEnd w:id="164"/>
      <w:bookmarkEnd w:id="165"/>
      <w:bookmarkEnd w:id="166"/>
      <w:bookmarkEnd w:id="167"/>
      <w:bookmarkEnd w:id="168"/>
      <w:bookmarkEnd w:id="169"/>
      <w:bookmarkEnd w:id="170"/>
    </w:p>
    <w:p>
      <w:pPr>
        <w:pageBreakBefore w:val="0"/>
        <w:kinsoku/>
        <w:wordWrap/>
        <w:overflowPunct/>
        <w:topLinePunct w:val="0"/>
        <w:autoSpaceDE w:val="0"/>
        <w:autoSpaceDN w:val="0"/>
        <w:bidi w:val="0"/>
        <w:adjustRightInd w:val="0"/>
        <w:spacing w:beforeAutospacing="0" w:line="600" w:lineRule="exact"/>
        <w:ind w:left="0" w:leftChars="0" w:firstLine="640" w:firstLineChars="200"/>
        <w:rPr>
          <w:rFonts w:ascii="仿宋" w:hAnsi="仿宋" w:eastAsia="仿宋" w:cs="仿宋"/>
          <w:color w:val="000000" w:themeColor="text1"/>
          <w:kern w:val="0"/>
          <w:sz w:val="32"/>
          <w:szCs w:val="32"/>
          <w:lang w:val="zh-CN"/>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各乡（镇）、各县直部门要将规划实施与经济社会发展各项工作同部署、同推进、同考核，建立严密有效的制度保障，实施严格细致的监督检查。完善推进规划实施、推动重点工程建设、促进应急管理体系建设的绩效考核体系。</w:t>
      </w:r>
      <w:r>
        <w:rPr>
          <w:rFonts w:hint="eastAsia" w:ascii="仿宋" w:hAnsi="仿宋" w:eastAsia="仿宋" w:cs="仿宋"/>
          <w:color w:val="000000" w:themeColor="text1"/>
          <w:kern w:val="0"/>
          <w:sz w:val="32"/>
          <w:szCs w:val="32"/>
          <w:lang w:val="zh-CN"/>
          <w14:textFill>
            <w14:solidFill>
              <w14:schemeClr w14:val="tx1"/>
            </w14:solidFill>
          </w14:textFill>
        </w:rPr>
        <w:t>县</w:t>
      </w:r>
      <w:r>
        <w:rPr>
          <w:rFonts w:hint="eastAsia" w:ascii="仿宋" w:hAnsi="仿宋" w:eastAsia="仿宋" w:cs="仿宋"/>
          <w:color w:val="000000" w:themeColor="text1"/>
          <w:kern w:val="0"/>
          <w:sz w:val="32"/>
          <w:szCs w:val="32"/>
          <w14:textFill>
            <w14:solidFill>
              <w14:schemeClr w14:val="tx1"/>
            </w14:solidFill>
          </w14:textFill>
        </w:rPr>
        <w:t>政府将</w:t>
      </w:r>
      <w:r>
        <w:rPr>
          <w:rFonts w:hint="eastAsia" w:ascii="仿宋" w:hAnsi="仿宋" w:eastAsia="仿宋" w:cs="仿宋"/>
          <w:color w:val="000000" w:themeColor="text1"/>
          <w:kern w:val="0"/>
          <w:sz w:val="32"/>
          <w:szCs w:val="32"/>
          <w:lang w:val="zh-CN"/>
          <w14:textFill>
            <w14:solidFill>
              <w14:schemeClr w14:val="tx1"/>
            </w14:solidFill>
          </w14:textFill>
        </w:rPr>
        <w:t>在20</w:t>
      </w:r>
      <w:r>
        <w:rPr>
          <w:rFonts w:hint="eastAsia" w:ascii="仿宋" w:hAnsi="仿宋" w:eastAsia="仿宋" w:cs="仿宋"/>
          <w:color w:val="000000" w:themeColor="text1"/>
          <w:kern w:val="0"/>
          <w:sz w:val="32"/>
          <w:szCs w:val="32"/>
          <w14:textFill>
            <w14:solidFill>
              <w14:schemeClr w14:val="tx1"/>
            </w14:solidFill>
          </w14:textFill>
        </w:rPr>
        <w:t>23</w:t>
      </w:r>
      <w:r>
        <w:rPr>
          <w:rFonts w:hint="eastAsia" w:ascii="仿宋" w:hAnsi="仿宋" w:eastAsia="仿宋" w:cs="仿宋"/>
          <w:color w:val="000000" w:themeColor="text1"/>
          <w:kern w:val="0"/>
          <w:sz w:val="32"/>
          <w:szCs w:val="32"/>
          <w:lang w:val="zh-CN"/>
          <w14:textFill>
            <w14:solidFill>
              <w14:schemeClr w14:val="tx1"/>
            </w14:solidFill>
          </w14:textFill>
        </w:rPr>
        <w:t>年</w:t>
      </w:r>
      <w:r>
        <w:rPr>
          <w:rFonts w:hint="eastAsia" w:ascii="仿宋" w:hAnsi="仿宋" w:eastAsia="仿宋" w:cs="仿宋"/>
          <w:color w:val="000000" w:themeColor="text1"/>
          <w:kern w:val="0"/>
          <w:sz w:val="32"/>
          <w:szCs w:val="32"/>
          <w14:textFill>
            <w14:solidFill>
              <w14:schemeClr w14:val="tx1"/>
            </w14:solidFill>
          </w14:textFill>
        </w:rPr>
        <w:t>组织</w:t>
      </w:r>
      <w:r>
        <w:rPr>
          <w:rFonts w:hint="eastAsia" w:ascii="仿宋" w:hAnsi="仿宋" w:eastAsia="仿宋" w:cs="仿宋"/>
          <w:color w:val="000000" w:themeColor="text1"/>
          <w:kern w:val="0"/>
          <w:sz w:val="32"/>
          <w:szCs w:val="32"/>
          <w:lang w:val="zh-CN"/>
          <w14:textFill>
            <w14:solidFill>
              <w14:schemeClr w14:val="tx1"/>
            </w14:solidFill>
          </w14:textFill>
        </w:rPr>
        <w:t>开展规划中期评估，并根据评估结果，及时对规划范围、主要目标、重点任务进行动态调整，优化政策措施和实施方案；在202</w:t>
      </w:r>
      <w:r>
        <w:rPr>
          <w:rFonts w:hint="eastAsia" w:ascii="仿宋" w:hAnsi="仿宋" w:eastAsia="仿宋" w:cs="仿宋"/>
          <w:color w:val="000000" w:themeColor="text1"/>
          <w:kern w:val="0"/>
          <w:sz w:val="32"/>
          <w:szCs w:val="32"/>
          <w14:textFill>
            <w14:solidFill>
              <w14:schemeClr w14:val="tx1"/>
            </w14:solidFill>
          </w14:textFill>
        </w:rPr>
        <w:t>5</w:t>
      </w:r>
      <w:r>
        <w:rPr>
          <w:rFonts w:hint="eastAsia" w:ascii="仿宋" w:hAnsi="仿宋" w:eastAsia="仿宋" w:cs="仿宋"/>
          <w:color w:val="000000" w:themeColor="text1"/>
          <w:kern w:val="0"/>
          <w:sz w:val="32"/>
          <w:szCs w:val="32"/>
          <w:lang w:val="zh-CN"/>
          <w14:textFill>
            <w14:solidFill>
              <w14:schemeClr w14:val="tx1"/>
            </w14:solidFill>
          </w14:textFill>
        </w:rPr>
        <w:t>年对规划最终实施情况进行评估并向社会公布结果。</w:t>
      </w:r>
    </w:p>
    <w:p>
      <w:pPr>
        <w:pageBreakBefore w:val="0"/>
        <w:kinsoku/>
        <w:wordWrap/>
        <w:overflowPunct/>
        <w:topLinePunct w:val="0"/>
        <w:bidi w:val="0"/>
        <w:spacing w:beforeAutospacing="0" w:line="600" w:lineRule="exact"/>
        <w:ind w:left="0" w:leftChars="0" w:firstLine="720" w:firstLineChars="200"/>
        <w:rPr>
          <w:rFonts w:ascii="仿宋_GB2312" w:hAnsi="仿宋_GB2312" w:eastAsia="仿宋_GB2312" w:cs="仿宋_GB2312"/>
          <w:sz w:val="36"/>
          <w:szCs w:val="36"/>
        </w:rPr>
      </w:pPr>
    </w:p>
    <w:sectPr>
      <w:footerReference r:id="rId3" w:type="default"/>
      <w:pgSz w:w="11906" w:h="16838"/>
      <w:pgMar w:top="1440" w:right="1800" w:bottom="1440" w:left="1800" w:header="851" w:footer="93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roman"/>
    <w:pitch w:val="default"/>
    <w:sig w:usb0="00000000" w:usb1="00000000" w:usb2="00000000" w:usb3="00000000" w:csb0="00040000" w:csb1="00000000"/>
  </w:font>
  <w:font w:name="ˎ̥">
    <w:altName w:val="锐字巅峰粗黑简1.0"/>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roman"/>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字体">
    <w:altName w:val="仿宋"/>
    <w:panose1 w:val="00000000000000000000"/>
    <w:charset w:val="86"/>
    <w:family w:val="auto"/>
    <w:pitch w:val="default"/>
    <w:sig w:usb0="00000000" w:usb1="00000000" w:usb2="00000000" w:usb3="00000000" w:csb0="0004009F" w:csb1="DFD70000"/>
  </w:font>
  <w:font w:name="锐字巅峰粗黑简1.0">
    <w:panose1 w:val="02000500000000000000"/>
    <w:charset w:val="86"/>
    <w:family w:val="auto"/>
    <w:pitch w:val="default"/>
    <w:sig w:usb0="800002BF" w:usb1="184F6CFA"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55922"/>
    </w:sdtPr>
    <w:sdtContent>
      <w:p>
        <w:pPr>
          <w:pStyle w:val="14"/>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26</w:t>
        </w:r>
        <w:r>
          <w:rPr>
            <w:rFonts w:hint="eastAsia" w:ascii="宋体" w:hAnsi="宋体" w:cs="宋体"/>
            <w:sz w:val="28"/>
            <w:szCs w:val="28"/>
          </w:rP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MmU3OGFjZTAyOTEzOWY1YjIxYTk5YWQzMDY0YmYifQ=="/>
  </w:docVars>
  <w:rsids>
    <w:rsidRoot w:val="00D8045F"/>
    <w:rsid w:val="00000AF2"/>
    <w:rsid w:val="00003CD2"/>
    <w:rsid w:val="00004FEF"/>
    <w:rsid w:val="00011289"/>
    <w:rsid w:val="0001288D"/>
    <w:rsid w:val="00015A6B"/>
    <w:rsid w:val="00027405"/>
    <w:rsid w:val="00037554"/>
    <w:rsid w:val="00037F41"/>
    <w:rsid w:val="00040428"/>
    <w:rsid w:val="000440CC"/>
    <w:rsid w:val="00051F21"/>
    <w:rsid w:val="00052869"/>
    <w:rsid w:val="0005492C"/>
    <w:rsid w:val="0006347C"/>
    <w:rsid w:val="000642F3"/>
    <w:rsid w:val="00070757"/>
    <w:rsid w:val="00077362"/>
    <w:rsid w:val="00083737"/>
    <w:rsid w:val="00083C8B"/>
    <w:rsid w:val="000905C2"/>
    <w:rsid w:val="0009297D"/>
    <w:rsid w:val="00095A6C"/>
    <w:rsid w:val="000B72B1"/>
    <w:rsid w:val="000D28BB"/>
    <w:rsid w:val="000D2B98"/>
    <w:rsid w:val="000E6CCA"/>
    <w:rsid w:val="000F05BF"/>
    <w:rsid w:val="0010282F"/>
    <w:rsid w:val="001117BD"/>
    <w:rsid w:val="00122C4F"/>
    <w:rsid w:val="00130EAD"/>
    <w:rsid w:val="00133DDF"/>
    <w:rsid w:val="00136793"/>
    <w:rsid w:val="001401DA"/>
    <w:rsid w:val="00140C5F"/>
    <w:rsid w:val="00141C6B"/>
    <w:rsid w:val="001504A6"/>
    <w:rsid w:val="0016284C"/>
    <w:rsid w:val="00176A3E"/>
    <w:rsid w:val="001950AC"/>
    <w:rsid w:val="00196CBB"/>
    <w:rsid w:val="001A2330"/>
    <w:rsid w:val="001C136D"/>
    <w:rsid w:val="001D02BE"/>
    <w:rsid w:val="001E2554"/>
    <w:rsid w:val="001E6223"/>
    <w:rsid w:val="001F197C"/>
    <w:rsid w:val="001F2C26"/>
    <w:rsid w:val="001F415C"/>
    <w:rsid w:val="002042AF"/>
    <w:rsid w:val="00212178"/>
    <w:rsid w:val="0021416F"/>
    <w:rsid w:val="00220B39"/>
    <w:rsid w:val="00224C8D"/>
    <w:rsid w:val="00225426"/>
    <w:rsid w:val="00227252"/>
    <w:rsid w:val="00237E66"/>
    <w:rsid w:val="00247F57"/>
    <w:rsid w:val="0025575A"/>
    <w:rsid w:val="0025645B"/>
    <w:rsid w:val="0027509C"/>
    <w:rsid w:val="002807C2"/>
    <w:rsid w:val="002846D7"/>
    <w:rsid w:val="00285CC1"/>
    <w:rsid w:val="00286EA3"/>
    <w:rsid w:val="00293E28"/>
    <w:rsid w:val="00295454"/>
    <w:rsid w:val="002969FB"/>
    <w:rsid w:val="002A199C"/>
    <w:rsid w:val="002A2194"/>
    <w:rsid w:val="002A365E"/>
    <w:rsid w:val="002A581C"/>
    <w:rsid w:val="002B0A9D"/>
    <w:rsid w:val="002B0B71"/>
    <w:rsid w:val="002B3FE9"/>
    <w:rsid w:val="002B4A2D"/>
    <w:rsid w:val="002C4040"/>
    <w:rsid w:val="002C6A31"/>
    <w:rsid w:val="002D0286"/>
    <w:rsid w:val="002D1963"/>
    <w:rsid w:val="002D71C1"/>
    <w:rsid w:val="002E1279"/>
    <w:rsid w:val="002E7DB3"/>
    <w:rsid w:val="002F21C3"/>
    <w:rsid w:val="002F5D89"/>
    <w:rsid w:val="00304BA3"/>
    <w:rsid w:val="00306086"/>
    <w:rsid w:val="003065B4"/>
    <w:rsid w:val="00307730"/>
    <w:rsid w:val="0031038B"/>
    <w:rsid w:val="00321D4C"/>
    <w:rsid w:val="00327920"/>
    <w:rsid w:val="003316E1"/>
    <w:rsid w:val="00332356"/>
    <w:rsid w:val="003338B7"/>
    <w:rsid w:val="0033596A"/>
    <w:rsid w:val="00335B94"/>
    <w:rsid w:val="00346D5C"/>
    <w:rsid w:val="00352475"/>
    <w:rsid w:val="00352879"/>
    <w:rsid w:val="00365BA0"/>
    <w:rsid w:val="00366149"/>
    <w:rsid w:val="0036751A"/>
    <w:rsid w:val="00380DF1"/>
    <w:rsid w:val="0038138C"/>
    <w:rsid w:val="003863D2"/>
    <w:rsid w:val="003A4CA9"/>
    <w:rsid w:val="003B0579"/>
    <w:rsid w:val="003B0B77"/>
    <w:rsid w:val="003B1B08"/>
    <w:rsid w:val="003C12FB"/>
    <w:rsid w:val="003C29A5"/>
    <w:rsid w:val="003C476E"/>
    <w:rsid w:val="003D121A"/>
    <w:rsid w:val="003E3594"/>
    <w:rsid w:val="003E37E5"/>
    <w:rsid w:val="003F399B"/>
    <w:rsid w:val="004030C7"/>
    <w:rsid w:val="00403568"/>
    <w:rsid w:val="00407489"/>
    <w:rsid w:val="00411C8F"/>
    <w:rsid w:val="00423BD4"/>
    <w:rsid w:val="004273F7"/>
    <w:rsid w:val="00427417"/>
    <w:rsid w:val="004307B3"/>
    <w:rsid w:val="00431201"/>
    <w:rsid w:val="0043131E"/>
    <w:rsid w:val="004349F5"/>
    <w:rsid w:val="00441453"/>
    <w:rsid w:val="004460A7"/>
    <w:rsid w:val="00446EE1"/>
    <w:rsid w:val="00456C1B"/>
    <w:rsid w:val="00470EF9"/>
    <w:rsid w:val="004713A7"/>
    <w:rsid w:val="004720C2"/>
    <w:rsid w:val="004818AD"/>
    <w:rsid w:val="0049255A"/>
    <w:rsid w:val="004943FF"/>
    <w:rsid w:val="00497963"/>
    <w:rsid w:val="004A2AE6"/>
    <w:rsid w:val="004A2B18"/>
    <w:rsid w:val="004A3507"/>
    <w:rsid w:val="004A5C82"/>
    <w:rsid w:val="004B02DF"/>
    <w:rsid w:val="004B5B05"/>
    <w:rsid w:val="004D4C41"/>
    <w:rsid w:val="004D7BE8"/>
    <w:rsid w:val="004E20E8"/>
    <w:rsid w:val="004F6FBF"/>
    <w:rsid w:val="004F7264"/>
    <w:rsid w:val="004F7C18"/>
    <w:rsid w:val="0050351F"/>
    <w:rsid w:val="00504122"/>
    <w:rsid w:val="005218DF"/>
    <w:rsid w:val="0052516E"/>
    <w:rsid w:val="00533B6F"/>
    <w:rsid w:val="00542D9B"/>
    <w:rsid w:val="00545EAF"/>
    <w:rsid w:val="00562D89"/>
    <w:rsid w:val="0056507B"/>
    <w:rsid w:val="0056667F"/>
    <w:rsid w:val="00581685"/>
    <w:rsid w:val="00591496"/>
    <w:rsid w:val="00594ADE"/>
    <w:rsid w:val="00596754"/>
    <w:rsid w:val="005B1B62"/>
    <w:rsid w:val="005B228A"/>
    <w:rsid w:val="005C0C9B"/>
    <w:rsid w:val="005D2F68"/>
    <w:rsid w:val="005F2114"/>
    <w:rsid w:val="00607380"/>
    <w:rsid w:val="00610EAF"/>
    <w:rsid w:val="006159E2"/>
    <w:rsid w:val="00621443"/>
    <w:rsid w:val="006252C1"/>
    <w:rsid w:val="006264E9"/>
    <w:rsid w:val="00633F45"/>
    <w:rsid w:val="00646453"/>
    <w:rsid w:val="00653800"/>
    <w:rsid w:val="0065669F"/>
    <w:rsid w:val="00662D81"/>
    <w:rsid w:val="0066515D"/>
    <w:rsid w:val="00667015"/>
    <w:rsid w:val="00677387"/>
    <w:rsid w:val="00690C0B"/>
    <w:rsid w:val="00693000"/>
    <w:rsid w:val="00696F11"/>
    <w:rsid w:val="00697B5B"/>
    <w:rsid w:val="006A5EB3"/>
    <w:rsid w:val="006B0B5E"/>
    <w:rsid w:val="006B3BBA"/>
    <w:rsid w:val="006C23D8"/>
    <w:rsid w:val="006C2C4E"/>
    <w:rsid w:val="006C46B0"/>
    <w:rsid w:val="006C515C"/>
    <w:rsid w:val="006D1619"/>
    <w:rsid w:val="006D26E6"/>
    <w:rsid w:val="006D49BF"/>
    <w:rsid w:val="006E0651"/>
    <w:rsid w:val="007071D2"/>
    <w:rsid w:val="00707F29"/>
    <w:rsid w:val="00710532"/>
    <w:rsid w:val="007142ED"/>
    <w:rsid w:val="007243D8"/>
    <w:rsid w:val="007360CF"/>
    <w:rsid w:val="00737388"/>
    <w:rsid w:val="007402BA"/>
    <w:rsid w:val="007464AF"/>
    <w:rsid w:val="007465A0"/>
    <w:rsid w:val="00746603"/>
    <w:rsid w:val="00751520"/>
    <w:rsid w:val="007572A0"/>
    <w:rsid w:val="00762C4C"/>
    <w:rsid w:val="00764357"/>
    <w:rsid w:val="0078386D"/>
    <w:rsid w:val="007A34EB"/>
    <w:rsid w:val="007A3B59"/>
    <w:rsid w:val="007A535B"/>
    <w:rsid w:val="007C2BC0"/>
    <w:rsid w:val="007D3204"/>
    <w:rsid w:val="007D395A"/>
    <w:rsid w:val="007E21AE"/>
    <w:rsid w:val="007E4FB3"/>
    <w:rsid w:val="007E6B5A"/>
    <w:rsid w:val="007E7523"/>
    <w:rsid w:val="007F45F8"/>
    <w:rsid w:val="007F5C2D"/>
    <w:rsid w:val="00803706"/>
    <w:rsid w:val="00820513"/>
    <w:rsid w:val="00826389"/>
    <w:rsid w:val="00833D40"/>
    <w:rsid w:val="00835D5F"/>
    <w:rsid w:val="00835F05"/>
    <w:rsid w:val="00837CD3"/>
    <w:rsid w:val="00865610"/>
    <w:rsid w:val="00866889"/>
    <w:rsid w:val="0087110C"/>
    <w:rsid w:val="008757BD"/>
    <w:rsid w:val="0088170A"/>
    <w:rsid w:val="008A7292"/>
    <w:rsid w:val="008B0CF0"/>
    <w:rsid w:val="008B2901"/>
    <w:rsid w:val="008B7C41"/>
    <w:rsid w:val="008C6D79"/>
    <w:rsid w:val="008D5C32"/>
    <w:rsid w:val="008E1D77"/>
    <w:rsid w:val="008E2F2E"/>
    <w:rsid w:val="00906427"/>
    <w:rsid w:val="00906B4C"/>
    <w:rsid w:val="009129FC"/>
    <w:rsid w:val="00915E2D"/>
    <w:rsid w:val="009168AE"/>
    <w:rsid w:val="00924AF2"/>
    <w:rsid w:val="0094289D"/>
    <w:rsid w:val="00950BF7"/>
    <w:rsid w:val="00952218"/>
    <w:rsid w:val="00965FC2"/>
    <w:rsid w:val="00970D28"/>
    <w:rsid w:val="00977BCD"/>
    <w:rsid w:val="009910D1"/>
    <w:rsid w:val="009923C5"/>
    <w:rsid w:val="00993545"/>
    <w:rsid w:val="009A19DA"/>
    <w:rsid w:val="009B6D7A"/>
    <w:rsid w:val="009C1437"/>
    <w:rsid w:val="009D54A4"/>
    <w:rsid w:val="009D7FE9"/>
    <w:rsid w:val="009E1E56"/>
    <w:rsid w:val="009F1C43"/>
    <w:rsid w:val="009F4BF6"/>
    <w:rsid w:val="009F5359"/>
    <w:rsid w:val="009F70A7"/>
    <w:rsid w:val="00A02DBD"/>
    <w:rsid w:val="00A02EBD"/>
    <w:rsid w:val="00A035BE"/>
    <w:rsid w:val="00A07D50"/>
    <w:rsid w:val="00A10E6A"/>
    <w:rsid w:val="00A15393"/>
    <w:rsid w:val="00A15545"/>
    <w:rsid w:val="00A1690A"/>
    <w:rsid w:val="00A17109"/>
    <w:rsid w:val="00A47993"/>
    <w:rsid w:val="00A50467"/>
    <w:rsid w:val="00A57285"/>
    <w:rsid w:val="00A6029C"/>
    <w:rsid w:val="00A721A8"/>
    <w:rsid w:val="00A979AF"/>
    <w:rsid w:val="00AA03E3"/>
    <w:rsid w:val="00AC47F5"/>
    <w:rsid w:val="00AD33CE"/>
    <w:rsid w:val="00AD3536"/>
    <w:rsid w:val="00AD47A9"/>
    <w:rsid w:val="00AD582A"/>
    <w:rsid w:val="00AE00F7"/>
    <w:rsid w:val="00AE2303"/>
    <w:rsid w:val="00AE3946"/>
    <w:rsid w:val="00AE3F48"/>
    <w:rsid w:val="00AE50C9"/>
    <w:rsid w:val="00AF3DAA"/>
    <w:rsid w:val="00B06E7A"/>
    <w:rsid w:val="00B06F4E"/>
    <w:rsid w:val="00B2070D"/>
    <w:rsid w:val="00B23496"/>
    <w:rsid w:val="00B24D5B"/>
    <w:rsid w:val="00B318DF"/>
    <w:rsid w:val="00B32CB0"/>
    <w:rsid w:val="00B33057"/>
    <w:rsid w:val="00B476AF"/>
    <w:rsid w:val="00B51165"/>
    <w:rsid w:val="00B5204D"/>
    <w:rsid w:val="00B5284A"/>
    <w:rsid w:val="00B6280A"/>
    <w:rsid w:val="00B75B93"/>
    <w:rsid w:val="00B773DC"/>
    <w:rsid w:val="00B80A63"/>
    <w:rsid w:val="00B825C8"/>
    <w:rsid w:val="00B835D3"/>
    <w:rsid w:val="00BA66BD"/>
    <w:rsid w:val="00BC3B80"/>
    <w:rsid w:val="00BC4687"/>
    <w:rsid w:val="00BD6889"/>
    <w:rsid w:val="00BD78B0"/>
    <w:rsid w:val="00BE34C0"/>
    <w:rsid w:val="00BE7700"/>
    <w:rsid w:val="00C07A5E"/>
    <w:rsid w:val="00C109BA"/>
    <w:rsid w:val="00C10F9F"/>
    <w:rsid w:val="00C325CC"/>
    <w:rsid w:val="00C4330D"/>
    <w:rsid w:val="00C46031"/>
    <w:rsid w:val="00C46717"/>
    <w:rsid w:val="00C520BC"/>
    <w:rsid w:val="00C53BB7"/>
    <w:rsid w:val="00C603C2"/>
    <w:rsid w:val="00C7249C"/>
    <w:rsid w:val="00C77EFB"/>
    <w:rsid w:val="00C83BA2"/>
    <w:rsid w:val="00C94D80"/>
    <w:rsid w:val="00CA7EC9"/>
    <w:rsid w:val="00CB3264"/>
    <w:rsid w:val="00CB549B"/>
    <w:rsid w:val="00CB769E"/>
    <w:rsid w:val="00CC362B"/>
    <w:rsid w:val="00CC61A7"/>
    <w:rsid w:val="00CC7997"/>
    <w:rsid w:val="00CD45E1"/>
    <w:rsid w:val="00CD6F0A"/>
    <w:rsid w:val="00CE0820"/>
    <w:rsid w:val="00CF1919"/>
    <w:rsid w:val="00CF2F92"/>
    <w:rsid w:val="00D04E27"/>
    <w:rsid w:val="00D16AE9"/>
    <w:rsid w:val="00D24DC8"/>
    <w:rsid w:val="00D436A9"/>
    <w:rsid w:val="00D456B3"/>
    <w:rsid w:val="00D46A4A"/>
    <w:rsid w:val="00D4776D"/>
    <w:rsid w:val="00D518EF"/>
    <w:rsid w:val="00D5212B"/>
    <w:rsid w:val="00D61383"/>
    <w:rsid w:val="00D72772"/>
    <w:rsid w:val="00D75C6F"/>
    <w:rsid w:val="00D8045F"/>
    <w:rsid w:val="00D84628"/>
    <w:rsid w:val="00D8558C"/>
    <w:rsid w:val="00D85599"/>
    <w:rsid w:val="00D8694B"/>
    <w:rsid w:val="00DA37F0"/>
    <w:rsid w:val="00DA426E"/>
    <w:rsid w:val="00DB1ECA"/>
    <w:rsid w:val="00DC171A"/>
    <w:rsid w:val="00DD3D3C"/>
    <w:rsid w:val="00DE1E7C"/>
    <w:rsid w:val="00DE4FAF"/>
    <w:rsid w:val="00DE6CD3"/>
    <w:rsid w:val="00E04D2D"/>
    <w:rsid w:val="00E05215"/>
    <w:rsid w:val="00E06781"/>
    <w:rsid w:val="00E200AC"/>
    <w:rsid w:val="00E206EF"/>
    <w:rsid w:val="00E20B2D"/>
    <w:rsid w:val="00E24828"/>
    <w:rsid w:val="00E321B6"/>
    <w:rsid w:val="00E359AE"/>
    <w:rsid w:val="00E556D3"/>
    <w:rsid w:val="00E74AF0"/>
    <w:rsid w:val="00E845BB"/>
    <w:rsid w:val="00E97146"/>
    <w:rsid w:val="00EA18AB"/>
    <w:rsid w:val="00EB1EC1"/>
    <w:rsid w:val="00EB4739"/>
    <w:rsid w:val="00EB711B"/>
    <w:rsid w:val="00EC4237"/>
    <w:rsid w:val="00EE73F5"/>
    <w:rsid w:val="00EE745E"/>
    <w:rsid w:val="00EF160B"/>
    <w:rsid w:val="00EF2569"/>
    <w:rsid w:val="00F019C7"/>
    <w:rsid w:val="00F02054"/>
    <w:rsid w:val="00F145BB"/>
    <w:rsid w:val="00F23F23"/>
    <w:rsid w:val="00F40427"/>
    <w:rsid w:val="00F432CA"/>
    <w:rsid w:val="00F461F8"/>
    <w:rsid w:val="00F50630"/>
    <w:rsid w:val="00F617E6"/>
    <w:rsid w:val="00F63BE6"/>
    <w:rsid w:val="00F661DB"/>
    <w:rsid w:val="00F92EE8"/>
    <w:rsid w:val="00FB2DA9"/>
    <w:rsid w:val="00FC340D"/>
    <w:rsid w:val="00FC4326"/>
    <w:rsid w:val="00FD28C4"/>
    <w:rsid w:val="00FD70AD"/>
    <w:rsid w:val="00FE483A"/>
    <w:rsid w:val="00FF1F19"/>
    <w:rsid w:val="00FF34BF"/>
    <w:rsid w:val="0147143B"/>
    <w:rsid w:val="025E4C0E"/>
    <w:rsid w:val="029053C8"/>
    <w:rsid w:val="02A12395"/>
    <w:rsid w:val="02B86D33"/>
    <w:rsid w:val="037B6451"/>
    <w:rsid w:val="03DE1037"/>
    <w:rsid w:val="041F5EE5"/>
    <w:rsid w:val="045A128F"/>
    <w:rsid w:val="04601B2C"/>
    <w:rsid w:val="046262B7"/>
    <w:rsid w:val="05663F59"/>
    <w:rsid w:val="05921D34"/>
    <w:rsid w:val="05E42857"/>
    <w:rsid w:val="062A5CAE"/>
    <w:rsid w:val="07113525"/>
    <w:rsid w:val="076556B0"/>
    <w:rsid w:val="07843BFC"/>
    <w:rsid w:val="07EA6EA0"/>
    <w:rsid w:val="08080444"/>
    <w:rsid w:val="08295346"/>
    <w:rsid w:val="0837248D"/>
    <w:rsid w:val="086B4D26"/>
    <w:rsid w:val="08717722"/>
    <w:rsid w:val="0885312B"/>
    <w:rsid w:val="08993F66"/>
    <w:rsid w:val="08E53248"/>
    <w:rsid w:val="0A6266E1"/>
    <w:rsid w:val="0A791979"/>
    <w:rsid w:val="0B1311CA"/>
    <w:rsid w:val="0B3B23A2"/>
    <w:rsid w:val="0B4802C7"/>
    <w:rsid w:val="0B5602D0"/>
    <w:rsid w:val="0B5E6540"/>
    <w:rsid w:val="0B792CF0"/>
    <w:rsid w:val="0C555D82"/>
    <w:rsid w:val="0CDC036E"/>
    <w:rsid w:val="0D874A64"/>
    <w:rsid w:val="0DCE462F"/>
    <w:rsid w:val="0E432290"/>
    <w:rsid w:val="0E873A80"/>
    <w:rsid w:val="0EDC4791"/>
    <w:rsid w:val="0EF0545B"/>
    <w:rsid w:val="0F3FAA87"/>
    <w:rsid w:val="0F4B4AD7"/>
    <w:rsid w:val="0FB43512"/>
    <w:rsid w:val="106F3F94"/>
    <w:rsid w:val="10B65CD9"/>
    <w:rsid w:val="10D152F4"/>
    <w:rsid w:val="110F0475"/>
    <w:rsid w:val="113D73B3"/>
    <w:rsid w:val="11504232"/>
    <w:rsid w:val="11A55DAF"/>
    <w:rsid w:val="11E94B97"/>
    <w:rsid w:val="12DA2962"/>
    <w:rsid w:val="134B1E5A"/>
    <w:rsid w:val="13A50B6A"/>
    <w:rsid w:val="13BF7D3D"/>
    <w:rsid w:val="13FB7B31"/>
    <w:rsid w:val="143B7633"/>
    <w:rsid w:val="14DC5FE6"/>
    <w:rsid w:val="15210025"/>
    <w:rsid w:val="15214DFF"/>
    <w:rsid w:val="15221214"/>
    <w:rsid w:val="156009C5"/>
    <w:rsid w:val="17037D19"/>
    <w:rsid w:val="172761D3"/>
    <w:rsid w:val="17D7090B"/>
    <w:rsid w:val="17FF220A"/>
    <w:rsid w:val="184D2CC7"/>
    <w:rsid w:val="18901D5D"/>
    <w:rsid w:val="189709F7"/>
    <w:rsid w:val="18B660DF"/>
    <w:rsid w:val="18C3274F"/>
    <w:rsid w:val="18C7470A"/>
    <w:rsid w:val="18E01AA3"/>
    <w:rsid w:val="19177492"/>
    <w:rsid w:val="199873BE"/>
    <w:rsid w:val="19B4669B"/>
    <w:rsid w:val="1A2D09BD"/>
    <w:rsid w:val="1A3343BC"/>
    <w:rsid w:val="1A5013C5"/>
    <w:rsid w:val="1ABB4C15"/>
    <w:rsid w:val="1B4110BD"/>
    <w:rsid w:val="1B915592"/>
    <w:rsid w:val="1BEEBB1B"/>
    <w:rsid w:val="1C4215A9"/>
    <w:rsid w:val="1C425B6B"/>
    <w:rsid w:val="1C50400A"/>
    <w:rsid w:val="1C76663C"/>
    <w:rsid w:val="1CB120C7"/>
    <w:rsid w:val="1CCC187D"/>
    <w:rsid w:val="1D006BA9"/>
    <w:rsid w:val="1D4166FC"/>
    <w:rsid w:val="1D4E6FE9"/>
    <w:rsid w:val="1D5C05BC"/>
    <w:rsid w:val="1D677F84"/>
    <w:rsid w:val="1D982210"/>
    <w:rsid w:val="1DB60CA9"/>
    <w:rsid w:val="1EF01D11"/>
    <w:rsid w:val="1F354CF8"/>
    <w:rsid w:val="1FBB02DD"/>
    <w:rsid w:val="1FD12003"/>
    <w:rsid w:val="2012618B"/>
    <w:rsid w:val="20A86BF6"/>
    <w:rsid w:val="2109437C"/>
    <w:rsid w:val="21711E47"/>
    <w:rsid w:val="221B11B4"/>
    <w:rsid w:val="225D7CA4"/>
    <w:rsid w:val="22711606"/>
    <w:rsid w:val="22B9561F"/>
    <w:rsid w:val="22E745F9"/>
    <w:rsid w:val="230A2A55"/>
    <w:rsid w:val="232B57D5"/>
    <w:rsid w:val="23D15E4B"/>
    <w:rsid w:val="240557DA"/>
    <w:rsid w:val="242025B2"/>
    <w:rsid w:val="24DE577E"/>
    <w:rsid w:val="24E70236"/>
    <w:rsid w:val="24FB029A"/>
    <w:rsid w:val="25567FBF"/>
    <w:rsid w:val="255B0A69"/>
    <w:rsid w:val="25CE461D"/>
    <w:rsid w:val="261A583D"/>
    <w:rsid w:val="26391225"/>
    <w:rsid w:val="26A86404"/>
    <w:rsid w:val="26BB465A"/>
    <w:rsid w:val="26FC2DDE"/>
    <w:rsid w:val="27922E84"/>
    <w:rsid w:val="27AA4EAB"/>
    <w:rsid w:val="27BB6E2F"/>
    <w:rsid w:val="27D4334B"/>
    <w:rsid w:val="27DD22E0"/>
    <w:rsid w:val="28490890"/>
    <w:rsid w:val="28C821E0"/>
    <w:rsid w:val="29092A0E"/>
    <w:rsid w:val="29132B5C"/>
    <w:rsid w:val="298772C1"/>
    <w:rsid w:val="29CD34A0"/>
    <w:rsid w:val="29FB544B"/>
    <w:rsid w:val="2AFC2AE6"/>
    <w:rsid w:val="2B0617B1"/>
    <w:rsid w:val="2BBF4612"/>
    <w:rsid w:val="2BCF35AB"/>
    <w:rsid w:val="2D306ACD"/>
    <w:rsid w:val="2D9B5067"/>
    <w:rsid w:val="2D9C5F9C"/>
    <w:rsid w:val="2DB51A04"/>
    <w:rsid w:val="2E101F19"/>
    <w:rsid w:val="2E2A054E"/>
    <w:rsid w:val="2E542396"/>
    <w:rsid w:val="2ED25F73"/>
    <w:rsid w:val="2F0B3CD2"/>
    <w:rsid w:val="2F3FCA24"/>
    <w:rsid w:val="2FC860A6"/>
    <w:rsid w:val="2FCF332E"/>
    <w:rsid w:val="300F37E4"/>
    <w:rsid w:val="30386286"/>
    <w:rsid w:val="304A6FA1"/>
    <w:rsid w:val="304C1E1A"/>
    <w:rsid w:val="30693B17"/>
    <w:rsid w:val="309123E1"/>
    <w:rsid w:val="310D27FB"/>
    <w:rsid w:val="311A151C"/>
    <w:rsid w:val="31D22364"/>
    <w:rsid w:val="334820A6"/>
    <w:rsid w:val="33AC610D"/>
    <w:rsid w:val="34263506"/>
    <w:rsid w:val="34973274"/>
    <w:rsid w:val="34CF3074"/>
    <w:rsid w:val="356D099D"/>
    <w:rsid w:val="35836F74"/>
    <w:rsid w:val="35F046A2"/>
    <w:rsid w:val="369B50E2"/>
    <w:rsid w:val="369C4559"/>
    <w:rsid w:val="36E6572D"/>
    <w:rsid w:val="36EA4F8F"/>
    <w:rsid w:val="37DB3CC1"/>
    <w:rsid w:val="37F6E0D5"/>
    <w:rsid w:val="38500F29"/>
    <w:rsid w:val="38581742"/>
    <w:rsid w:val="38D656F1"/>
    <w:rsid w:val="38DD08FE"/>
    <w:rsid w:val="38F572DE"/>
    <w:rsid w:val="390E6FDE"/>
    <w:rsid w:val="392C69E9"/>
    <w:rsid w:val="3946411C"/>
    <w:rsid w:val="39473C63"/>
    <w:rsid w:val="3A195CC6"/>
    <w:rsid w:val="3A2933C4"/>
    <w:rsid w:val="3A5E11FA"/>
    <w:rsid w:val="3A6E6382"/>
    <w:rsid w:val="3A75406D"/>
    <w:rsid w:val="3B034422"/>
    <w:rsid w:val="3B6943C2"/>
    <w:rsid w:val="3BB54F4C"/>
    <w:rsid w:val="3BE6156C"/>
    <w:rsid w:val="3BFDF155"/>
    <w:rsid w:val="3C1A54F3"/>
    <w:rsid w:val="3CF56562"/>
    <w:rsid w:val="3CFD8C9F"/>
    <w:rsid w:val="3D670FEB"/>
    <w:rsid w:val="3E3E776A"/>
    <w:rsid w:val="3F7A611C"/>
    <w:rsid w:val="3FB0434B"/>
    <w:rsid w:val="3FDF9905"/>
    <w:rsid w:val="402918F6"/>
    <w:rsid w:val="40CF5115"/>
    <w:rsid w:val="410E3936"/>
    <w:rsid w:val="41112E46"/>
    <w:rsid w:val="41755EFD"/>
    <w:rsid w:val="41943313"/>
    <w:rsid w:val="41977A57"/>
    <w:rsid w:val="41BC7F78"/>
    <w:rsid w:val="41FA2389"/>
    <w:rsid w:val="41FF7665"/>
    <w:rsid w:val="42447AA4"/>
    <w:rsid w:val="424B24F4"/>
    <w:rsid w:val="426363C3"/>
    <w:rsid w:val="42C37445"/>
    <w:rsid w:val="431877E8"/>
    <w:rsid w:val="432825CD"/>
    <w:rsid w:val="43B85546"/>
    <w:rsid w:val="43BE1613"/>
    <w:rsid w:val="44E90E39"/>
    <w:rsid w:val="458730C7"/>
    <w:rsid w:val="45A33FB4"/>
    <w:rsid w:val="460622F0"/>
    <w:rsid w:val="4611016C"/>
    <w:rsid w:val="46513977"/>
    <w:rsid w:val="468942CD"/>
    <w:rsid w:val="46BD1FA7"/>
    <w:rsid w:val="46D227C3"/>
    <w:rsid w:val="474F5ECB"/>
    <w:rsid w:val="47A15B42"/>
    <w:rsid w:val="48112E60"/>
    <w:rsid w:val="48155B62"/>
    <w:rsid w:val="486C4ADB"/>
    <w:rsid w:val="48B260CF"/>
    <w:rsid w:val="48CF43D9"/>
    <w:rsid w:val="492D0975"/>
    <w:rsid w:val="494C637D"/>
    <w:rsid w:val="49D60325"/>
    <w:rsid w:val="4A6429F0"/>
    <w:rsid w:val="4B2F5BC3"/>
    <w:rsid w:val="4B8D7A37"/>
    <w:rsid w:val="4BD65C65"/>
    <w:rsid w:val="4BD73EA9"/>
    <w:rsid w:val="4C592F94"/>
    <w:rsid w:val="4C8B59F2"/>
    <w:rsid w:val="4CDD5DA7"/>
    <w:rsid w:val="4D6909B2"/>
    <w:rsid w:val="4D7E087D"/>
    <w:rsid w:val="4DE60616"/>
    <w:rsid w:val="4DFC6829"/>
    <w:rsid w:val="4F2420B5"/>
    <w:rsid w:val="4F5C198A"/>
    <w:rsid w:val="4FF744A1"/>
    <w:rsid w:val="502618A4"/>
    <w:rsid w:val="50C25C96"/>
    <w:rsid w:val="50E111A5"/>
    <w:rsid w:val="515676EB"/>
    <w:rsid w:val="519F53BA"/>
    <w:rsid w:val="51CD27D9"/>
    <w:rsid w:val="51EE5727"/>
    <w:rsid w:val="52015857"/>
    <w:rsid w:val="5242744E"/>
    <w:rsid w:val="52504A25"/>
    <w:rsid w:val="52712214"/>
    <w:rsid w:val="52B15032"/>
    <w:rsid w:val="52B47E84"/>
    <w:rsid w:val="53213424"/>
    <w:rsid w:val="53376A47"/>
    <w:rsid w:val="5355073A"/>
    <w:rsid w:val="536954DC"/>
    <w:rsid w:val="53716799"/>
    <w:rsid w:val="53B0517A"/>
    <w:rsid w:val="53EE796E"/>
    <w:rsid w:val="54B13A59"/>
    <w:rsid w:val="556D654A"/>
    <w:rsid w:val="55863B10"/>
    <w:rsid w:val="55A66F99"/>
    <w:rsid w:val="55DE2AF7"/>
    <w:rsid w:val="5616583B"/>
    <w:rsid w:val="565C47BC"/>
    <w:rsid w:val="567BE767"/>
    <w:rsid w:val="57982FC4"/>
    <w:rsid w:val="57E770CA"/>
    <w:rsid w:val="5807624A"/>
    <w:rsid w:val="58432AB6"/>
    <w:rsid w:val="58D44E6E"/>
    <w:rsid w:val="58F71249"/>
    <w:rsid w:val="595D4F24"/>
    <w:rsid w:val="59915A6B"/>
    <w:rsid w:val="59B96029"/>
    <w:rsid w:val="59CF317F"/>
    <w:rsid w:val="59F11A50"/>
    <w:rsid w:val="59F441A2"/>
    <w:rsid w:val="5A781CF8"/>
    <w:rsid w:val="5ABC5ACF"/>
    <w:rsid w:val="5ACE14DB"/>
    <w:rsid w:val="5B16CC29"/>
    <w:rsid w:val="5B270D30"/>
    <w:rsid w:val="5B5851F4"/>
    <w:rsid w:val="5B77016E"/>
    <w:rsid w:val="5C0862BD"/>
    <w:rsid w:val="5C2F77E4"/>
    <w:rsid w:val="5D116A14"/>
    <w:rsid w:val="5D253A4E"/>
    <w:rsid w:val="5D4944E6"/>
    <w:rsid w:val="5DEB11FE"/>
    <w:rsid w:val="5E1962E9"/>
    <w:rsid w:val="5E4D79E6"/>
    <w:rsid w:val="5EF17BDB"/>
    <w:rsid w:val="5EF935FC"/>
    <w:rsid w:val="5F001029"/>
    <w:rsid w:val="5F49370D"/>
    <w:rsid w:val="5FE71A52"/>
    <w:rsid w:val="5FFF5F69"/>
    <w:rsid w:val="60145E26"/>
    <w:rsid w:val="6073378F"/>
    <w:rsid w:val="607C6783"/>
    <w:rsid w:val="609C022E"/>
    <w:rsid w:val="60A02121"/>
    <w:rsid w:val="613F6735"/>
    <w:rsid w:val="614B01F1"/>
    <w:rsid w:val="61526350"/>
    <w:rsid w:val="61B13E73"/>
    <w:rsid w:val="61C25DC1"/>
    <w:rsid w:val="62743CF7"/>
    <w:rsid w:val="63060179"/>
    <w:rsid w:val="637B2959"/>
    <w:rsid w:val="63931BD6"/>
    <w:rsid w:val="63C4798F"/>
    <w:rsid w:val="63C7514C"/>
    <w:rsid w:val="63E36B5B"/>
    <w:rsid w:val="63FE0AE4"/>
    <w:rsid w:val="64A058D6"/>
    <w:rsid w:val="64D229F5"/>
    <w:rsid w:val="658948DC"/>
    <w:rsid w:val="65FF2117"/>
    <w:rsid w:val="663779C5"/>
    <w:rsid w:val="66E36D4C"/>
    <w:rsid w:val="677310F2"/>
    <w:rsid w:val="67966883"/>
    <w:rsid w:val="680573DF"/>
    <w:rsid w:val="680B79D6"/>
    <w:rsid w:val="68217459"/>
    <w:rsid w:val="68793460"/>
    <w:rsid w:val="689311BA"/>
    <w:rsid w:val="68B75819"/>
    <w:rsid w:val="691A6EBB"/>
    <w:rsid w:val="6975615A"/>
    <w:rsid w:val="69767C6E"/>
    <w:rsid w:val="69AE57CC"/>
    <w:rsid w:val="69EE430D"/>
    <w:rsid w:val="69EF4818"/>
    <w:rsid w:val="6A867AE6"/>
    <w:rsid w:val="6ABB4047"/>
    <w:rsid w:val="6ACC21DB"/>
    <w:rsid w:val="6B803907"/>
    <w:rsid w:val="6B8149F5"/>
    <w:rsid w:val="6BD77714"/>
    <w:rsid w:val="6C4A16DB"/>
    <w:rsid w:val="6C5D79B2"/>
    <w:rsid w:val="6CF911DC"/>
    <w:rsid w:val="6D5E1902"/>
    <w:rsid w:val="6D741F35"/>
    <w:rsid w:val="6D7B0B81"/>
    <w:rsid w:val="6DBFD3AE"/>
    <w:rsid w:val="6DEF5681"/>
    <w:rsid w:val="6E9F3463"/>
    <w:rsid w:val="6EC528C1"/>
    <w:rsid w:val="6EEB1653"/>
    <w:rsid w:val="6EFD512A"/>
    <w:rsid w:val="6F3A428B"/>
    <w:rsid w:val="6F672E45"/>
    <w:rsid w:val="6F673AD1"/>
    <w:rsid w:val="6F6D8FC2"/>
    <w:rsid w:val="6F7EF099"/>
    <w:rsid w:val="6FE9BDA6"/>
    <w:rsid w:val="708D2DBC"/>
    <w:rsid w:val="70CB12D4"/>
    <w:rsid w:val="70CC541F"/>
    <w:rsid w:val="71263858"/>
    <w:rsid w:val="71706DC2"/>
    <w:rsid w:val="72131F65"/>
    <w:rsid w:val="728656B6"/>
    <w:rsid w:val="73034B51"/>
    <w:rsid w:val="73242F1D"/>
    <w:rsid w:val="734C51A4"/>
    <w:rsid w:val="73A15055"/>
    <w:rsid w:val="73BFE5F1"/>
    <w:rsid w:val="740522F6"/>
    <w:rsid w:val="746C3F78"/>
    <w:rsid w:val="749E53CA"/>
    <w:rsid w:val="75411175"/>
    <w:rsid w:val="75BE5BD6"/>
    <w:rsid w:val="75CB543C"/>
    <w:rsid w:val="760FBAB0"/>
    <w:rsid w:val="76982221"/>
    <w:rsid w:val="76D12221"/>
    <w:rsid w:val="76F9B2F2"/>
    <w:rsid w:val="7733EFD1"/>
    <w:rsid w:val="777C7F20"/>
    <w:rsid w:val="77DFEE11"/>
    <w:rsid w:val="77F6DC01"/>
    <w:rsid w:val="78384666"/>
    <w:rsid w:val="78610517"/>
    <w:rsid w:val="791964E0"/>
    <w:rsid w:val="79A327B2"/>
    <w:rsid w:val="79BB71C8"/>
    <w:rsid w:val="7A1347BB"/>
    <w:rsid w:val="7A147937"/>
    <w:rsid w:val="7AAF238F"/>
    <w:rsid w:val="7AD019B7"/>
    <w:rsid w:val="7B7AE8A0"/>
    <w:rsid w:val="7B8756F3"/>
    <w:rsid w:val="7B96A1C8"/>
    <w:rsid w:val="7B9E5E34"/>
    <w:rsid w:val="7BCA30B8"/>
    <w:rsid w:val="7BDF860C"/>
    <w:rsid w:val="7BFF4A2B"/>
    <w:rsid w:val="7C4907DF"/>
    <w:rsid w:val="7D0368A4"/>
    <w:rsid w:val="7D0641A4"/>
    <w:rsid w:val="7D105141"/>
    <w:rsid w:val="7D3017D4"/>
    <w:rsid w:val="7D56523A"/>
    <w:rsid w:val="7DC4445F"/>
    <w:rsid w:val="7DD505E2"/>
    <w:rsid w:val="7DFFBC17"/>
    <w:rsid w:val="7E2D764A"/>
    <w:rsid w:val="7E3A14A9"/>
    <w:rsid w:val="7E4A6A14"/>
    <w:rsid w:val="7E8B0270"/>
    <w:rsid w:val="7EE5034B"/>
    <w:rsid w:val="7EFDEBAF"/>
    <w:rsid w:val="7F3F65CE"/>
    <w:rsid w:val="7F5712DC"/>
    <w:rsid w:val="7F87BE18"/>
    <w:rsid w:val="7FC904E5"/>
    <w:rsid w:val="7FEA39A4"/>
    <w:rsid w:val="7FF76AE7"/>
    <w:rsid w:val="96FECA12"/>
    <w:rsid w:val="9EE93318"/>
    <w:rsid w:val="AB2B9557"/>
    <w:rsid w:val="ABD7C5EB"/>
    <w:rsid w:val="ABFF4EB5"/>
    <w:rsid w:val="B56FB696"/>
    <w:rsid w:val="B57DCE33"/>
    <w:rsid w:val="B7FAEB06"/>
    <w:rsid w:val="BEAFC148"/>
    <w:rsid w:val="BFF99D11"/>
    <w:rsid w:val="CB3D2643"/>
    <w:rsid w:val="CEF4130B"/>
    <w:rsid w:val="CFFBA0C0"/>
    <w:rsid w:val="CFFD3D04"/>
    <w:rsid w:val="CFFD48D7"/>
    <w:rsid w:val="D1BBF779"/>
    <w:rsid w:val="D3E90314"/>
    <w:rsid w:val="D4B590EA"/>
    <w:rsid w:val="DAFB4E1E"/>
    <w:rsid w:val="DDED5662"/>
    <w:rsid w:val="DDFE38FF"/>
    <w:rsid w:val="E6DD582B"/>
    <w:rsid w:val="E6FDB07A"/>
    <w:rsid w:val="EA570BE8"/>
    <w:rsid w:val="ED5D6B8C"/>
    <w:rsid w:val="EE2FADB5"/>
    <w:rsid w:val="EF0C88DE"/>
    <w:rsid w:val="EFF98C89"/>
    <w:rsid w:val="F1F9D97D"/>
    <w:rsid w:val="F1FF26E9"/>
    <w:rsid w:val="F3F763B0"/>
    <w:rsid w:val="F5F782CE"/>
    <w:rsid w:val="F6FD00CB"/>
    <w:rsid w:val="F7691713"/>
    <w:rsid w:val="F7CE363D"/>
    <w:rsid w:val="F9EF6384"/>
    <w:rsid w:val="F9F15B86"/>
    <w:rsid w:val="FAE5C507"/>
    <w:rsid w:val="FBE6D265"/>
    <w:rsid w:val="FBEFB6D9"/>
    <w:rsid w:val="FDBEA925"/>
    <w:rsid w:val="FEDEEA69"/>
    <w:rsid w:val="FF3BBE47"/>
    <w:rsid w:val="FF5E1DD4"/>
    <w:rsid w:val="FF771C07"/>
    <w:rsid w:val="FF7B39F6"/>
    <w:rsid w:val="FFAB7311"/>
    <w:rsid w:val="FFE75493"/>
    <w:rsid w:val="FFFAE1DE"/>
    <w:rsid w:val="FFFC3649"/>
    <w:rsid w:val="FFFDDD97"/>
    <w:rsid w:val="FFFEC9ED"/>
    <w:rsid w:val="FFFF50CD"/>
    <w:rsid w:val="FFFF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4"/>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99"/>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link w:val="36"/>
    <w:qFormat/>
    <w:uiPriority w:val="99"/>
    <w:pPr>
      <w:widowControl/>
      <w:spacing w:before="100" w:beforeAutospacing="1" w:after="100" w:afterAutospacing="1"/>
      <w:jc w:val="left"/>
      <w:outlineLvl w:val="1"/>
    </w:pPr>
    <w:rPr>
      <w:rFonts w:ascii="宋体" w:hAnsi="宋体" w:cs="宋体"/>
      <w:b/>
      <w:bCs/>
      <w:kern w:val="0"/>
      <w:sz w:val="24"/>
      <w:szCs w:val="24"/>
    </w:rPr>
  </w:style>
  <w:style w:type="paragraph" w:styleId="5">
    <w:name w:val="heading 3"/>
    <w:basedOn w:val="1"/>
    <w:next w:val="1"/>
    <w:link w:val="37"/>
    <w:qFormat/>
    <w:uiPriority w:val="99"/>
    <w:pPr>
      <w:keepNext/>
      <w:keepLines/>
      <w:spacing w:before="260" w:after="260" w:line="415" w:lineRule="auto"/>
      <w:outlineLvl w:val="2"/>
    </w:pPr>
    <w:rPr>
      <w:rFonts w:ascii="Times New Roman" w:hAnsi="Times New Roman"/>
      <w:b/>
      <w:bCs/>
      <w:sz w:val="32"/>
      <w:szCs w:val="32"/>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04" w:firstLine="640"/>
      <w:jc w:val="left"/>
    </w:pPr>
    <w:rPr>
      <w:rFonts w:ascii="宋体" w:hAnsi="宋体" w:cs="黑体"/>
      <w:kern w:val="0"/>
      <w:sz w:val="32"/>
      <w:szCs w:val="32"/>
      <w:lang w:eastAsia="en-US"/>
    </w:rPr>
  </w:style>
  <w:style w:type="paragraph" w:styleId="6">
    <w:name w:val="toc 7"/>
    <w:basedOn w:val="1"/>
    <w:next w:val="1"/>
    <w:semiHidden/>
    <w:unhideWhenUsed/>
    <w:qFormat/>
    <w:uiPriority w:val="39"/>
    <w:pPr>
      <w:ind w:left="1260"/>
      <w:jc w:val="left"/>
    </w:pPr>
    <w:rPr>
      <w:rFonts w:asciiTheme="minorHAnsi" w:hAnsiTheme="minorHAnsi"/>
      <w:sz w:val="18"/>
      <w:szCs w:val="18"/>
    </w:rPr>
  </w:style>
  <w:style w:type="paragraph" w:styleId="7">
    <w:name w:val="Normal Indent"/>
    <w:basedOn w:val="1"/>
    <w:qFormat/>
    <w:uiPriority w:val="0"/>
    <w:pPr>
      <w:ind w:firstLine="200" w:firstLineChars="200"/>
    </w:pPr>
    <w:rPr>
      <w:rFonts w:eastAsia="仿宋_GB2312"/>
      <w:sz w:val="32"/>
      <w:szCs w:val="24"/>
    </w:rPr>
  </w:style>
  <w:style w:type="paragraph" w:styleId="8">
    <w:name w:val="Document Map"/>
    <w:basedOn w:val="1"/>
    <w:link w:val="41"/>
    <w:unhideWhenUsed/>
    <w:qFormat/>
    <w:uiPriority w:val="99"/>
    <w:rPr>
      <w:rFonts w:ascii="宋体"/>
      <w:sz w:val="18"/>
      <w:szCs w:val="18"/>
    </w:rPr>
  </w:style>
  <w:style w:type="paragraph" w:styleId="9">
    <w:name w:val="annotation text"/>
    <w:basedOn w:val="1"/>
    <w:link w:val="44"/>
    <w:unhideWhenUsed/>
    <w:qFormat/>
    <w:uiPriority w:val="99"/>
    <w:pPr>
      <w:jc w:val="left"/>
    </w:pPr>
    <w:rPr>
      <w:rFonts w:asciiTheme="minorHAnsi" w:hAnsiTheme="minorHAnsi" w:eastAsiaTheme="minorEastAsia" w:cstheme="minorBidi"/>
      <w:szCs w:val="22"/>
    </w:rPr>
  </w:style>
  <w:style w:type="paragraph" w:styleId="10">
    <w:name w:val="toc 5"/>
    <w:basedOn w:val="1"/>
    <w:next w:val="1"/>
    <w:semiHidden/>
    <w:unhideWhenUsed/>
    <w:qFormat/>
    <w:uiPriority w:val="39"/>
    <w:pPr>
      <w:ind w:left="840"/>
      <w:jc w:val="left"/>
    </w:pPr>
    <w:rPr>
      <w:rFonts w:asciiTheme="minorHAnsi" w:hAnsiTheme="minorHAnsi"/>
      <w:sz w:val="18"/>
      <w:szCs w:val="18"/>
    </w:rPr>
  </w:style>
  <w:style w:type="paragraph" w:styleId="11">
    <w:name w:val="toc 3"/>
    <w:basedOn w:val="1"/>
    <w:next w:val="1"/>
    <w:unhideWhenUsed/>
    <w:qFormat/>
    <w:uiPriority w:val="39"/>
    <w:pPr>
      <w:ind w:left="420"/>
      <w:jc w:val="left"/>
    </w:pPr>
    <w:rPr>
      <w:rFonts w:asciiTheme="minorHAnsi" w:hAnsiTheme="minorHAnsi"/>
      <w:i/>
      <w:iCs/>
      <w:sz w:val="22"/>
      <w:szCs w:val="22"/>
    </w:rPr>
  </w:style>
  <w:style w:type="paragraph" w:styleId="12">
    <w:name w:val="toc 8"/>
    <w:basedOn w:val="1"/>
    <w:next w:val="1"/>
    <w:semiHidden/>
    <w:unhideWhenUsed/>
    <w:qFormat/>
    <w:uiPriority w:val="39"/>
    <w:pPr>
      <w:ind w:left="1470"/>
      <w:jc w:val="left"/>
    </w:pPr>
    <w:rPr>
      <w:rFonts w:asciiTheme="minorHAnsi" w:hAnsiTheme="minorHAnsi"/>
      <w:sz w:val="18"/>
      <w:szCs w:val="18"/>
    </w:rPr>
  </w:style>
  <w:style w:type="paragraph" w:styleId="13">
    <w:name w:val="Balloon Text"/>
    <w:basedOn w:val="1"/>
    <w:link w:val="42"/>
    <w:unhideWhenUsed/>
    <w:qFormat/>
    <w:uiPriority w:val="99"/>
    <w:rPr>
      <w:sz w:val="18"/>
      <w:szCs w:val="18"/>
    </w:rPr>
  </w:style>
  <w:style w:type="paragraph" w:styleId="14">
    <w:name w:val="footer"/>
    <w:basedOn w:val="1"/>
    <w:link w:val="40"/>
    <w:unhideWhenUsed/>
    <w:qFormat/>
    <w:uiPriority w:val="99"/>
    <w:pPr>
      <w:tabs>
        <w:tab w:val="center" w:pos="4153"/>
        <w:tab w:val="right" w:pos="8306"/>
      </w:tabs>
      <w:snapToGrid w:val="0"/>
      <w:jc w:val="left"/>
    </w:pPr>
    <w:rPr>
      <w:sz w:val="18"/>
      <w:szCs w:val="18"/>
    </w:rPr>
  </w:style>
  <w:style w:type="paragraph" w:styleId="15">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jc w:val="left"/>
    </w:pPr>
    <w:rPr>
      <w:rFonts w:asciiTheme="minorHAnsi" w:hAnsiTheme="minorHAnsi"/>
      <w:b/>
      <w:bCs/>
      <w:caps/>
      <w:sz w:val="22"/>
      <w:szCs w:val="22"/>
    </w:rPr>
  </w:style>
  <w:style w:type="paragraph" w:styleId="17">
    <w:name w:val="toc 4"/>
    <w:basedOn w:val="1"/>
    <w:next w:val="1"/>
    <w:semiHidden/>
    <w:unhideWhenUsed/>
    <w:qFormat/>
    <w:uiPriority w:val="39"/>
    <w:pPr>
      <w:ind w:left="630"/>
      <w:jc w:val="left"/>
    </w:pPr>
    <w:rPr>
      <w:rFonts w:asciiTheme="minorHAnsi" w:hAnsiTheme="minorHAnsi"/>
      <w:sz w:val="18"/>
      <w:szCs w:val="18"/>
    </w:rPr>
  </w:style>
  <w:style w:type="paragraph" w:styleId="18">
    <w:name w:val="index heading"/>
    <w:basedOn w:val="1"/>
    <w:next w:val="19"/>
    <w:qFormat/>
    <w:uiPriority w:val="0"/>
    <w:rPr>
      <w:rFonts w:ascii="Arial" w:hAnsi="Arial"/>
      <w:b/>
    </w:rPr>
  </w:style>
  <w:style w:type="paragraph" w:styleId="19">
    <w:name w:val="index 1"/>
    <w:basedOn w:val="1"/>
    <w:next w:val="1"/>
    <w:qFormat/>
    <w:uiPriority w:val="0"/>
  </w:style>
  <w:style w:type="paragraph" w:styleId="20">
    <w:name w:val="toc 6"/>
    <w:basedOn w:val="1"/>
    <w:next w:val="1"/>
    <w:semiHidden/>
    <w:unhideWhenUsed/>
    <w:qFormat/>
    <w:uiPriority w:val="39"/>
    <w:pPr>
      <w:ind w:left="1050"/>
      <w:jc w:val="left"/>
    </w:pPr>
    <w:rPr>
      <w:rFonts w:asciiTheme="minorHAnsi" w:hAnsiTheme="minorHAnsi"/>
      <w:sz w:val="18"/>
      <w:szCs w:val="18"/>
    </w:rPr>
  </w:style>
  <w:style w:type="paragraph" w:styleId="21">
    <w:name w:val="toc 2"/>
    <w:basedOn w:val="1"/>
    <w:next w:val="1"/>
    <w:unhideWhenUsed/>
    <w:qFormat/>
    <w:uiPriority w:val="39"/>
    <w:pPr>
      <w:ind w:left="210"/>
      <w:jc w:val="left"/>
    </w:pPr>
    <w:rPr>
      <w:rFonts w:asciiTheme="minorHAnsi" w:hAnsiTheme="minorHAnsi"/>
      <w:smallCaps/>
      <w:sz w:val="22"/>
      <w:szCs w:val="22"/>
    </w:rPr>
  </w:style>
  <w:style w:type="paragraph" w:styleId="22">
    <w:name w:val="toc 9"/>
    <w:basedOn w:val="1"/>
    <w:next w:val="1"/>
    <w:semiHidden/>
    <w:unhideWhenUsed/>
    <w:qFormat/>
    <w:uiPriority w:val="39"/>
    <w:pPr>
      <w:ind w:left="1680"/>
      <w:jc w:val="left"/>
    </w:pPr>
    <w:rPr>
      <w:rFonts w:asciiTheme="minorHAnsi" w:hAnsiTheme="minorHAnsi"/>
      <w:sz w:val="18"/>
      <w:szCs w:val="18"/>
    </w:rPr>
  </w:style>
  <w:style w:type="paragraph" w:styleId="23">
    <w:name w:val="Normal (Web)"/>
    <w:basedOn w:val="1"/>
    <w:next w:val="1"/>
    <w:qFormat/>
    <w:uiPriority w:val="0"/>
    <w:pPr>
      <w:widowControl/>
      <w:spacing w:before="100" w:beforeAutospacing="1" w:after="100" w:afterAutospacing="1" w:line="340" w:lineRule="atLeast"/>
      <w:ind w:firstLine="480"/>
      <w:jc w:val="left"/>
    </w:pPr>
    <w:rPr>
      <w:rFonts w:ascii="ˎ̥" w:hAnsi="ˎ̥" w:cs="宋体"/>
      <w:spacing w:val="20"/>
      <w:kern w:val="0"/>
      <w:sz w:val="24"/>
      <w:szCs w:val="24"/>
    </w:rPr>
  </w:style>
  <w:style w:type="paragraph" w:styleId="24">
    <w:name w:val="Title"/>
    <w:basedOn w:val="1"/>
    <w:next w:val="1"/>
    <w:link w:val="43"/>
    <w:qFormat/>
    <w:uiPriority w:val="10"/>
    <w:pPr>
      <w:spacing w:before="240" w:after="60"/>
      <w:jc w:val="center"/>
      <w:outlineLvl w:val="0"/>
    </w:pPr>
    <w:rPr>
      <w:rFonts w:asciiTheme="majorHAnsi" w:hAnsiTheme="majorHAnsi" w:cstheme="majorBidi"/>
      <w:b/>
      <w:bCs/>
      <w:sz w:val="32"/>
      <w:szCs w:val="32"/>
    </w:rPr>
  </w:style>
  <w:style w:type="paragraph" w:styleId="25">
    <w:name w:val="annotation subject"/>
    <w:basedOn w:val="9"/>
    <w:next w:val="9"/>
    <w:link w:val="46"/>
    <w:unhideWhenUsed/>
    <w:qFormat/>
    <w:uiPriority w:val="99"/>
    <w:rPr>
      <w:rFonts w:ascii="Calibri" w:hAnsi="Calibri" w:eastAsia="宋体" w:cs="Times New Roman"/>
      <w:b/>
      <w:bCs/>
      <w:szCs w:val="21"/>
    </w:rPr>
  </w:style>
  <w:style w:type="paragraph" w:styleId="26">
    <w:name w:val="Body Text First Indent 2"/>
    <w:basedOn w:val="2"/>
    <w:next w:val="1"/>
    <w:unhideWhenUsed/>
    <w:qFormat/>
    <w:uiPriority w:val="99"/>
    <w:pPr>
      <w:ind w:firstLine="420"/>
    </w:pPr>
    <w:rPr>
      <w:rFonts w:ascii="Times New Roman" w:hAnsi="Times New Roman"/>
    </w:rPr>
  </w:style>
  <w:style w:type="table" w:styleId="28">
    <w:name w:val="Table Grid"/>
    <w:basedOn w:val="27"/>
    <w:unhideWhenUsed/>
    <w:qFormat/>
    <w:uiPriority w:val="99"/>
    <w:rPr>
      <w:rFonts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rPr>
  </w:style>
  <w:style w:type="character" w:styleId="31">
    <w:name w:val="Hyperlink"/>
    <w:basedOn w:val="29"/>
    <w:unhideWhenUsed/>
    <w:qFormat/>
    <w:uiPriority w:val="99"/>
    <w:rPr>
      <w:color w:val="0000FF" w:themeColor="hyperlink"/>
      <w:u w:val="single"/>
      <w14:textFill>
        <w14:solidFill>
          <w14:schemeClr w14:val="hlink"/>
        </w14:solidFill>
      </w14:textFill>
    </w:rPr>
  </w:style>
  <w:style w:type="character" w:styleId="32">
    <w:name w:val="annotation reference"/>
    <w:basedOn w:val="29"/>
    <w:unhideWhenUsed/>
    <w:qFormat/>
    <w:uiPriority w:val="99"/>
    <w:rPr>
      <w:sz w:val="21"/>
      <w:szCs w:val="21"/>
    </w:rPr>
  </w:style>
  <w:style w:type="paragraph" w:customStyle="1" w:styleId="33">
    <w:name w:val="正文首行缩进 21"/>
    <w:basedOn w:val="34"/>
    <w:next w:val="23"/>
    <w:qFormat/>
    <w:uiPriority w:val="99"/>
    <w:pPr>
      <w:ind w:firstLine="200" w:firstLineChars="200"/>
    </w:pPr>
  </w:style>
  <w:style w:type="paragraph" w:customStyle="1" w:styleId="34">
    <w:name w:val="正文文本缩进1"/>
    <w:basedOn w:val="1"/>
    <w:qFormat/>
    <w:uiPriority w:val="99"/>
    <w:pPr>
      <w:ind w:left="200" w:leftChars="200"/>
    </w:pPr>
  </w:style>
  <w:style w:type="character" w:customStyle="1" w:styleId="35">
    <w:name w:val="标题 1字符"/>
    <w:basedOn w:val="29"/>
    <w:link w:val="3"/>
    <w:qFormat/>
    <w:uiPriority w:val="99"/>
    <w:rPr>
      <w:rFonts w:ascii="Times New Roman" w:hAnsi="Times New Roman" w:eastAsia="宋体" w:cs="Times New Roman"/>
      <w:b/>
      <w:bCs/>
      <w:kern w:val="44"/>
      <w:sz w:val="44"/>
      <w:szCs w:val="44"/>
    </w:rPr>
  </w:style>
  <w:style w:type="character" w:customStyle="1" w:styleId="36">
    <w:name w:val="标题 2字符"/>
    <w:basedOn w:val="29"/>
    <w:link w:val="4"/>
    <w:qFormat/>
    <w:uiPriority w:val="99"/>
    <w:rPr>
      <w:rFonts w:ascii="宋体" w:hAnsi="宋体" w:eastAsia="宋体" w:cs="宋体"/>
      <w:b/>
      <w:bCs/>
      <w:kern w:val="0"/>
      <w:sz w:val="24"/>
      <w:szCs w:val="24"/>
    </w:rPr>
  </w:style>
  <w:style w:type="character" w:customStyle="1" w:styleId="37">
    <w:name w:val="标题 3字符"/>
    <w:basedOn w:val="29"/>
    <w:link w:val="5"/>
    <w:qFormat/>
    <w:uiPriority w:val="99"/>
    <w:rPr>
      <w:rFonts w:ascii="Times New Roman" w:hAnsi="Times New Roman" w:eastAsia="宋体" w:cs="Times New Roman"/>
      <w:b/>
      <w:bCs/>
      <w:sz w:val="32"/>
      <w:szCs w:val="32"/>
    </w:rPr>
  </w:style>
  <w:style w:type="paragraph" w:customStyle="1" w:styleId="38">
    <w:name w:val="List Paragraph1"/>
    <w:basedOn w:val="1"/>
    <w:qFormat/>
    <w:uiPriority w:val="0"/>
    <w:pPr>
      <w:ind w:firstLine="420" w:firstLineChars="200"/>
    </w:pPr>
  </w:style>
  <w:style w:type="character" w:customStyle="1" w:styleId="39">
    <w:name w:val="页眉字符"/>
    <w:basedOn w:val="29"/>
    <w:link w:val="15"/>
    <w:semiHidden/>
    <w:qFormat/>
    <w:uiPriority w:val="99"/>
    <w:rPr>
      <w:rFonts w:ascii="Calibri" w:hAnsi="Calibri" w:eastAsia="宋体" w:cs="Times New Roman"/>
      <w:sz w:val="18"/>
      <w:szCs w:val="18"/>
    </w:rPr>
  </w:style>
  <w:style w:type="character" w:customStyle="1" w:styleId="40">
    <w:name w:val="页脚字符"/>
    <w:basedOn w:val="29"/>
    <w:link w:val="14"/>
    <w:qFormat/>
    <w:uiPriority w:val="99"/>
    <w:rPr>
      <w:rFonts w:ascii="Calibri" w:hAnsi="Calibri" w:eastAsia="宋体" w:cs="Times New Roman"/>
      <w:sz w:val="18"/>
      <w:szCs w:val="18"/>
    </w:rPr>
  </w:style>
  <w:style w:type="character" w:customStyle="1" w:styleId="41">
    <w:name w:val="文档结构图字符"/>
    <w:basedOn w:val="29"/>
    <w:link w:val="8"/>
    <w:semiHidden/>
    <w:qFormat/>
    <w:uiPriority w:val="99"/>
    <w:rPr>
      <w:rFonts w:ascii="宋体" w:hAnsi="Calibri" w:eastAsia="宋体" w:cs="Times New Roman"/>
      <w:kern w:val="2"/>
      <w:sz w:val="18"/>
      <w:szCs w:val="18"/>
    </w:rPr>
  </w:style>
  <w:style w:type="character" w:customStyle="1" w:styleId="42">
    <w:name w:val="批注框文本字符"/>
    <w:basedOn w:val="29"/>
    <w:link w:val="13"/>
    <w:semiHidden/>
    <w:qFormat/>
    <w:uiPriority w:val="99"/>
    <w:rPr>
      <w:rFonts w:ascii="Calibri" w:hAnsi="Calibri" w:eastAsia="宋体" w:cs="Times New Roman"/>
      <w:kern w:val="2"/>
      <w:sz w:val="18"/>
      <w:szCs w:val="18"/>
    </w:rPr>
  </w:style>
  <w:style w:type="character" w:customStyle="1" w:styleId="43">
    <w:name w:val="标题字符"/>
    <w:basedOn w:val="29"/>
    <w:link w:val="24"/>
    <w:qFormat/>
    <w:uiPriority w:val="10"/>
    <w:rPr>
      <w:rFonts w:eastAsia="宋体" w:asciiTheme="majorHAnsi" w:hAnsiTheme="majorHAnsi" w:cstheme="majorBidi"/>
      <w:b/>
      <w:bCs/>
      <w:kern w:val="2"/>
      <w:sz w:val="32"/>
      <w:szCs w:val="32"/>
    </w:rPr>
  </w:style>
  <w:style w:type="character" w:customStyle="1" w:styleId="44">
    <w:name w:val="批注文字字符"/>
    <w:basedOn w:val="29"/>
    <w:link w:val="9"/>
    <w:semiHidden/>
    <w:qFormat/>
    <w:uiPriority w:val="99"/>
    <w:rPr>
      <w:kern w:val="2"/>
      <w:sz w:val="21"/>
      <w:szCs w:val="22"/>
    </w:rPr>
  </w:style>
  <w:style w:type="paragraph" w:customStyle="1" w:styleId="4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6">
    <w:name w:val="批注主题字符"/>
    <w:basedOn w:val="44"/>
    <w:link w:val="25"/>
    <w:semiHidden/>
    <w:qFormat/>
    <w:uiPriority w:val="99"/>
    <w:rPr>
      <w:rFonts w:ascii="Calibri" w:hAnsi="Calibri" w:eastAsia="宋体" w:cs="Times New Roman"/>
      <w:b/>
      <w:bCs/>
      <w:kern w:val="2"/>
      <w:sz w:val="21"/>
      <w:szCs w:val="21"/>
    </w:rPr>
  </w:style>
  <w:style w:type="character" w:customStyle="1" w:styleId="47">
    <w:name w:val="111正文部分 字符"/>
    <w:link w:val="48"/>
    <w:qFormat/>
    <w:uiPriority w:val="0"/>
    <w:rPr>
      <w:rFonts w:ascii="华文仿宋" w:hAnsi="华文仿宋" w:eastAsia="仿宋_GB2312"/>
      <w:bCs/>
      <w:kern w:val="44"/>
      <w:sz w:val="32"/>
      <w:szCs w:val="44"/>
    </w:rPr>
  </w:style>
  <w:style w:type="paragraph" w:customStyle="1" w:styleId="48">
    <w:name w:val="111正文部分"/>
    <w:link w:val="47"/>
    <w:qFormat/>
    <w:uiPriority w:val="0"/>
    <w:pPr>
      <w:spacing w:line="570" w:lineRule="exact"/>
      <w:ind w:firstLine="200" w:firstLineChars="200"/>
      <w:jc w:val="both"/>
    </w:pPr>
    <w:rPr>
      <w:rFonts w:ascii="华文仿宋" w:hAnsi="华文仿宋" w:eastAsia="仿宋_GB2312" w:cstheme="minorBidi"/>
      <w:bCs/>
      <w:kern w:val="44"/>
      <w:sz w:val="32"/>
      <w:szCs w:val="44"/>
      <w:lang w:val="en-US" w:eastAsia="zh-CN" w:bidi="ar-SA"/>
    </w:rPr>
  </w:style>
  <w:style w:type="paragraph" w:customStyle="1" w:styleId="49">
    <w:name w:val="p0"/>
    <w:basedOn w:val="1"/>
    <w:qFormat/>
    <w:uiPriority w:val="0"/>
    <w:pPr>
      <w:widowControl/>
    </w:pPr>
    <w:rPr>
      <w:rFonts w:ascii="Times New Roman" w:hAnsi="Times New Roman"/>
      <w:kern w:val="0"/>
    </w:rPr>
  </w:style>
  <w:style w:type="paragraph" w:customStyle="1" w:styleId="50">
    <w:name w:val="pa-3"/>
    <w:basedOn w:val="1"/>
    <w:qFormat/>
    <w:uiPriority w:val="0"/>
    <w:pPr>
      <w:spacing w:before="100" w:beforeAutospacing="1" w:line="360" w:lineRule="atLeast"/>
      <w:ind w:firstLine="640"/>
    </w:pPr>
    <w:rPr>
      <w:rFonts w:ascii="宋体" w:hAnsi="宋体" w:cs="宋体"/>
      <w:sz w:val="24"/>
      <w:szCs w:val="24"/>
    </w:rPr>
  </w:style>
  <w:style w:type="paragraph" w:customStyle="1" w:styleId="51">
    <w:name w:val="UserStyle_0"/>
    <w:basedOn w:val="1"/>
    <w:qFormat/>
    <w:uiPriority w:val="0"/>
    <w:pPr>
      <w:spacing w:before="100" w:beforeAutospacing="1"/>
      <w:ind w:left="85" w:leftChars="85" w:firstLine="540" w:firstLineChars="193"/>
      <w:textAlignment w:val="baseline"/>
    </w:pPr>
    <w:rPr>
      <w:sz w:val="28"/>
      <w:szCs w:val="28"/>
    </w:rPr>
  </w:style>
  <w:style w:type="paragraph" w:customStyle="1" w:styleId="5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3">
    <w:name w:val="Body text|1"/>
    <w:basedOn w:val="1"/>
    <w:qFormat/>
    <w:uiPriority w:val="0"/>
    <w:pPr>
      <w:spacing w:line="394" w:lineRule="auto"/>
      <w:ind w:firstLine="400"/>
    </w:pPr>
    <w:rPr>
      <w:rFonts w:ascii="宋体" w:hAnsi="宋体" w:cs="宋体"/>
      <w:sz w:val="30"/>
      <w:szCs w:val="30"/>
      <w:lang w:val="zh-TW" w:eastAsia="zh-TW" w:bidi="zh-TW"/>
    </w:rPr>
  </w:style>
  <w:style w:type="character" w:customStyle="1" w:styleId="54">
    <w:name w:val="NormalCharacter"/>
    <w:link w:val="1"/>
    <w:semiHidden/>
    <w:qFormat/>
    <w:uiPriority w:val="0"/>
    <w:rPr>
      <w:rFonts w:ascii="Calibri" w:hAnsi="Calibri" w:eastAsia="宋体" w:cs="Times New Roman"/>
      <w:kern w:val="2"/>
      <w:sz w:val="21"/>
      <w:szCs w:val="21"/>
      <w:lang w:val="en-US" w:eastAsia="zh-CN" w:bidi="ar-SA"/>
    </w:rPr>
  </w:style>
  <w:style w:type="paragraph" w:customStyle="1" w:styleId="55">
    <w:name w:val="BodyText"/>
    <w:basedOn w:val="1"/>
    <w:qFormat/>
    <w:uiPriority w:val="0"/>
    <w:pPr>
      <w:ind w:left="104" w:firstLine="640"/>
      <w:jc w:val="left"/>
      <w:textAlignment w:val="baseline"/>
    </w:pPr>
    <w:rPr>
      <w:rFonts w:ascii="宋体" w:hAnsi="宋体" w:eastAsia="宋体"/>
      <w:kern w:val="0"/>
      <w:sz w:val="32"/>
      <w:szCs w:val="32"/>
      <w:lang w:val="en-US" w:eastAsia="en-US" w:bidi="ar-SA"/>
    </w:rPr>
  </w:style>
  <w:style w:type="paragraph" w:customStyle="1" w:styleId="56">
    <w:name w:val="WPSOffice手动目录 1"/>
    <w:qFormat/>
    <w:uiPriority w:val="0"/>
    <w:pPr>
      <w:ind w:leftChars="0"/>
    </w:pPr>
    <w:rPr>
      <w:rFonts w:eastAsia="微软雅黑" w:asciiTheme="minorHAnsi" w:hAnsiTheme="minorHAnsi" w:cstheme="minorBidi"/>
      <w:sz w:val="20"/>
      <w:szCs w:val="20"/>
    </w:rPr>
  </w:style>
  <w:style w:type="paragraph" w:customStyle="1" w:styleId="57">
    <w:name w:val="WPSOffice手动目录 2"/>
    <w:qFormat/>
    <w:uiPriority w:val="0"/>
    <w:pPr>
      <w:ind w:leftChars="200"/>
    </w:pPr>
    <w:rPr>
      <w:rFonts w:eastAsia="微软雅黑" w:asciiTheme="minorHAnsi" w:hAnsiTheme="minorHAnsi"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4575de6-cf0b-4b02-9058-f36306f7338c}"/>
        <w:style w:val=""/>
        <w:category>
          <w:name w:val="常规"/>
          <w:gallery w:val="placeholder"/>
        </w:category>
        <w:types>
          <w:type w:val="bbPlcHdr"/>
        </w:types>
        <w:behaviors>
          <w:behavior w:val="content"/>
        </w:behaviors>
        <w:description w:val=""/>
        <w:guid w:val="{a4575de6-cf0b-4b02-9058-f36306f7338c}"/>
      </w:docPartPr>
      <w:docPartBody>
        <w:p>
          <w:r>
            <w:rPr>
              <w:color w:val="808080"/>
            </w:rPr>
            <w:t>单击此处输入文字。</w:t>
          </w:r>
        </w:p>
      </w:docPartBody>
    </w:docPart>
    <w:docPart>
      <w:docPartPr>
        <w:name w:val="{bafe7af6-9438-4df7-970c-909441674a3b}"/>
        <w:style w:val=""/>
        <w:category>
          <w:name w:val="常规"/>
          <w:gallery w:val="placeholder"/>
        </w:category>
        <w:types>
          <w:type w:val="bbPlcHdr"/>
        </w:types>
        <w:behaviors>
          <w:behavior w:val="content"/>
        </w:behaviors>
        <w:description w:val=""/>
        <w:guid w:val="{bafe7af6-9438-4df7-970c-909441674a3b}"/>
      </w:docPartPr>
      <w:docPartBody>
        <w:p>
          <w:r>
            <w:rPr>
              <w:color w:val="808080"/>
            </w:rPr>
            <w:t>单击此处输入文字。</w:t>
          </w:r>
        </w:p>
      </w:docPartBody>
    </w:docPart>
    <w:docPart>
      <w:docPartPr>
        <w:name w:val="{c52616cb-a85d-4161-8c55-64cbbe75953c}"/>
        <w:style w:val=""/>
        <w:category>
          <w:name w:val="常规"/>
          <w:gallery w:val="placeholder"/>
        </w:category>
        <w:types>
          <w:type w:val="bbPlcHdr"/>
        </w:types>
        <w:behaviors>
          <w:behavior w:val="content"/>
        </w:behaviors>
        <w:description w:val=""/>
        <w:guid w:val="{c52616cb-a85d-4161-8c55-64cbbe75953c}"/>
      </w:docPartPr>
      <w:docPartBody>
        <w:p>
          <w:r>
            <w:rPr>
              <w:color w:val="808080"/>
            </w:rPr>
            <w:t>单击此处输入文字。</w:t>
          </w:r>
        </w:p>
      </w:docPartBody>
    </w:docPart>
    <w:docPart>
      <w:docPartPr>
        <w:name w:val="{971debdf-047f-4a73-ad58-bb3aa4093a37}"/>
        <w:style w:val=""/>
        <w:category>
          <w:name w:val="常规"/>
          <w:gallery w:val="placeholder"/>
        </w:category>
        <w:types>
          <w:type w:val="bbPlcHdr"/>
        </w:types>
        <w:behaviors>
          <w:behavior w:val="content"/>
        </w:behaviors>
        <w:description w:val=""/>
        <w:guid w:val="{971debdf-047f-4a73-ad58-bb3aa4093a37}"/>
      </w:docPartPr>
      <w:docPartBody>
        <w:p>
          <w:r>
            <w:rPr>
              <w:color w:val="808080"/>
            </w:rPr>
            <w:t>单击此处输入文字。</w:t>
          </w:r>
        </w:p>
      </w:docPartBody>
    </w:docPart>
    <w:docPart>
      <w:docPartPr>
        <w:name w:val="{ea105d40-84f0-465e-ab30-c57b55842209}"/>
        <w:style w:val=""/>
        <w:category>
          <w:name w:val="常规"/>
          <w:gallery w:val="placeholder"/>
        </w:category>
        <w:types>
          <w:type w:val="bbPlcHdr"/>
        </w:types>
        <w:behaviors>
          <w:behavior w:val="content"/>
        </w:behaviors>
        <w:description w:val=""/>
        <w:guid w:val="{ea105d40-84f0-465e-ab30-c57b55842209}"/>
      </w:docPartPr>
      <w:docPartBody>
        <w:p>
          <w:r>
            <w:rPr>
              <w:color w:val="808080"/>
            </w:rPr>
            <w:t>单击此处输入文字。</w:t>
          </w:r>
        </w:p>
      </w:docPartBody>
    </w:docPart>
    <w:docPart>
      <w:docPartPr>
        <w:name w:val="{3536ade6-1904-4d78-8342-8afdd780fe68}"/>
        <w:style w:val=""/>
        <w:category>
          <w:name w:val="常规"/>
          <w:gallery w:val="placeholder"/>
        </w:category>
        <w:types>
          <w:type w:val="bbPlcHdr"/>
        </w:types>
        <w:behaviors>
          <w:behavior w:val="content"/>
        </w:behaviors>
        <w:description w:val=""/>
        <w:guid w:val="{3536ade6-1904-4d78-8342-8afdd780fe68}"/>
      </w:docPartPr>
      <w:docPartBody>
        <w:p>
          <w:r>
            <w:rPr>
              <w:color w:val="808080"/>
            </w:rPr>
            <w:t>单击此处输入文字。</w:t>
          </w:r>
        </w:p>
      </w:docPartBody>
    </w:docPart>
    <w:docPart>
      <w:docPartPr>
        <w:name w:val="{847313e4-087c-4a42-ba4f-fb9235feada5}"/>
        <w:style w:val=""/>
        <w:category>
          <w:name w:val="常规"/>
          <w:gallery w:val="placeholder"/>
        </w:category>
        <w:types>
          <w:type w:val="bbPlcHdr"/>
        </w:types>
        <w:behaviors>
          <w:behavior w:val="content"/>
        </w:behaviors>
        <w:description w:val=""/>
        <w:guid w:val="{847313e4-087c-4a42-ba4f-fb9235feada5}"/>
      </w:docPartPr>
      <w:docPartBody>
        <w:p>
          <w:r>
            <w:rPr>
              <w:color w:val="808080"/>
            </w:rPr>
            <w:t>单击此处输入文字。</w:t>
          </w:r>
        </w:p>
      </w:docPartBody>
    </w:docPart>
    <w:docPart>
      <w:docPartPr>
        <w:name w:val="{f9afe9a4-8230-4a4a-b9f6-e4f562b80373}"/>
        <w:style w:val=""/>
        <w:category>
          <w:name w:val="常规"/>
          <w:gallery w:val="placeholder"/>
        </w:category>
        <w:types>
          <w:type w:val="bbPlcHdr"/>
        </w:types>
        <w:behaviors>
          <w:behavior w:val="content"/>
        </w:behaviors>
        <w:description w:val=""/>
        <w:guid w:val="{f9afe9a4-8230-4a4a-b9f6-e4f562b80373}"/>
      </w:docPartPr>
      <w:docPartBody>
        <w:p>
          <w:r>
            <w:rPr>
              <w:color w:val="808080"/>
            </w:rPr>
            <w:t>单击此处输入文字。</w:t>
          </w:r>
        </w:p>
      </w:docPartBody>
    </w:docPart>
    <w:docPart>
      <w:docPartPr>
        <w:name w:val="{2af6a93a-2f52-45ae-8b14-c0d709f06aca}"/>
        <w:style w:val=""/>
        <w:category>
          <w:name w:val="常规"/>
          <w:gallery w:val="placeholder"/>
        </w:category>
        <w:types>
          <w:type w:val="bbPlcHdr"/>
        </w:types>
        <w:behaviors>
          <w:behavior w:val="content"/>
        </w:behaviors>
        <w:description w:val=""/>
        <w:guid w:val="{2af6a93a-2f52-45ae-8b14-c0d709f06aca}"/>
      </w:docPartPr>
      <w:docPartBody>
        <w:p>
          <w:r>
            <w:rPr>
              <w:color w:val="808080"/>
            </w:rPr>
            <w:t>单击此处输入文字。</w:t>
          </w:r>
        </w:p>
      </w:docPartBody>
    </w:docPart>
    <w:docPart>
      <w:docPartPr>
        <w:name w:val="{4fb3761b-bee7-43c4-ba15-b2198f9af770}"/>
        <w:style w:val=""/>
        <w:category>
          <w:name w:val="常规"/>
          <w:gallery w:val="placeholder"/>
        </w:category>
        <w:types>
          <w:type w:val="bbPlcHdr"/>
        </w:types>
        <w:behaviors>
          <w:behavior w:val="content"/>
        </w:behaviors>
        <w:description w:val=""/>
        <w:guid w:val="{4fb3761b-bee7-43c4-ba15-b2198f9af770}"/>
      </w:docPartPr>
      <w:docPartBody>
        <w:p>
          <w:r>
            <w:rPr>
              <w:color w:val="808080"/>
            </w:rPr>
            <w:t>单击此处输入文字。</w:t>
          </w:r>
        </w:p>
      </w:docPartBody>
    </w:docPart>
    <w:docPart>
      <w:docPartPr>
        <w:name w:val="{b9ae1064-2d78-4c88-8ae1-85765dfbda0e}"/>
        <w:style w:val=""/>
        <w:category>
          <w:name w:val="常规"/>
          <w:gallery w:val="placeholder"/>
        </w:category>
        <w:types>
          <w:type w:val="bbPlcHdr"/>
        </w:types>
        <w:behaviors>
          <w:behavior w:val="content"/>
        </w:behaviors>
        <w:description w:val=""/>
        <w:guid w:val="{b9ae1064-2d78-4c88-8ae1-85765dfbda0e}"/>
      </w:docPartPr>
      <w:docPartBody>
        <w:p>
          <w:r>
            <w:rPr>
              <w:color w:val="808080"/>
            </w:rPr>
            <w:t>单击此处输入文字。</w:t>
          </w:r>
        </w:p>
      </w:docPartBody>
    </w:docPart>
    <w:docPart>
      <w:docPartPr>
        <w:name w:val="{dba6d921-f51f-4cd9-bdc1-6a3d8f9f943f}"/>
        <w:style w:val=""/>
        <w:category>
          <w:name w:val="常规"/>
          <w:gallery w:val="placeholder"/>
        </w:category>
        <w:types>
          <w:type w:val="bbPlcHdr"/>
        </w:types>
        <w:behaviors>
          <w:behavior w:val="content"/>
        </w:behaviors>
        <w:description w:val=""/>
        <w:guid w:val="{dba6d921-f51f-4cd9-bdc1-6a3d8f9f943f}"/>
      </w:docPartPr>
      <w:docPartBody>
        <w:p>
          <w:r>
            <w:rPr>
              <w:color w:val="808080"/>
            </w:rPr>
            <w:t>单击此处输入文字。</w:t>
          </w:r>
        </w:p>
      </w:docPartBody>
    </w:docPart>
    <w:docPart>
      <w:docPartPr>
        <w:name w:val="{3b08bf15-6214-4ce8-9e5a-25fc23c61d3f}"/>
        <w:style w:val=""/>
        <w:category>
          <w:name w:val="常规"/>
          <w:gallery w:val="placeholder"/>
        </w:category>
        <w:types>
          <w:type w:val="bbPlcHdr"/>
        </w:types>
        <w:behaviors>
          <w:behavior w:val="content"/>
        </w:behaviors>
        <w:description w:val=""/>
        <w:guid w:val="{3b08bf15-6214-4ce8-9e5a-25fc23c61d3f}"/>
      </w:docPartPr>
      <w:docPartBody>
        <w:p>
          <w:r>
            <w:rPr>
              <w:color w:val="808080"/>
            </w:rPr>
            <w:t>单击此处输入文字。</w:t>
          </w:r>
        </w:p>
      </w:docPartBody>
    </w:docPart>
    <w:docPart>
      <w:docPartPr>
        <w:name w:val="{33eda1f2-1135-451d-8f18-3ee49ef8cba5}"/>
        <w:style w:val=""/>
        <w:category>
          <w:name w:val="常规"/>
          <w:gallery w:val="placeholder"/>
        </w:category>
        <w:types>
          <w:type w:val="bbPlcHdr"/>
        </w:types>
        <w:behaviors>
          <w:behavior w:val="content"/>
        </w:behaviors>
        <w:description w:val=""/>
        <w:guid w:val="{33eda1f2-1135-451d-8f18-3ee49ef8cba5}"/>
      </w:docPartPr>
      <w:docPartBody>
        <w:p>
          <w:r>
            <w:rPr>
              <w:color w:val="808080"/>
            </w:rPr>
            <w:t>单击此处输入文字。</w:t>
          </w:r>
        </w:p>
      </w:docPartBody>
    </w:docPart>
    <w:docPart>
      <w:docPartPr>
        <w:name w:val="{7c96c40f-3337-44b0-9b34-4380d39d6348}"/>
        <w:style w:val=""/>
        <w:category>
          <w:name w:val="常规"/>
          <w:gallery w:val="placeholder"/>
        </w:category>
        <w:types>
          <w:type w:val="bbPlcHdr"/>
        </w:types>
        <w:behaviors>
          <w:behavior w:val="content"/>
        </w:behaviors>
        <w:description w:val=""/>
        <w:guid w:val="{7c96c40f-3337-44b0-9b34-4380d39d6348}"/>
      </w:docPartPr>
      <w:docPartBody>
        <w:p>
          <w:r>
            <w:rPr>
              <w:color w:val="808080"/>
            </w:rPr>
            <w:t>单击此处输入文字。</w:t>
          </w:r>
        </w:p>
      </w:docPartBody>
    </w:docPart>
    <w:docPart>
      <w:docPartPr>
        <w:name w:val="{90b3cd57-6ed6-47f9-861c-ae5f1afd5836}"/>
        <w:style w:val=""/>
        <w:category>
          <w:name w:val="常规"/>
          <w:gallery w:val="placeholder"/>
        </w:category>
        <w:types>
          <w:type w:val="bbPlcHdr"/>
        </w:types>
        <w:behaviors>
          <w:behavior w:val="content"/>
        </w:behaviors>
        <w:description w:val=""/>
        <w:guid w:val="{90b3cd57-6ed6-47f9-861c-ae5f1afd5836}"/>
      </w:docPartPr>
      <w:docPartBody>
        <w:p>
          <w:r>
            <w:rPr>
              <w:color w:val="808080"/>
            </w:rPr>
            <w:t>单击此处输入文字。</w:t>
          </w:r>
        </w:p>
      </w:docPartBody>
    </w:docPart>
    <w:docPart>
      <w:docPartPr>
        <w:name w:val="{01ba6aa4-0d83-4353-9c09-2299cda9f3b1}"/>
        <w:style w:val=""/>
        <w:category>
          <w:name w:val="常规"/>
          <w:gallery w:val="placeholder"/>
        </w:category>
        <w:types>
          <w:type w:val="bbPlcHdr"/>
        </w:types>
        <w:behaviors>
          <w:behavior w:val="content"/>
        </w:behaviors>
        <w:description w:val=""/>
        <w:guid w:val="{01ba6aa4-0d83-4353-9c09-2299cda9f3b1}"/>
      </w:docPartPr>
      <w:docPartBody>
        <w:p>
          <w:r>
            <w:rPr>
              <w:color w:val="808080"/>
            </w:rPr>
            <w:t>单击此处输入文字。</w:t>
          </w:r>
        </w:p>
      </w:docPartBody>
    </w:docPart>
    <w:docPart>
      <w:docPartPr>
        <w:name w:val="{39d0b028-ec4a-479c-9d6d-343993c0b1de}"/>
        <w:style w:val=""/>
        <w:category>
          <w:name w:val="常规"/>
          <w:gallery w:val="placeholder"/>
        </w:category>
        <w:types>
          <w:type w:val="bbPlcHdr"/>
        </w:types>
        <w:behaviors>
          <w:behavior w:val="content"/>
        </w:behaviors>
        <w:description w:val=""/>
        <w:guid w:val="{39d0b028-ec4a-479c-9d6d-343993c0b1de}"/>
      </w:docPartPr>
      <w:docPartBody>
        <w:p>
          <w:r>
            <w:rPr>
              <w:color w:val="808080"/>
            </w:rPr>
            <w:t>单击此处输入文字。</w:t>
          </w:r>
        </w:p>
      </w:docPartBody>
    </w:docPart>
    <w:docPart>
      <w:docPartPr>
        <w:name w:val="{b1a7567a-5216-40aa-b722-6d5f683c5914}"/>
        <w:style w:val=""/>
        <w:category>
          <w:name w:val="常规"/>
          <w:gallery w:val="placeholder"/>
        </w:category>
        <w:types>
          <w:type w:val="bbPlcHdr"/>
        </w:types>
        <w:behaviors>
          <w:behavior w:val="content"/>
        </w:behaviors>
        <w:description w:val=""/>
        <w:guid w:val="{b1a7567a-5216-40aa-b722-6d5f683c5914}"/>
      </w:docPartPr>
      <w:docPartBody>
        <w:p>
          <w:r>
            <w:rPr>
              <w:color w:val="808080"/>
            </w:rPr>
            <w:t>单击此处输入文字。</w:t>
          </w:r>
        </w:p>
      </w:docPartBody>
    </w:docPart>
    <w:docPart>
      <w:docPartPr>
        <w:name w:val="{6bea65e8-0bf6-4d43-9b1f-52ae3c64878b}"/>
        <w:style w:val=""/>
        <w:category>
          <w:name w:val="常规"/>
          <w:gallery w:val="placeholder"/>
        </w:category>
        <w:types>
          <w:type w:val="bbPlcHdr"/>
        </w:types>
        <w:behaviors>
          <w:behavior w:val="content"/>
        </w:behaviors>
        <w:description w:val=""/>
        <w:guid w:val="{6bea65e8-0bf6-4d43-9b1f-52ae3c64878b}"/>
      </w:docPartPr>
      <w:docPartBody>
        <w:p>
          <w:r>
            <w:rPr>
              <w:color w:val="808080"/>
            </w:rPr>
            <w:t>单击此处输入文字。</w:t>
          </w:r>
        </w:p>
      </w:docPartBody>
    </w:docPart>
    <w:docPart>
      <w:docPartPr>
        <w:name w:val="{b29f67a0-6290-4613-93fb-9290f735e89b}"/>
        <w:style w:val=""/>
        <w:category>
          <w:name w:val="常规"/>
          <w:gallery w:val="placeholder"/>
        </w:category>
        <w:types>
          <w:type w:val="bbPlcHdr"/>
        </w:types>
        <w:behaviors>
          <w:behavior w:val="content"/>
        </w:behaviors>
        <w:description w:val=""/>
        <w:guid w:val="{b29f67a0-6290-4613-93fb-9290f735e89b}"/>
      </w:docPartPr>
      <w:docPartBody>
        <w:p>
          <w:r>
            <w:rPr>
              <w:color w:val="808080"/>
            </w:rPr>
            <w:t>单击此处输入文字。</w:t>
          </w:r>
        </w:p>
      </w:docPartBody>
    </w:docPart>
    <w:docPart>
      <w:docPartPr>
        <w:name w:val="{d654f48f-aac4-4a44-b32d-ca4d8a9a1336}"/>
        <w:style w:val=""/>
        <w:category>
          <w:name w:val="常规"/>
          <w:gallery w:val="placeholder"/>
        </w:category>
        <w:types>
          <w:type w:val="bbPlcHdr"/>
        </w:types>
        <w:behaviors>
          <w:behavior w:val="content"/>
        </w:behaviors>
        <w:description w:val=""/>
        <w:guid w:val="{d654f48f-aac4-4a44-b32d-ca4d8a9a1336}"/>
      </w:docPartPr>
      <w:docPartBody>
        <w:p>
          <w:r>
            <w:rPr>
              <w:color w:val="808080"/>
            </w:rPr>
            <w:t>单击此处输入文字。</w:t>
          </w:r>
        </w:p>
      </w:docPartBody>
    </w:docPart>
    <w:docPart>
      <w:docPartPr>
        <w:name w:val="{b27a7174-4b67-46ea-800b-9d15e8069dc5}"/>
        <w:style w:val=""/>
        <w:category>
          <w:name w:val="常规"/>
          <w:gallery w:val="placeholder"/>
        </w:category>
        <w:types>
          <w:type w:val="bbPlcHdr"/>
        </w:types>
        <w:behaviors>
          <w:behavior w:val="content"/>
        </w:behaviors>
        <w:description w:val=""/>
        <w:guid w:val="{b27a7174-4b67-46ea-800b-9d15e8069dc5}"/>
      </w:docPartPr>
      <w:docPartBody>
        <w:p>
          <w:r>
            <w:rPr>
              <w:color w:val="808080"/>
            </w:rPr>
            <w:t>单击此处输入文字。</w:t>
          </w:r>
        </w:p>
      </w:docPartBody>
    </w:docPart>
    <w:docPart>
      <w:docPartPr>
        <w:name w:val="{56e3275a-c300-46ee-ab05-5a5b836b5a17}"/>
        <w:style w:val=""/>
        <w:category>
          <w:name w:val="常规"/>
          <w:gallery w:val="placeholder"/>
        </w:category>
        <w:types>
          <w:type w:val="bbPlcHdr"/>
        </w:types>
        <w:behaviors>
          <w:behavior w:val="content"/>
        </w:behaviors>
        <w:description w:val=""/>
        <w:guid w:val="{56e3275a-c300-46ee-ab05-5a5b836b5a17}"/>
      </w:docPartPr>
      <w:docPartBody>
        <w:p>
          <w:r>
            <w:rPr>
              <w:color w:val="808080"/>
            </w:rPr>
            <w:t>单击此处输入文字。</w:t>
          </w:r>
        </w:p>
      </w:docPartBody>
    </w:docPart>
    <w:docPart>
      <w:docPartPr>
        <w:name w:val="{e81c9903-76f2-4dfc-aaac-462d94796c75}"/>
        <w:style w:val=""/>
        <w:category>
          <w:name w:val="常规"/>
          <w:gallery w:val="placeholder"/>
        </w:category>
        <w:types>
          <w:type w:val="bbPlcHdr"/>
        </w:types>
        <w:behaviors>
          <w:behavior w:val="content"/>
        </w:behaviors>
        <w:description w:val=""/>
        <w:guid w:val="{e81c9903-76f2-4dfc-aaac-462d94796c75}"/>
      </w:docPartPr>
      <w:docPartBody>
        <w:p>
          <w:r>
            <w:rPr>
              <w:color w:val="808080"/>
            </w:rPr>
            <w:t>单击此处输入文字。</w:t>
          </w:r>
        </w:p>
      </w:docPartBody>
    </w:docPart>
    <w:docPart>
      <w:docPartPr>
        <w:name w:val="{40b475b4-1b06-4261-8e2a-518ac2af638b}"/>
        <w:style w:val=""/>
        <w:category>
          <w:name w:val="常规"/>
          <w:gallery w:val="placeholder"/>
        </w:category>
        <w:types>
          <w:type w:val="bbPlcHdr"/>
        </w:types>
        <w:behaviors>
          <w:behavior w:val="content"/>
        </w:behaviors>
        <w:description w:val=""/>
        <w:guid w:val="{40b475b4-1b06-4261-8e2a-518ac2af638b}"/>
      </w:docPartPr>
      <w:docPartBody>
        <w:p>
          <w:r>
            <w:rPr>
              <w:color w:val="808080"/>
            </w:rPr>
            <w:t>单击此处输入文字。</w:t>
          </w:r>
        </w:p>
      </w:docPartBody>
    </w:docPart>
    <w:docPart>
      <w:docPartPr>
        <w:name w:val="{94d4f995-7151-4688-bafe-6ccdbcf8f648}"/>
        <w:style w:val=""/>
        <w:category>
          <w:name w:val="常规"/>
          <w:gallery w:val="placeholder"/>
        </w:category>
        <w:types>
          <w:type w:val="bbPlcHdr"/>
        </w:types>
        <w:behaviors>
          <w:behavior w:val="content"/>
        </w:behaviors>
        <w:description w:val=""/>
        <w:guid w:val="{94d4f995-7151-4688-bafe-6ccdbcf8f648}"/>
      </w:docPartPr>
      <w:docPartBody>
        <w:p>
          <w:r>
            <w:rPr>
              <w:color w:val="808080"/>
            </w:rPr>
            <w:t>单击此处输入文字。</w:t>
          </w:r>
        </w:p>
      </w:docPartBody>
    </w:docPart>
    <w:docPart>
      <w:docPartPr>
        <w:name w:val="{bc2a1dca-d916-4beb-919f-177dbe8dd99b}"/>
        <w:style w:val=""/>
        <w:category>
          <w:name w:val="常规"/>
          <w:gallery w:val="placeholder"/>
        </w:category>
        <w:types>
          <w:type w:val="bbPlcHdr"/>
        </w:types>
        <w:behaviors>
          <w:behavior w:val="content"/>
        </w:behaviors>
        <w:description w:val=""/>
        <w:guid w:val="{bc2a1dca-d916-4beb-919f-177dbe8dd99b}"/>
      </w:docPartPr>
      <w:docPartBody>
        <w:p>
          <w:r>
            <w:rPr>
              <w:color w:val="808080"/>
            </w:rPr>
            <w:t>单击此处输入文字。</w:t>
          </w:r>
        </w:p>
      </w:docPartBody>
    </w:docPart>
    <w:docPart>
      <w:docPartPr>
        <w:name w:val="{d2f36505-63dd-49f7-9df0-39593cb82a92}"/>
        <w:style w:val=""/>
        <w:category>
          <w:name w:val="常规"/>
          <w:gallery w:val="placeholder"/>
        </w:category>
        <w:types>
          <w:type w:val="bbPlcHdr"/>
        </w:types>
        <w:behaviors>
          <w:behavior w:val="content"/>
        </w:behaviors>
        <w:description w:val=""/>
        <w:guid w:val="{d2f36505-63dd-49f7-9df0-39593cb82a92}"/>
      </w:docPartPr>
      <w:docPartBody>
        <w:p>
          <w:r>
            <w:rPr>
              <w:color w:val="808080"/>
            </w:rPr>
            <w:t>单击此处输入文字。</w:t>
          </w:r>
        </w:p>
      </w:docPartBody>
    </w:docPart>
    <w:docPart>
      <w:docPartPr>
        <w:name w:val="{060134d4-375a-45d0-b5fc-b700dbd0bbc7}"/>
        <w:style w:val=""/>
        <w:category>
          <w:name w:val="常规"/>
          <w:gallery w:val="placeholder"/>
        </w:category>
        <w:types>
          <w:type w:val="bbPlcHdr"/>
        </w:types>
        <w:behaviors>
          <w:behavior w:val="content"/>
        </w:behaviors>
        <w:description w:val=""/>
        <w:guid w:val="{060134d4-375a-45d0-b5fc-b700dbd0bbc7}"/>
      </w:docPartPr>
      <w:docPartBody>
        <w:p>
          <w:r>
            <w:rPr>
              <w:color w:val="808080"/>
            </w:rPr>
            <w:t>单击此处输入文字。</w:t>
          </w:r>
        </w:p>
      </w:docPartBody>
    </w:docPart>
    <w:docPart>
      <w:docPartPr>
        <w:name w:val="{6fcdee3f-89ae-43a0-98f8-a463d7b4d22f}"/>
        <w:style w:val=""/>
        <w:category>
          <w:name w:val="常规"/>
          <w:gallery w:val="placeholder"/>
        </w:category>
        <w:types>
          <w:type w:val="bbPlcHdr"/>
        </w:types>
        <w:behaviors>
          <w:behavior w:val="content"/>
        </w:behaviors>
        <w:description w:val=""/>
        <w:guid w:val="{6fcdee3f-89ae-43a0-98f8-a463d7b4d22f}"/>
      </w:docPartPr>
      <w:docPartBody>
        <w:p>
          <w:r>
            <w:rPr>
              <w:color w:val="808080"/>
            </w:rPr>
            <w:t>单击此处输入文字。</w:t>
          </w:r>
        </w:p>
      </w:docPartBody>
    </w:docPart>
    <w:docPart>
      <w:docPartPr>
        <w:name w:val="{2a2eb907-b4fd-4b27-9802-617060510b7d}"/>
        <w:style w:val=""/>
        <w:category>
          <w:name w:val="常规"/>
          <w:gallery w:val="placeholder"/>
        </w:category>
        <w:types>
          <w:type w:val="bbPlcHdr"/>
        </w:types>
        <w:behaviors>
          <w:behavior w:val="content"/>
        </w:behaviors>
        <w:description w:val=""/>
        <w:guid w:val="{2a2eb907-b4fd-4b27-9802-617060510b7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0B"/>
    <w:rsid w:val="00C9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E10207CBFA98D144A6F350F48B722D7D"/>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5">
    <w:name w:val="F163344DFA9ECC4C872F8D4804EB75D1"/>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6">
    <w:name w:val="CCE70FC45986564F91B0808E5B1A59D7"/>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7">
    <w:name w:val="FC98481B5807A941B897080E62B024FC"/>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8">
    <w:name w:val="7FA026C1F3249B4C9FA5E399A7665D26"/>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9">
    <w:name w:val="9467E10B3CB945408DE98ACC7FDE36F1"/>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0">
    <w:name w:val="97B405054B84374182DA85DFFCF9602C"/>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1">
    <w:name w:val="4690BD3932624044B3C030B84958DCE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2">
    <w:name w:val="BCF994B6F43D2E48A7EA4CE93A606DC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3">
    <w:name w:val="44819C13511C624B9D8A15E5089B61E9"/>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4">
    <w:name w:val="9C96809FA1120B469BC96BC32F208C5F"/>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customStyle="1" w:styleId="15">
    <w:name w:val="5145B1D7184C434EB392A3D79F669763"/>
    <w:qFormat/>
    <w:uiPriority w:val="0"/>
    <w:pPr>
      <w:widowControl w:val="0"/>
      <w:jc w:val="both"/>
    </w:pPr>
    <w:rPr>
      <w:rFonts w:asciiTheme="minorHAnsi" w:hAnsiTheme="minorHAnsi" w:eastAsiaTheme="minorEastAsia" w:cstheme="minorBidi"/>
      <w:kern w:val="2"/>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000</Company>
  <Pages>29</Pages>
  <Words>15142</Words>
  <Characters>15390</Characters>
  <Lines>85</Lines>
  <Paragraphs>24</Paragraphs>
  <TotalTime>6113</TotalTime>
  <ScaleCrop>false</ScaleCrop>
  <LinksUpToDate>false</LinksUpToDate>
  <CharactersWithSpaces>15505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2020-08-01T15:00:00Z</dcterms:created>
  <dc:creator>Windows 用户</dc:creator>
  <cp:lastModifiedBy>是尊贵的会员啊</cp:lastModifiedBy>
  <cp:lastPrinted>2022-06-22T16:59:00Z</cp:lastPrinted>
  <dcterms:modified xsi:type="dcterms:W3CDTF">2023-12-06T02:21:16Z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136CB84477DF4755971E4924CC1689F2</vt:lpwstr>
  </property>
</Properties>
</file>