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w w:val="80"/>
          <w:sz w:val="44"/>
          <w:szCs w:val="44"/>
        </w:rPr>
      </w:pPr>
      <w:bookmarkStart w:id="0" w:name="OLE_LINK1"/>
    </w:p>
    <w:p>
      <w:pPr>
        <w:spacing w:line="460" w:lineRule="exact"/>
        <w:jc w:val="center"/>
        <w:rPr>
          <w:sz w:val="44"/>
          <w:szCs w:val="44"/>
        </w:rPr>
      </w:pPr>
    </w:p>
    <w:p>
      <w:pPr>
        <w:spacing w:line="500" w:lineRule="exact"/>
        <w:jc w:val="center"/>
        <w:rPr>
          <w:sz w:val="44"/>
          <w:szCs w:val="44"/>
        </w:rPr>
      </w:pPr>
    </w:p>
    <w:p>
      <w:pPr>
        <w:tabs>
          <w:tab w:val="left" w:pos="3555"/>
        </w:tabs>
        <w:spacing w:line="440" w:lineRule="exact"/>
        <w:rPr>
          <w:sz w:val="44"/>
          <w:szCs w:val="44"/>
        </w:rPr>
      </w:pPr>
      <w:r>
        <w:rPr>
          <w:sz w:val="44"/>
          <w:szCs w:val="44"/>
        </w:rPr>
        <w:tab/>
      </w:r>
    </w:p>
    <w:p>
      <w:pPr>
        <w:tabs>
          <w:tab w:val="left" w:pos="3555"/>
        </w:tabs>
        <w:rPr>
          <w:sz w:val="44"/>
          <w:szCs w:val="44"/>
        </w:rPr>
      </w:pPr>
    </w:p>
    <w:p>
      <w:pPr>
        <w:tabs>
          <w:tab w:val="left" w:pos="3555"/>
        </w:tabs>
        <w:spacing w:line="440" w:lineRule="exact"/>
        <w:rPr>
          <w:sz w:val="44"/>
          <w:szCs w:val="44"/>
        </w:rPr>
      </w:pPr>
    </w:p>
    <w:p>
      <w:pPr>
        <w:spacing w:line="400" w:lineRule="exact"/>
        <w:jc w:val="center"/>
        <w:rPr>
          <w:rFonts w:ascii="楷体_GB2312" w:hAnsi="仿宋" w:eastAsia="楷体_GB2312"/>
          <w:sz w:val="30"/>
          <w:szCs w:val="30"/>
        </w:rPr>
      </w:pPr>
    </w:p>
    <w:p>
      <w:pPr>
        <w:pStyle w:val="2"/>
        <w:spacing w:line="300" w:lineRule="exact"/>
        <w:ind w:firstLine="420"/>
      </w:pPr>
    </w:p>
    <w:p>
      <w:pPr>
        <w:spacing w:line="440" w:lineRule="exact"/>
        <w:jc w:val="center"/>
        <w:rPr>
          <w:rFonts w:ascii="楷体_GB2312" w:hAnsi="仿宋" w:eastAsia="楷体_GB2312"/>
          <w:sz w:val="30"/>
          <w:szCs w:val="30"/>
        </w:rPr>
      </w:pPr>
      <w:r>
        <w:rPr>
          <w:rFonts w:hint="eastAsia" w:ascii="楷体_GB2312" w:hAnsi="仿宋" w:eastAsia="楷体_GB2312"/>
          <w:sz w:val="30"/>
          <w:szCs w:val="30"/>
        </w:rPr>
        <w:t>沁住建字〔2021</w:t>
      </w:r>
      <w:r>
        <w:rPr>
          <w:rFonts w:ascii="楷体_GB2312" w:hAnsi="仿宋" w:eastAsia="楷体_GB2312"/>
          <w:sz w:val="30"/>
          <w:szCs w:val="30"/>
        </w:rPr>
        <w:t>〕</w:t>
      </w:r>
      <w:r>
        <w:rPr>
          <w:rFonts w:hint="eastAsia" w:ascii="楷体_GB2312" w:hAnsi="仿宋" w:eastAsia="楷体_GB2312"/>
          <w:sz w:val="30"/>
          <w:szCs w:val="30"/>
        </w:rPr>
        <w:t>2</w:t>
      </w:r>
      <w:r>
        <w:rPr>
          <w:rFonts w:hint="eastAsia" w:ascii="楷体_GB2312" w:hAnsi="仿宋" w:eastAsia="楷体_GB2312"/>
          <w:sz w:val="30"/>
          <w:szCs w:val="30"/>
          <w:lang w:val="en-US" w:eastAsia="zh-CN"/>
        </w:rPr>
        <w:t>9</w:t>
      </w:r>
      <w:r>
        <w:rPr>
          <w:rFonts w:hint="eastAsia" w:ascii="楷体_GB2312" w:hAnsi="仿宋" w:eastAsia="楷体_GB2312"/>
          <w:sz w:val="30"/>
          <w:szCs w:val="30"/>
        </w:rPr>
        <w:t>号</w:t>
      </w:r>
    </w:p>
    <w:p>
      <w:pPr>
        <w:spacing w:line="160" w:lineRule="exact"/>
        <w:ind w:right="221"/>
        <w:rPr>
          <w:rFonts w:ascii="楷体_GB2312" w:eastAsia="楷体_GB2312"/>
          <w:sz w:val="30"/>
          <w:szCs w:val="30"/>
        </w:rPr>
      </w:pPr>
    </w:p>
    <w:bookmarkEnd w:id="0"/>
    <w:p>
      <w:pPr>
        <w:spacing w:line="160" w:lineRule="exact"/>
        <w:ind w:right="221"/>
        <w:rPr>
          <w:rFonts w:ascii="楷体_GB2312" w:eastAsia="楷体_GB2312"/>
          <w:sz w:val="30"/>
          <w:szCs w:val="30"/>
        </w:rPr>
      </w:pPr>
    </w:p>
    <w:p>
      <w:pPr>
        <w:spacing w:line="100" w:lineRule="exact"/>
        <w:ind w:right="221"/>
        <w:rPr>
          <w:rFonts w:ascii="Calibri" w:hAnsi="Calibri"/>
          <w:b/>
          <w:bCs/>
          <w:sz w:val="18"/>
          <w:szCs w:val="18"/>
        </w:rPr>
      </w:pPr>
    </w:p>
    <w:p>
      <w:pPr>
        <w:spacing w:line="240" w:lineRule="exact"/>
        <w:ind w:right="221"/>
        <w:rPr>
          <w:rFonts w:ascii="楷体_GB2312" w:eastAsia="楷体_GB2312"/>
          <w:sz w:val="30"/>
          <w:szCs w:val="30"/>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沁水县</w:t>
      </w:r>
      <w:r>
        <w:rPr>
          <w:rFonts w:hint="eastAsia" w:ascii="方正小标宋简体" w:hAnsi="方正小标宋简体" w:eastAsia="方正小标宋简体" w:cs="方正小标宋简体"/>
          <w:sz w:val="44"/>
          <w:szCs w:val="44"/>
        </w:rPr>
        <w:t>房屋产权登记确权颁证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清零行动工作方案</w:t>
      </w:r>
    </w:p>
    <w:p>
      <w:pPr>
        <w:rPr>
          <w:rFonts w:hint="eastAsia" w:ascii="仿宋" w:hAnsi="仿宋" w:eastAsia="仿宋" w:cs="仿宋"/>
          <w:sz w:val="28"/>
          <w:szCs w:val="28"/>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根据</w:t>
      </w:r>
      <w:r>
        <w:rPr>
          <w:rFonts w:hint="eastAsia" w:ascii="仿宋" w:hAnsi="仿宋" w:eastAsia="仿宋" w:cs="仿宋"/>
          <w:sz w:val="32"/>
          <w:szCs w:val="32"/>
        </w:rPr>
        <w:t>《</w:t>
      </w:r>
      <w:r>
        <w:rPr>
          <w:rFonts w:hint="eastAsia" w:ascii="仿宋" w:hAnsi="仿宋" w:eastAsia="仿宋" w:cs="仿宋"/>
          <w:sz w:val="32"/>
          <w:szCs w:val="32"/>
          <w:lang w:eastAsia="zh-CN"/>
        </w:rPr>
        <w:t>沁水县</w:t>
      </w:r>
      <w:r>
        <w:rPr>
          <w:rFonts w:hint="eastAsia" w:ascii="仿宋" w:hAnsi="仿宋" w:eastAsia="仿宋" w:cs="仿宋"/>
          <w:sz w:val="32"/>
          <w:szCs w:val="32"/>
        </w:rPr>
        <w:t>房屋产权登记确权颁证清零行动工作方案》</w:t>
      </w:r>
      <w:r>
        <w:rPr>
          <w:rFonts w:hint="eastAsia" w:ascii="仿宋" w:hAnsi="仿宋" w:eastAsia="仿宋" w:cs="仿宋"/>
          <w:sz w:val="32"/>
          <w:szCs w:val="32"/>
          <w:lang w:eastAsia="zh-CN"/>
        </w:rPr>
        <w:t>工作</w:t>
      </w:r>
      <w:r>
        <w:rPr>
          <w:rFonts w:hint="eastAsia" w:ascii="仿宋" w:hAnsi="仿宋" w:eastAsia="仿宋" w:cs="仿宋"/>
          <w:sz w:val="32"/>
          <w:szCs w:val="32"/>
        </w:rPr>
        <w:t>要求，结合</w:t>
      </w:r>
      <w:r>
        <w:rPr>
          <w:rFonts w:hint="eastAsia" w:ascii="仿宋" w:hAnsi="仿宋" w:eastAsia="仿宋" w:cs="仿宋"/>
          <w:sz w:val="32"/>
          <w:szCs w:val="32"/>
          <w:lang w:eastAsia="zh-CN"/>
        </w:rPr>
        <w:t>住建工作</w:t>
      </w:r>
      <w:r>
        <w:rPr>
          <w:rFonts w:hint="eastAsia" w:ascii="仿宋" w:hAnsi="仿宋" w:eastAsia="仿宋" w:cs="仿宋"/>
          <w:sz w:val="32"/>
          <w:szCs w:val="32"/>
        </w:rPr>
        <w:t>实际，制定本工作方案。</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一、指导思想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按照县委“三地三区五提升”的总要求，秉持“人民至上”理念，以为企业和群众“办好一件事”为目标</w:t>
      </w:r>
      <w:r>
        <w:rPr>
          <w:rFonts w:hint="eastAsia" w:ascii="仿宋" w:hAnsi="仿宋" w:eastAsia="仿宋" w:cs="仿宋"/>
          <w:sz w:val="32"/>
          <w:szCs w:val="32"/>
          <w:lang w:eastAsia="zh-CN"/>
        </w:rPr>
        <w:t>，</w:t>
      </w:r>
      <w:r>
        <w:rPr>
          <w:rFonts w:hint="eastAsia" w:ascii="仿宋" w:hAnsi="仿宋" w:eastAsia="仿宋" w:cs="仿宋"/>
          <w:sz w:val="32"/>
          <w:szCs w:val="32"/>
        </w:rPr>
        <w:t>建立健全协作高效的体制机制，制定出台切实管用的政策措施，加快解决房屋产权登记历史遗留问题</w:t>
      </w:r>
      <w:r>
        <w:rPr>
          <w:rFonts w:hint="eastAsia" w:ascii="仿宋" w:hAnsi="仿宋" w:eastAsia="仿宋" w:cs="仿宋"/>
          <w:sz w:val="32"/>
          <w:szCs w:val="32"/>
          <w:lang w:eastAsia="zh-CN"/>
        </w:rPr>
        <w:t>，</w:t>
      </w:r>
      <w:r>
        <w:rPr>
          <w:rFonts w:hint="eastAsia" w:ascii="仿宋" w:hAnsi="仿宋" w:eastAsia="仿宋" w:cs="仿宋"/>
          <w:sz w:val="32"/>
          <w:szCs w:val="32"/>
        </w:rPr>
        <w:t>集中力量完成全县房屋产权登记确权颁证清零行动，保护广大人民群众的合法权益，有效防范和化解房地产市场风险，保障全县经济平稳健康发展，维护社会和谐稳定。</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二、工作目标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到2022年底，</w:t>
      </w:r>
      <w:r>
        <w:rPr>
          <w:rFonts w:hint="eastAsia" w:ascii="仿宋" w:hAnsi="仿宋" w:eastAsia="仿宋" w:cs="仿宋"/>
          <w:sz w:val="32"/>
          <w:szCs w:val="32"/>
          <w:lang w:eastAsia="zh-CN"/>
        </w:rPr>
        <w:t>所辖领域内</w:t>
      </w:r>
      <w:r>
        <w:rPr>
          <w:rFonts w:hint="eastAsia" w:ascii="仿宋" w:hAnsi="仿宋" w:eastAsia="仿宋" w:cs="仿宋"/>
          <w:sz w:val="32"/>
          <w:szCs w:val="32"/>
        </w:rPr>
        <w:t>国有建设用地上证件齐全、产权清晰</w:t>
      </w:r>
      <w:r>
        <w:rPr>
          <w:rFonts w:hint="eastAsia" w:ascii="仿宋" w:hAnsi="仿宋" w:eastAsia="仿宋" w:cs="仿宋"/>
          <w:sz w:val="32"/>
          <w:szCs w:val="32"/>
          <w:lang w:eastAsia="zh-CN"/>
        </w:rPr>
        <w:t>，已</w:t>
      </w:r>
      <w:r>
        <w:rPr>
          <w:rFonts w:hint="eastAsia" w:ascii="仿宋" w:hAnsi="仿宋" w:eastAsia="仿宋" w:cs="仿宋"/>
          <w:sz w:val="32"/>
          <w:szCs w:val="32"/>
        </w:rPr>
        <w:t>缴清各种税费的房屋要全部完成不动产登记，取得不动产权证</w:t>
      </w:r>
      <w:r>
        <w:rPr>
          <w:rFonts w:hint="eastAsia" w:ascii="仿宋" w:hAnsi="仿宋" w:eastAsia="仿宋" w:cs="仿宋"/>
          <w:sz w:val="32"/>
          <w:szCs w:val="32"/>
          <w:lang w:eastAsia="zh-CN"/>
        </w:rPr>
        <w:t>书，</w:t>
      </w:r>
      <w:r>
        <w:rPr>
          <w:rFonts w:hint="eastAsia" w:ascii="仿宋" w:hAnsi="仿宋" w:eastAsia="仿宋" w:cs="仿宋"/>
          <w:sz w:val="32"/>
          <w:szCs w:val="32"/>
        </w:rPr>
        <w:t>实现确权颁证清零，并建立长效机制。</w:t>
      </w:r>
    </w:p>
    <w:p>
      <w:pPr>
        <w:numPr>
          <w:ilvl w:val="0"/>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三、组织机构</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为确保如期完成目标任务，特成立清零行动工作领导小组，组成人员如下：</w:t>
      </w:r>
    </w:p>
    <w:p>
      <w:pPr>
        <w:numPr>
          <w:ilvl w:val="0"/>
          <w:numId w:val="0"/>
        </w:numPr>
        <w:ind w:firstLine="56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组  长：宋国忠  局党组书记、局长 </w:t>
      </w:r>
    </w:p>
    <w:p>
      <w:pPr>
        <w:numPr>
          <w:ilvl w:val="0"/>
          <w:numId w:val="0"/>
        </w:numPr>
        <w:ind w:firstLine="56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副组长：都沁军  局党组成员、副局长</w:t>
      </w:r>
    </w:p>
    <w:p>
      <w:pPr>
        <w:numPr>
          <w:ilvl w:val="0"/>
          <w:numId w:val="0"/>
        </w:numPr>
        <w:ind w:firstLine="56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于建标  县城市管理综合行政执法队队长</w:t>
      </w:r>
    </w:p>
    <w:p>
      <w:pPr>
        <w:numPr>
          <w:ilvl w:val="0"/>
          <w:numId w:val="0"/>
        </w:numPr>
        <w:ind w:firstLine="56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张志中  县人防指挥信息保障中心副主任</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赵小兵  住房保障股负责人（兼）</w:t>
      </w:r>
    </w:p>
    <w:p>
      <w:pPr>
        <w:numPr>
          <w:ilvl w:val="0"/>
          <w:numId w:val="0"/>
        </w:numPr>
        <w:ind w:firstLine="596" w:firstLineChars="200"/>
        <w:rPr>
          <w:rFonts w:hint="eastAsia" w:ascii="仿宋" w:hAnsi="仿宋" w:eastAsia="仿宋" w:cs="仿宋"/>
          <w:sz w:val="32"/>
          <w:szCs w:val="32"/>
          <w:lang w:val="en-US" w:eastAsia="zh-CN"/>
        </w:rPr>
      </w:pPr>
      <w:bookmarkStart w:id="1" w:name="_GoBack"/>
      <w:bookmarkEnd w:id="1"/>
      <w:r>
        <w:rPr>
          <w:rFonts w:hint="eastAsia" w:ascii="仿宋" w:hAnsi="仿宋" w:eastAsia="仿宋" w:cs="仿宋"/>
          <w:spacing w:val="-11"/>
          <w:sz w:val="32"/>
          <w:szCs w:val="32"/>
          <w:lang w:val="en-US" w:eastAsia="zh-CN"/>
        </w:rPr>
        <w:t>成  员：</w:t>
      </w:r>
      <w:r>
        <w:rPr>
          <w:rFonts w:hint="eastAsia" w:ascii="仿宋" w:hAnsi="仿宋" w:eastAsia="仿宋" w:cs="仿宋"/>
          <w:spacing w:val="-6"/>
          <w:sz w:val="32"/>
          <w:szCs w:val="32"/>
          <w:lang w:val="en-US" w:eastAsia="zh-CN"/>
        </w:rPr>
        <w:t>张斌全  城乡房屋安全隐患排查办公室主任</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原高升  综合展示馆馆长</w:t>
      </w:r>
    </w:p>
    <w:p>
      <w:pPr>
        <w:numPr>
          <w:ilvl w:val="0"/>
          <w:numId w:val="0"/>
        </w:numPr>
        <w:ind w:firstLine="1808" w:firstLineChars="56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尉晋龙  质量监督站站长</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焦爱情  县城市管理综合行政执法队副队长</w:t>
      </w:r>
    </w:p>
    <w:p>
      <w:pPr>
        <w:numPr>
          <w:ilvl w:val="0"/>
          <w:numId w:val="0"/>
        </w:numPr>
        <w:ind w:firstLine="1808" w:firstLineChars="56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李亚刚  县城市管理综合行政执法队副队长</w:t>
      </w:r>
    </w:p>
    <w:p>
      <w:pPr>
        <w:numPr>
          <w:ilvl w:val="0"/>
          <w:numId w:val="0"/>
        </w:numPr>
        <w:ind w:firstLine="1808" w:firstLineChars="565"/>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王  楠  县人防指挥信息保障中心科员</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四、职责分工</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房保障股：建立符合办理不动产登记且尚未办理项目台账，摸清底数；加强对房地产开发行业及企业的监管，督促房地产开发建设企业主动配合完善相关手续；实行房地产企业信用评价管理，对失信企业进行惩戒。</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质量监督站：负责对符合办理不动产登记且尚未办理的建设工程质量竣工验收提出处理意见。</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人防指挥信息保障中心：负责对符合办理不动产登记且尚未办理的建设工程涉及人防工程的项目进行审查、认定，提出处理意见；对可以整改完善的负责督促整改。</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城市管理综合行政执法队：负责对清零行动过程中涉及违反《建筑法》、《城乡规划法》和《建设工程质量管理条例》等规定的违法违规行为进行处罚。</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原行政审批窗口：负责做好清零行动过程中涉及项目资料收集核对等工作。</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实施步骤</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2022年底前，完成纳入清单的房屋登记发证工作，基本实现“应发尽发”，共分三个阶段进行:</w:t>
      </w:r>
    </w:p>
    <w:p>
      <w:pPr>
        <w:numPr>
          <w:ilvl w:val="0"/>
          <w:numId w:val="0"/>
        </w:num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(一)全面启动阶段(2021年6月-2021年7月底)</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制定出台清零行动工作方案；组织相关股室对符合条件的房屋进行全面摸底调查并建立台账</w:t>
      </w:r>
      <w:r>
        <w:rPr>
          <w:rFonts w:hint="eastAsia" w:ascii="仿宋" w:hAnsi="仿宋" w:eastAsia="仿宋" w:cs="仿宋"/>
          <w:i/>
          <w:iCs/>
          <w:sz w:val="32"/>
          <w:szCs w:val="32"/>
          <w:lang w:val="en-US" w:eastAsia="zh-CN"/>
        </w:rPr>
        <w:t>，</w:t>
      </w:r>
      <w:r>
        <w:rPr>
          <w:rFonts w:hint="eastAsia" w:ascii="仿宋" w:hAnsi="仿宋" w:eastAsia="仿宋" w:cs="仿宋"/>
          <w:sz w:val="32"/>
          <w:szCs w:val="32"/>
          <w:lang w:val="en-US" w:eastAsia="zh-CN"/>
        </w:rPr>
        <w:t>制定工作计划，分批次确定纳入解决范围的项目清单;对相关股室工作人员进行政策与业务培训，继续有序推进不动产登记处遗工作。</w:t>
      </w:r>
    </w:p>
    <w:p>
      <w:pPr>
        <w:numPr>
          <w:ilvl w:val="0"/>
          <w:numId w:val="0"/>
        </w:num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(二)集中攻坚阶段(2021年8月-2022年9月底)</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对于2016年12月31日前建成并投入使用的房屋，以2021年底至少完成总任务的60%，2022年9月底基本完成清零行动为目标，开展集中攻坚，全面部署、推进各项工作。</w:t>
      </w:r>
    </w:p>
    <w:p>
      <w:pPr>
        <w:numPr>
          <w:ilvl w:val="0"/>
          <w:numId w:val="0"/>
        </w:num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(三)考核验收阶段(2022年10月-2022年底)</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基本完成住建领域纳入清零行动范围内不动产登记确权颁证工作，逐一清理尚未完成的疑点、难点问题，全面开展“回头看”和督导验收工作，确保“销号清零”。</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六、工作要求</w:t>
      </w:r>
    </w:p>
    <w:p>
      <w:pPr>
        <w:numPr>
          <w:ilvl w:val="0"/>
          <w:numId w:val="0"/>
        </w:numPr>
        <w:ind w:firstLine="56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(一)高度重视抓落实。</w:t>
      </w:r>
      <w:r>
        <w:rPr>
          <w:rFonts w:hint="eastAsia" w:ascii="仿宋" w:hAnsi="仿宋" w:eastAsia="仿宋" w:cs="仿宋"/>
          <w:sz w:val="32"/>
          <w:szCs w:val="32"/>
          <w:lang w:val="en-US" w:eastAsia="zh-CN"/>
        </w:rPr>
        <w:t>各责任单位、股室负责人要高度重视清零行动工作，主动认领目标任务，将责任分解到人，狠抓工作任务落实，确保如期实现清零目标。</w:t>
      </w:r>
    </w:p>
    <w:p>
      <w:pPr>
        <w:numPr>
          <w:ilvl w:val="0"/>
          <w:numId w:val="0"/>
        </w:numPr>
        <w:ind w:firstLine="56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（二）完善机制抓落实。</w:t>
      </w:r>
      <w:r>
        <w:rPr>
          <w:rFonts w:hint="eastAsia" w:ascii="仿宋" w:hAnsi="仿宋" w:eastAsia="仿宋" w:cs="仿宋"/>
          <w:sz w:val="32"/>
          <w:szCs w:val="32"/>
          <w:lang w:val="en-US" w:eastAsia="zh-CN"/>
        </w:rPr>
        <w:t>要针对房地产行业和市场秩序、房地产中介领域等企业和群众办事过程中的堵点、痛点，有针对性地出台解决方案，从源头上更好地维护和保障群众切身利益。</w:t>
      </w:r>
    </w:p>
    <w:p>
      <w:pPr>
        <w:numPr>
          <w:ilvl w:val="0"/>
          <w:numId w:val="0"/>
        </w:numPr>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(三)加大宣传抓落实。</w:t>
      </w:r>
      <w:r>
        <w:rPr>
          <w:rFonts w:hint="eastAsia" w:ascii="仿宋" w:hAnsi="仿宋" w:eastAsia="仿宋" w:cs="仿宋"/>
          <w:sz w:val="32"/>
          <w:szCs w:val="32"/>
          <w:lang w:val="en-US" w:eastAsia="zh-CN"/>
        </w:rPr>
        <w:t>要加强对清零行动的媒体宣传报道，对于房地产开发建设企业，要通过政策宣讲、上门动员、舆论督促等方式，引导企业积极主动配合工作开展。</w:t>
      </w:r>
    </w:p>
    <w:p>
      <w:pPr>
        <w:numPr>
          <w:ilvl w:val="0"/>
          <w:numId w:val="0"/>
        </w:numPr>
        <w:ind w:firstLine="560" w:firstLineChars="200"/>
        <w:rPr>
          <w:rFonts w:hint="eastAsia" w:ascii="仿宋" w:hAnsi="仿宋" w:eastAsia="仿宋" w:cs="仿宋"/>
          <w:sz w:val="28"/>
          <w:szCs w:val="28"/>
          <w:lang w:val="en-US" w:eastAsia="zh-CN"/>
        </w:rPr>
      </w:pPr>
    </w:p>
    <w:p>
      <w:pPr>
        <w:numPr>
          <w:ilvl w:val="0"/>
          <w:numId w:val="0"/>
        </w:numPr>
        <w:ind w:firstLine="560" w:firstLineChars="200"/>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420" w:left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                         沁水县住房和城乡建设管理局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sz w:val="32"/>
          <w:szCs w:val="32"/>
        </w:rPr>
        <w:t xml:space="preserve">                           2021年7月</w:t>
      </w:r>
      <w:r>
        <w:rPr>
          <w:rFonts w:hint="eastAsia" w:ascii="仿宋_GB2312" w:hAnsi="仿宋" w:eastAsia="仿宋_GB2312"/>
          <w:sz w:val="32"/>
          <w:szCs w:val="32"/>
          <w:lang w:val="en-US" w:eastAsia="zh-CN"/>
        </w:rPr>
        <w:t>8</w:t>
      </w:r>
      <w:r>
        <w:rPr>
          <w:rFonts w:hint="eastAsia" w:ascii="仿宋_GB2312" w:hAnsi="仿宋" w:eastAsia="仿宋_GB2312"/>
          <w:sz w:val="32"/>
          <w:szCs w:val="32"/>
        </w:rPr>
        <w:t>日</w:t>
      </w:r>
      <w:r>
        <w:rPr>
          <w:rFonts w:hint="eastAsia" w:ascii="仿宋_GB2312" w:hAnsi="仿宋" w:eastAsia="仿宋_GB2312"/>
          <w:sz w:val="32"/>
          <w:szCs w:val="32"/>
          <w:lang w:val="en-US" w:eastAsia="zh-CN"/>
        </w:rPr>
        <w:t xml:space="preserve"> </w:t>
      </w:r>
    </w:p>
    <w:sectPr>
      <w:footerReference r:id="rId3" w:type="default"/>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joinstyle="miter"/>
          <v:imagedata o:title=""/>
          <o:lock v:ext="edit"/>
          <v:textbox inset="0mm,0mm,0mm,0mm" style="mso-fit-shape-to-text:t;">
            <w:txbxContent>
              <w:p>
                <w:pPr>
                  <w:pStyle w:val="6"/>
                  <w:rPr>
                    <w:rFonts w:ascii="仿宋_GB2312" w:eastAsia="仿宋_GB2312"/>
                    <w:sz w:val="24"/>
                    <w:szCs w:val="24"/>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0B2E48"/>
    <w:multiLevelType w:val="singleLevel"/>
    <w:tmpl w:val="230B2E48"/>
    <w:lvl w:ilvl="0" w:tentative="0">
      <w:start w:val="5"/>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C1224E7"/>
    <w:rsid w:val="0002484B"/>
    <w:rsid w:val="000523E3"/>
    <w:rsid w:val="0007530B"/>
    <w:rsid w:val="000A067F"/>
    <w:rsid w:val="000B1357"/>
    <w:rsid w:val="000C7344"/>
    <w:rsid w:val="000E157B"/>
    <w:rsid w:val="001912FD"/>
    <w:rsid w:val="001C3593"/>
    <w:rsid w:val="001F47C2"/>
    <w:rsid w:val="00222F43"/>
    <w:rsid w:val="00253D35"/>
    <w:rsid w:val="003103EF"/>
    <w:rsid w:val="00311115"/>
    <w:rsid w:val="00315A6D"/>
    <w:rsid w:val="003225A6"/>
    <w:rsid w:val="0034794C"/>
    <w:rsid w:val="00367B6D"/>
    <w:rsid w:val="00380DAA"/>
    <w:rsid w:val="00413A97"/>
    <w:rsid w:val="004207B9"/>
    <w:rsid w:val="00475316"/>
    <w:rsid w:val="00493551"/>
    <w:rsid w:val="004A65B6"/>
    <w:rsid w:val="004F2941"/>
    <w:rsid w:val="00523A68"/>
    <w:rsid w:val="005258C8"/>
    <w:rsid w:val="00546CB8"/>
    <w:rsid w:val="005617E1"/>
    <w:rsid w:val="00594B13"/>
    <w:rsid w:val="005A70D2"/>
    <w:rsid w:val="005A7A42"/>
    <w:rsid w:val="00612822"/>
    <w:rsid w:val="00612FD9"/>
    <w:rsid w:val="0064768F"/>
    <w:rsid w:val="00647B1C"/>
    <w:rsid w:val="0065703D"/>
    <w:rsid w:val="0065742C"/>
    <w:rsid w:val="006F7FEE"/>
    <w:rsid w:val="00715F3C"/>
    <w:rsid w:val="00742D49"/>
    <w:rsid w:val="00767ABA"/>
    <w:rsid w:val="007B1F01"/>
    <w:rsid w:val="007C239A"/>
    <w:rsid w:val="007E15A7"/>
    <w:rsid w:val="007E2989"/>
    <w:rsid w:val="00873FB0"/>
    <w:rsid w:val="00880E95"/>
    <w:rsid w:val="0089230F"/>
    <w:rsid w:val="008B47E3"/>
    <w:rsid w:val="008D1237"/>
    <w:rsid w:val="008E058F"/>
    <w:rsid w:val="00966B0F"/>
    <w:rsid w:val="0097355D"/>
    <w:rsid w:val="009939C6"/>
    <w:rsid w:val="00A4456C"/>
    <w:rsid w:val="00A607CC"/>
    <w:rsid w:val="00A87CEE"/>
    <w:rsid w:val="00AB28D7"/>
    <w:rsid w:val="00AD0C48"/>
    <w:rsid w:val="00B156F0"/>
    <w:rsid w:val="00B62CF4"/>
    <w:rsid w:val="00B8015C"/>
    <w:rsid w:val="00BA549D"/>
    <w:rsid w:val="00BF7295"/>
    <w:rsid w:val="00C351F7"/>
    <w:rsid w:val="00C57BC7"/>
    <w:rsid w:val="00C82F16"/>
    <w:rsid w:val="00CF7841"/>
    <w:rsid w:val="00D84EFC"/>
    <w:rsid w:val="00D85491"/>
    <w:rsid w:val="00D96DA1"/>
    <w:rsid w:val="00DB554B"/>
    <w:rsid w:val="00E06D0E"/>
    <w:rsid w:val="00E445F8"/>
    <w:rsid w:val="00E45A9A"/>
    <w:rsid w:val="00E878AF"/>
    <w:rsid w:val="00ED4BE8"/>
    <w:rsid w:val="00EF2D61"/>
    <w:rsid w:val="00F013E3"/>
    <w:rsid w:val="00F26538"/>
    <w:rsid w:val="00F66CF9"/>
    <w:rsid w:val="00F72E14"/>
    <w:rsid w:val="00FE1677"/>
    <w:rsid w:val="0C9D63A8"/>
    <w:rsid w:val="351D5452"/>
    <w:rsid w:val="44D508ED"/>
    <w:rsid w:val="568211FB"/>
    <w:rsid w:val="5EAA2A5B"/>
    <w:rsid w:val="606B38D9"/>
    <w:rsid w:val="7C1224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6"/>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after="50" w:line="288" w:lineRule="auto"/>
      <w:ind w:firstLine="560" w:firstLineChars="200"/>
    </w:pPr>
    <w:rPr>
      <w:rFonts w:ascii="宋体" w:hAnsi="宋体"/>
      <w:szCs w:val="24"/>
    </w:rPr>
  </w:style>
  <w:style w:type="paragraph" w:styleId="4">
    <w:name w:val="Block Text"/>
    <w:basedOn w:val="1"/>
    <w:unhideWhenUsed/>
    <w:uiPriority w:val="99"/>
    <w:pPr>
      <w:spacing w:after="120"/>
      <w:ind w:left="1440" w:leftChars="700" w:right="1440" w:rightChars="700"/>
    </w:pPr>
  </w:style>
  <w:style w:type="paragraph" w:styleId="5">
    <w:name w:val="Date"/>
    <w:basedOn w:val="1"/>
    <w:next w:val="1"/>
    <w:link w:val="15"/>
    <w:qFormat/>
    <w:uiPriority w:val="0"/>
    <w:pPr>
      <w:ind w:left="100" w:leftChars="2500"/>
    </w:pPr>
  </w:style>
  <w:style w:type="paragraph" w:styleId="6">
    <w:name w:val="footer"/>
    <w:basedOn w:val="1"/>
    <w:unhideWhenUsed/>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next w:val="1"/>
    <w:qFormat/>
    <w:uiPriority w:val="0"/>
    <w:pPr>
      <w:spacing w:before="100" w:beforeAutospacing="1" w:after="100" w:afterAutospacing="1"/>
    </w:pPr>
    <w:rPr>
      <w:rFonts w:ascii="宋体" w:hAnsi="宋体" w:eastAsia="宋体" w:cs="宋体"/>
      <w:sz w:val="24"/>
      <w:szCs w:val="24"/>
      <w:lang w:val="en-US" w:eastAsia="zh-CN" w:bidi="ar-SA"/>
    </w:rPr>
  </w:style>
  <w:style w:type="table" w:styleId="10">
    <w:name w:val="Table Grid"/>
    <w:basedOn w:val="9"/>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正文首行缩进 21"/>
    <w:basedOn w:val="13"/>
    <w:next w:val="8"/>
    <w:qFormat/>
    <w:uiPriority w:val="0"/>
    <w:pPr>
      <w:ind w:firstLine="420" w:firstLineChars="200"/>
    </w:pPr>
  </w:style>
  <w:style w:type="paragraph" w:customStyle="1" w:styleId="13">
    <w:name w:val="正文文本缩进1"/>
    <w:qFormat/>
    <w:uiPriority w:val="0"/>
    <w:pPr>
      <w:widowControl w:val="0"/>
      <w:ind w:left="420" w:leftChars="200"/>
      <w:jc w:val="both"/>
    </w:pPr>
    <w:rPr>
      <w:rFonts w:ascii="Times New Roman" w:hAnsi="Times New Roman" w:eastAsia="宋体" w:cs="Times New Roman"/>
      <w:kern w:val="2"/>
      <w:sz w:val="21"/>
      <w:szCs w:val="24"/>
      <w:lang w:val="en-US" w:eastAsia="zh-CN" w:bidi="ar-SA"/>
    </w:rPr>
  </w:style>
  <w:style w:type="character" w:customStyle="1" w:styleId="14">
    <w:name w:val="页眉 Char"/>
    <w:basedOn w:val="11"/>
    <w:link w:val="7"/>
    <w:qFormat/>
    <w:uiPriority w:val="0"/>
    <w:rPr>
      <w:rFonts w:asciiTheme="minorHAnsi" w:hAnsiTheme="minorHAnsi" w:eastAsiaTheme="minorEastAsia" w:cstheme="minorBidi"/>
      <w:kern w:val="2"/>
      <w:sz w:val="18"/>
      <w:szCs w:val="18"/>
    </w:rPr>
  </w:style>
  <w:style w:type="character" w:customStyle="1" w:styleId="15">
    <w:name w:val="日期 Char"/>
    <w:basedOn w:val="11"/>
    <w:link w:val="5"/>
    <w:qFormat/>
    <w:uiPriority w:val="0"/>
    <w:rPr>
      <w:rFonts w:asciiTheme="minorHAnsi" w:hAnsiTheme="minorHAnsi" w:eastAsiaTheme="minorEastAsia" w:cstheme="minorBidi"/>
      <w:kern w:val="2"/>
      <w:sz w:val="21"/>
      <w:szCs w:val="22"/>
    </w:rPr>
  </w:style>
  <w:style w:type="character" w:customStyle="1" w:styleId="16">
    <w:name w:val="标题 2 Char"/>
    <w:basedOn w:val="11"/>
    <w:link w:val="3"/>
    <w:semiHidden/>
    <w:qFormat/>
    <w:uiPriority w:val="0"/>
    <w:rPr>
      <w:rFonts w:ascii="宋体" w:hAnsi="宋体"/>
      <w:b/>
      <w:bCs/>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ABD61D-EC81-4888-BF5E-30F67449A2C7}">
  <ds:schemaRefs/>
</ds:datastoreItem>
</file>

<file path=docProps/app.xml><?xml version="1.0" encoding="utf-8"?>
<Properties xmlns="http://schemas.openxmlformats.org/officeDocument/2006/extended-properties" xmlns:vt="http://schemas.openxmlformats.org/officeDocument/2006/docPropsVTypes">
  <Template>Normal</Template>
  <Company>shendu</Company>
  <Pages>10</Pages>
  <Words>695</Words>
  <Characters>3963</Characters>
  <Lines>33</Lines>
  <Paragraphs>9</Paragraphs>
  <TotalTime>1</TotalTime>
  <ScaleCrop>false</ScaleCrop>
  <LinksUpToDate>false</LinksUpToDate>
  <CharactersWithSpaces>4649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2021-06-14T04:00:00Z</dcterms:created>
  <dc:creator>Administrator</dc:creator>
  <cp:lastModifiedBy>玲珑</cp:lastModifiedBy>
  <cp:lastPrinted>2021-07-09T09:07:00Z</cp:lastPrinted>
  <dcterms:modified xsi:type="dcterms:W3CDTF">2021-07-16T00:40:34Z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853F870817BE4269929DDD3559094806</vt:lpwstr>
  </property>
</Properties>
</file>