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w w:val="80"/>
          <w:sz w:val="44"/>
          <w:szCs w:val="44"/>
        </w:rPr>
      </w:pPr>
      <w:bookmarkStart w:id="0" w:name="OLE_LINK1"/>
    </w:p>
    <w:p>
      <w:pPr>
        <w:spacing w:line="460" w:lineRule="exact"/>
        <w:jc w:val="center"/>
        <w:rPr>
          <w:sz w:val="44"/>
          <w:szCs w:val="44"/>
        </w:rPr>
      </w:pPr>
    </w:p>
    <w:p>
      <w:pPr>
        <w:spacing w:line="500" w:lineRule="exact"/>
        <w:jc w:val="center"/>
        <w:rPr>
          <w:sz w:val="44"/>
          <w:szCs w:val="44"/>
        </w:rPr>
      </w:pPr>
    </w:p>
    <w:p>
      <w:pPr>
        <w:tabs>
          <w:tab w:val="left" w:pos="3555"/>
        </w:tabs>
        <w:spacing w:line="440" w:lineRule="exact"/>
        <w:rPr>
          <w:sz w:val="44"/>
          <w:szCs w:val="44"/>
        </w:rPr>
      </w:pPr>
      <w:r>
        <w:rPr>
          <w:sz w:val="44"/>
          <w:szCs w:val="44"/>
        </w:rPr>
        <w:tab/>
      </w:r>
    </w:p>
    <w:p>
      <w:pPr>
        <w:tabs>
          <w:tab w:val="left" w:pos="3555"/>
        </w:tabs>
        <w:rPr>
          <w:sz w:val="44"/>
          <w:szCs w:val="44"/>
        </w:rPr>
      </w:pPr>
    </w:p>
    <w:p>
      <w:pPr>
        <w:tabs>
          <w:tab w:val="left" w:pos="3555"/>
        </w:tabs>
        <w:spacing w:line="440" w:lineRule="exact"/>
        <w:rPr>
          <w:sz w:val="44"/>
          <w:szCs w:val="44"/>
        </w:rPr>
      </w:pPr>
    </w:p>
    <w:p>
      <w:pPr>
        <w:spacing w:line="400" w:lineRule="exact"/>
        <w:jc w:val="center"/>
        <w:rPr>
          <w:rFonts w:ascii="楷体_GB2312" w:hAnsi="仿宋" w:eastAsia="楷体_GB2312"/>
          <w:sz w:val="30"/>
          <w:szCs w:val="30"/>
        </w:rPr>
      </w:pPr>
    </w:p>
    <w:p>
      <w:pPr>
        <w:pStyle w:val="2"/>
        <w:spacing w:line="300" w:lineRule="exact"/>
        <w:ind w:firstLine="420"/>
      </w:pPr>
    </w:p>
    <w:p>
      <w:pPr>
        <w:spacing w:line="440" w:lineRule="exact"/>
        <w:jc w:val="center"/>
        <w:rPr>
          <w:rFonts w:ascii="楷体_GB2312" w:hAnsi="仿宋" w:eastAsia="楷体_GB2312"/>
          <w:sz w:val="30"/>
          <w:szCs w:val="30"/>
        </w:rPr>
      </w:pPr>
      <w:r>
        <w:rPr>
          <w:rFonts w:hint="eastAsia" w:ascii="楷体_GB2312" w:hAnsi="仿宋" w:eastAsia="楷体_GB2312"/>
          <w:sz w:val="30"/>
          <w:szCs w:val="30"/>
        </w:rPr>
        <w:t>沁住建字〔2021</w:t>
      </w:r>
      <w:r>
        <w:rPr>
          <w:rFonts w:ascii="楷体_GB2312" w:hAnsi="仿宋" w:eastAsia="楷体_GB2312"/>
          <w:sz w:val="30"/>
          <w:szCs w:val="30"/>
        </w:rPr>
        <w:t>〕</w:t>
      </w:r>
      <w:r>
        <w:rPr>
          <w:rFonts w:hint="eastAsia" w:ascii="楷体_GB2312" w:hAnsi="仿宋" w:eastAsia="楷体_GB2312"/>
          <w:sz w:val="30"/>
          <w:szCs w:val="30"/>
          <w:lang w:val="en-US" w:eastAsia="zh-CN"/>
        </w:rPr>
        <w:t>30</w:t>
      </w:r>
      <w:r>
        <w:rPr>
          <w:rFonts w:hint="eastAsia" w:ascii="楷体_GB2312" w:hAnsi="仿宋" w:eastAsia="楷体_GB2312"/>
          <w:sz w:val="30"/>
          <w:szCs w:val="30"/>
        </w:rPr>
        <w:t>号</w:t>
      </w:r>
    </w:p>
    <w:p>
      <w:pPr>
        <w:spacing w:line="160" w:lineRule="exact"/>
        <w:ind w:right="221"/>
        <w:rPr>
          <w:rFonts w:ascii="楷体_GB2312" w:eastAsia="楷体_GB2312"/>
          <w:sz w:val="30"/>
          <w:szCs w:val="30"/>
        </w:rPr>
      </w:pPr>
    </w:p>
    <w:bookmarkEnd w:id="0"/>
    <w:p>
      <w:pPr>
        <w:spacing w:line="160" w:lineRule="exact"/>
        <w:ind w:right="221"/>
        <w:rPr>
          <w:rFonts w:ascii="楷体_GB2312" w:eastAsia="楷体_GB2312"/>
          <w:sz w:val="30"/>
          <w:szCs w:val="30"/>
        </w:rPr>
      </w:pPr>
    </w:p>
    <w:p>
      <w:pPr>
        <w:spacing w:line="100" w:lineRule="exact"/>
        <w:ind w:right="221"/>
        <w:rPr>
          <w:rFonts w:ascii="Calibri" w:hAnsi="Calibri"/>
          <w:b/>
          <w:bCs/>
          <w:sz w:val="18"/>
          <w:szCs w:val="18"/>
        </w:rPr>
      </w:pPr>
    </w:p>
    <w:p>
      <w:pPr>
        <w:spacing w:line="240" w:lineRule="exact"/>
        <w:ind w:right="221"/>
        <w:rPr>
          <w:rFonts w:ascii="楷体_GB2312" w:eastAsia="楷体_GB2312"/>
          <w:sz w:val="30"/>
          <w:szCs w:val="3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沁水县</w:t>
      </w:r>
      <w:r>
        <w:rPr>
          <w:rFonts w:hint="eastAsia" w:ascii="方正小标宋简体" w:hAnsi="方正小标宋简体" w:eastAsia="方正小标宋简体" w:cs="方正小标宋简体"/>
          <w:b w:val="0"/>
          <w:bCs w:val="0"/>
          <w:sz w:val="44"/>
          <w:szCs w:val="44"/>
        </w:rPr>
        <w:t>建设工程项目招标代理机构动态考核管理办法(试行)》的通知</w:t>
      </w:r>
    </w:p>
    <w:p>
      <w:pPr>
        <w:jc w:val="left"/>
        <w:rPr>
          <w:rFonts w:hint="eastAsia" w:ascii="仿宋" w:hAnsi="仿宋" w:eastAsia="仿宋" w:cs="仿宋"/>
          <w:sz w:val="32"/>
          <w:szCs w:val="32"/>
        </w:rPr>
      </w:pPr>
    </w:p>
    <w:p>
      <w:pPr>
        <w:jc w:val="left"/>
        <w:rPr>
          <w:rFonts w:hint="eastAsia" w:ascii="仿宋" w:hAnsi="仿宋" w:eastAsia="仿宋" w:cs="仿宋"/>
          <w:sz w:val="32"/>
          <w:szCs w:val="32"/>
          <w:lang w:val="en-US" w:eastAsia="zh-CN"/>
        </w:rPr>
      </w:pPr>
      <w:r>
        <w:rPr>
          <w:rFonts w:hint="eastAsia" w:ascii="仿宋" w:hAnsi="仿宋" w:eastAsia="仿宋" w:cs="仿宋"/>
          <w:sz w:val="32"/>
          <w:szCs w:val="32"/>
        </w:rPr>
        <w:t>各</w:t>
      </w:r>
      <w:r>
        <w:rPr>
          <w:rFonts w:hint="eastAsia" w:ascii="仿宋" w:hAnsi="仿宋" w:eastAsia="仿宋" w:cs="仿宋"/>
          <w:sz w:val="32"/>
          <w:szCs w:val="32"/>
          <w:lang w:eastAsia="zh-CN"/>
        </w:rPr>
        <w:t>招标代理机构</w:t>
      </w:r>
      <w:r>
        <w:rPr>
          <w:rFonts w:hint="eastAsia" w:ascii="仿宋" w:hAnsi="仿宋" w:eastAsia="仿宋" w:cs="仿宋"/>
          <w:sz w:val="32"/>
          <w:szCs w:val="32"/>
          <w:lang w:val="en-US" w:eastAsia="zh-CN"/>
        </w:rPr>
        <w:t>:</w:t>
      </w:r>
    </w:p>
    <w:p>
      <w:pPr>
        <w:ind w:firstLine="640"/>
        <w:rPr>
          <w:rFonts w:hint="eastAsia" w:ascii="仿宋" w:hAnsi="仿宋" w:eastAsia="仿宋" w:cs="仿宋"/>
          <w:sz w:val="32"/>
          <w:szCs w:val="32"/>
        </w:rPr>
      </w:pPr>
      <w:r>
        <w:rPr>
          <w:rFonts w:hint="eastAsia" w:ascii="仿宋" w:hAnsi="仿宋" w:eastAsia="仿宋" w:cs="仿宋"/>
          <w:sz w:val="32"/>
          <w:szCs w:val="32"/>
        </w:rPr>
        <w:t>现将《</w:t>
      </w:r>
      <w:r>
        <w:rPr>
          <w:rFonts w:hint="eastAsia" w:ascii="仿宋" w:hAnsi="仿宋" w:eastAsia="仿宋" w:cs="仿宋"/>
          <w:sz w:val="32"/>
          <w:szCs w:val="32"/>
          <w:lang w:eastAsia="zh-CN"/>
        </w:rPr>
        <w:t>沁水县</w:t>
      </w:r>
      <w:r>
        <w:rPr>
          <w:rFonts w:hint="eastAsia" w:ascii="仿宋" w:hAnsi="仿宋" w:eastAsia="仿宋" w:cs="仿宋"/>
          <w:sz w:val="32"/>
          <w:szCs w:val="32"/>
        </w:rPr>
        <w:t>建设工程项目招标代理机构动态考核管理办法(试行)》印发给你们,请认真贯彻执行。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 xml:space="preserve"> 沁水县住房和城乡建设管理局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 xml:space="preserve">                           2021年7月</w:t>
      </w:r>
      <w:r>
        <w:rPr>
          <w:rFonts w:hint="eastAsia" w:ascii="仿宋_GB2312" w:hAnsi="仿宋" w:eastAsia="仿宋_GB2312"/>
          <w:sz w:val="32"/>
          <w:szCs w:val="32"/>
          <w:lang w:val="en-US" w:eastAsia="zh-CN"/>
        </w:rPr>
        <w:t>23</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pStyle w:val="2"/>
        <w:rPr>
          <w:rFonts w:hint="eastAsia" w:ascii="仿宋_GB2312" w:hAnsi="仿宋" w:eastAsia="仿宋_GB2312"/>
          <w:sz w:val="32"/>
          <w:szCs w:val="32"/>
          <w:lang w:val="en-US" w:eastAsia="zh-CN"/>
        </w:rPr>
      </w:pPr>
    </w:p>
    <w:p>
      <w:pPr>
        <w:ind w:firstLine="640"/>
        <w:jc w:val="center"/>
        <w:rPr>
          <w:rFonts w:hint="eastAsia" w:ascii="宋体" w:hAnsi="宋体" w:cs="宋体"/>
          <w:b/>
          <w:bCs/>
          <w:sz w:val="44"/>
          <w:szCs w:val="44"/>
          <w:lang w:eastAsia="zh-CN"/>
        </w:rPr>
      </w:pPr>
    </w:p>
    <w:p>
      <w:pPr>
        <w:ind w:firstLine="640"/>
        <w:jc w:val="center"/>
        <w:rPr>
          <w:rFonts w:hint="eastAsia" w:ascii="宋体" w:hAnsi="宋体" w:cs="宋体"/>
          <w:b/>
          <w:bCs/>
          <w:sz w:val="44"/>
          <w:szCs w:val="44"/>
          <w:lang w:eastAsia="zh-CN"/>
        </w:rPr>
      </w:pPr>
    </w:p>
    <w:p>
      <w:pPr>
        <w:ind w:firstLine="640"/>
        <w:jc w:val="center"/>
        <w:rPr>
          <w:rFonts w:hint="eastAsia" w:ascii="宋体" w:hAnsi="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沁水县</w:t>
      </w:r>
      <w:r>
        <w:rPr>
          <w:rFonts w:hint="eastAsia" w:ascii="方正小标宋简体" w:hAnsi="方正小标宋简体" w:eastAsia="方正小标宋简体" w:cs="方正小标宋简体"/>
          <w:b w:val="0"/>
          <w:bCs w:val="0"/>
          <w:sz w:val="44"/>
          <w:szCs w:val="44"/>
        </w:rPr>
        <w:t>建设工程项目招标代理机构</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动态考核管理办法(试行)</w:t>
      </w:r>
    </w:p>
    <w:p>
      <w:pPr>
        <w:ind w:firstLine="640"/>
        <w:jc w:val="center"/>
        <w:rPr>
          <w:rFonts w:hint="eastAsia" w:ascii="宋体" w:hAnsi="宋体" w:eastAsia="宋体" w:cs="宋体"/>
          <w:b/>
          <w:bCs/>
          <w:sz w:val="44"/>
          <w:szCs w:val="44"/>
        </w:rPr>
      </w:pPr>
    </w:p>
    <w:p>
      <w:pPr>
        <w:ind w:firstLine="64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为规范我</w:t>
      </w:r>
      <w:r>
        <w:rPr>
          <w:rFonts w:hint="eastAsia" w:ascii="仿宋" w:hAnsi="仿宋" w:eastAsia="仿宋" w:cs="仿宋"/>
          <w:sz w:val="32"/>
          <w:szCs w:val="32"/>
          <w:lang w:eastAsia="zh-CN"/>
        </w:rPr>
        <w:t>县</w:t>
      </w:r>
      <w:r>
        <w:rPr>
          <w:rFonts w:hint="eastAsia" w:ascii="仿宋" w:hAnsi="仿宋" w:eastAsia="仿宋" w:cs="仿宋"/>
          <w:sz w:val="32"/>
          <w:szCs w:val="32"/>
        </w:rPr>
        <w:t>建设工程项目招标代理市场行为,提高招标代理工作质量,促进招标代理行业健康发展。根据《中华人民共和国招标投标法》及其实施条例,住建部《关于取消工程建设项目招标代理机构资格认定加强事中事后监管的通知》(建办市[2017]77号)等法律法规和规章制度,结合我</w:t>
      </w:r>
      <w:r>
        <w:rPr>
          <w:rFonts w:hint="eastAsia" w:ascii="仿宋" w:hAnsi="仿宋" w:eastAsia="仿宋" w:cs="仿宋"/>
          <w:sz w:val="32"/>
          <w:szCs w:val="32"/>
          <w:lang w:eastAsia="zh-CN"/>
        </w:rPr>
        <w:t>县</w:t>
      </w:r>
      <w:r>
        <w:rPr>
          <w:rFonts w:hint="eastAsia" w:ascii="仿宋" w:hAnsi="仿宋" w:eastAsia="仿宋" w:cs="仿宋"/>
          <w:sz w:val="32"/>
          <w:szCs w:val="32"/>
        </w:rPr>
        <w:t>实际,制定本办法</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县</w:t>
      </w:r>
      <w:r>
        <w:rPr>
          <w:rFonts w:hint="eastAsia" w:ascii="仿宋" w:hAnsi="仿宋" w:eastAsia="仿宋" w:cs="仿宋"/>
          <w:sz w:val="32"/>
          <w:szCs w:val="32"/>
        </w:rPr>
        <w:t>行政区域内依法设立的从事建设工程项目招标代理业务的社会中介组织的动态考核,适用本办法</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县</w:t>
      </w:r>
      <w:r>
        <w:rPr>
          <w:rFonts w:hint="eastAsia" w:ascii="仿宋" w:hAnsi="仿宋" w:eastAsia="仿宋" w:cs="仿宋"/>
          <w:sz w:val="32"/>
          <w:szCs w:val="32"/>
          <w:lang w:eastAsia="zh-CN"/>
        </w:rPr>
        <w:t>住建局</w:t>
      </w:r>
      <w:r>
        <w:rPr>
          <w:rFonts w:hint="eastAsia" w:ascii="仿宋" w:hAnsi="仿宋" w:eastAsia="仿宋" w:cs="仿宋"/>
          <w:sz w:val="32"/>
          <w:szCs w:val="32"/>
        </w:rPr>
        <w:t>负责本</w:t>
      </w:r>
      <w:r>
        <w:rPr>
          <w:rFonts w:hint="eastAsia" w:ascii="仿宋" w:hAnsi="仿宋" w:eastAsia="仿宋" w:cs="仿宋"/>
          <w:sz w:val="32"/>
          <w:szCs w:val="32"/>
          <w:lang w:eastAsia="zh-CN"/>
        </w:rPr>
        <w:t>县</w:t>
      </w:r>
      <w:r>
        <w:rPr>
          <w:rFonts w:hint="eastAsia" w:ascii="仿宋" w:hAnsi="仿宋" w:eastAsia="仿宋" w:cs="仿宋"/>
          <w:sz w:val="32"/>
          <w:szCs w:val="32"/>
        </w:rPr>
        <w:t>行政区域内的建设工程项目招标代理机构的动态考核</w:t>
      </w:r>
      <w:r>
        <w:rPr>
          <w:rFonts w:hint="eastAsia" w:ascii="仿宋" w:hAnsi="仿宋" w:eastAsia="仿宋" w:cs="仿宋"/>
          <w:sz w:val="32"/>
          <w:szCs w:val="32"/>
          <w:lang w:eastAsia="zh-CN"/>
        </w:rPr>
        <w:t>。</w:t>
      </w:r>
    </w:p>
    <w:p>
      <w:pPr>
        <w:ind w:firstLine="64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从业管理</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w:t>
      </w:r>
      <w:r>
        <w:rPr>
          <w:rFonts w:hint="eastAsia" w:ascii="仿宋" w:hAnsi="仿宋" w:eastAsia="仿宋" w:cs="仿宋"/>
          <w:sz w:val="32"/>
          <w:szCs w:val="32"/>
          <w:lang w:eastAsia="zh-CN"/>
        </w:rPr>
        <w:t>县</w:t>
      </w:r>
      <w:r>
        <w:rPr>
          <w:rFonts w:hint="eastAsia" w:ascii="仿宋" w:hAnsi="仿宋" w:eastAsia="仿宋" w:cs="仿宋"/>
          <w:sz w:val="32"/>
          <w:szCs w:val="32"/>
        </w:rPr>
        <w:t>行政区域内从事建设工程项目招标代理活动的招标代理机构,须在相关信息平台进行基本信息公开,参加山西省住建厅工程建设项目招标代理机构信用评价,接受招投标行政管理部门的监督,自觉接受社会监督</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招标代理机构开展招标代理业务时,应当与招标签订工程建设项目招标代理委托合同,明确项目负责人,项目负责人须经代理机构法定代表人授权委托,同时组建招标代理项目组,项目组成员不得少于3名,并在项目报建表中予以注明、项目组成员实名办理相关代理业务,对所代理业务承担相应责任。</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招标代理机构应当在招标人委托的范围内办理招标事宜</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招标代理项目组成员需要变更的,应当征得招标人同意。变更后的项目组成员应不低于变更前项目组成员的资格条件。</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招标代理项目组应根据所代理项目的特点,制定代理项目的招标方案,编制招标公告、招标文件,组织项目的开标、评标活动,协助招标人和中标单位签订合同,协助处理招标项目异议和投诉等代理合同约定的其他事项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w:t>
      </w:r>
      <w:r>
        <w:rPr>
          <w:rFonts w:hint="eastAsia" w:ascii="仿宋" w:hAnsi="仿宋" w:eastAsia="仿宋" w:cs="仿宋"/>
          <w:sz w:val="32"/>
          <w:szCs w:val="32"/>
          <w:lang w:eastAsia="zh-CN"/>
        </w:rPr>
        <w:t>县</w:t>
      </w:r>
      <w:r>
        <w:rPr>
          <w:rFonts w:hint="eastAsia" w:ascii="仿宋" w:hAnsi="仿宋" w:eastAsia="仿宋" w:cs="仿宋"/>
          <w:sz w:val="32"/>
          <w:szCs w:val="32"/>
        </w:rPr>
        <w:t>行政区域内发布的房屋建筑和市政基础设施工程的招标公告、招标文件、中标结果公示等需要公示公开的信息,应在《山西省招标投标公共服务</w:t>
      </w:r>
      <w:r>
        <w:rPr>
          <w:rFonts w:hint="eastAsia" w:ascii="仿宋" w:hAnsi="仿宋" w:eastAsia="仿宋" w:cs="仿宋"/>
          <w:sz w:val="32"/>
          <w:szCs w:val="32"/>
          <w:lang w:eastAsia="zh-CN"/>
        </w:rPr>
        <w:t>平台</w:t>
      </w:r>
      <w:r>
        <w:rPr>
          <w:rFonts w:hint="eastAsia" w:ascii="仿宋" w:hAnsi="仿宋" w:eastAsia="仿宋" w:cs="仿宋"/>
          <w:sz w:val="32"/>
          <w:szCs w:val="32"/>
        </w:rPr>
        <w:t>》、《山西省晋城市公共资源交易平台》网上发布</w:t>
      </w:r>
      <w:r>
        <w:rPr>
          <w:rFonts w:hint="eastAsia" w:ascii="仿宋" w:hAnsi="仿宋" w:eastAsia="仿宋" w:cs="仿宋"/>
          <w:sz w:val="32"/>
          <w:szCs w:val="32"/>
          <w:lang w:eastAsia="zh-CN"/>
        </w:rPr>
        <w:t>。</w:t>
      </w:r>
      <w:bookmarkStart w:id="1" w:name="_GoBack"/>
      <w:bookmarkEnd w:id="1"/>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w:t>
      </w:r>
      <w:r>
        <w:rPr>
          <w:rFonts w:hint="eastAsia" w:ascii="仿宋" w:hAnsi="仿宋" w:eastAsia="仿宋" w:cs="仿宋"/>
          <w:sz w:val="32"/>
          <w:szCs w:val="32"/>
          <w:lang w:eastAsia="zh-CN"/>
        </w:rPr>
        <w:t>县</w:t>
      </w:r>
      <w:r>
        <w:rPr>
          <w:rFonts w:hint="eastAsia" w:ascii="仿宋" w:hAnsi="仿宋" w:eastAsia="仿宋" w:cs="仿宋"/>
          <w:sz w:val="32"/>
          <w:szCs w:val="32"/>
        </w:rPr>
        <w:t>行政区域内从事建设工程项目招标代理活动的招标代理从业人员应满足以下条件</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rPr>
        <w:t>(1)招标代理从业人员应与用工单位签订劳动合同、依法缴纳社会保险,自觉参加行业或用工单位组织的业务培训和继续教育活动。</w:t>
      </w:r>
    </w:p>
    <w:p>
      <w:pPr>
        <w:ind w:firstLine="640"/>
        <w:rPr>
          <w:rFonts w:hint="eastAsia" w:ascii="仿宋" w:hAnsi="仿宋" w:eastAsia="仿宋" w:cs="仿宋"/>
          <w:sz w:val="32"/>
          <w:szCs w:val="32"/>
        </w:rPr>
      </w:pPr>
      <w:r>
        <w:rPr>
          <w:rFonts w:hint="eastAsia" w:ascii="仿宋" w:hAnsi="仿宋" w:eastAsia="仿宋" w:cs="仿宋"/>
          <w:sz w:val="32"/>
          <w:szCs w:val="32"/>
        </w:rPr>
        <w:t>(2)担任招标代理项目负责人的从业人员须取得建设类职称、注册类执业资格证书或通过国家相关招投标资格考试的的人员担任。招标代理项目负责人是指经招标代理机构法定代表人授权委托,担任工程建设项目招标代理工作全过程的管理者。</w:t>
      </w:r>
    </w:p>
    <w:p>
      <w:pPr>
        <w:ind w:firstLine="64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市场行为记录</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招标代理机构行为记录由</w:t>
      </w:r>
      <w:r>
        <w:rPr>
          <w:rFonts w:hint="eastAsia" w:ascii="仿宋" w:hAnsi="仿宋" w:eastAsia="仿宋" w:cs="仿宋"/>
          <w:sz w:val="32"/>
          <w:szCs w:val="32"/>
          <w:lang w:eastAsia="zh-CN"/>
        </w:rPr>
        <w:t>县住建局</w:t>
      </w:r>
      <w:r>
        <w:rPr>
          <w:rFonts w:hint="eastAsia" w:ascii="仿宋" w:hAnsi="仿宋" w:eastAsia="仿宋" w:cs="仿宋"/>
          <w:sz w:val="32"/>
          <w:szCs w:val="32"/>
        </w:rPr>
        <w:t>及招标人对招标代理活动的行为和工作质量进行记录和评价</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招标代理行为记录是</w:t>
      </w:r>
      <w:r>
        <w:rPr>
          <w:rFonts w:hint="eastAsia" w:ascii="仿宋" w:hAnsi="仿宋" w:eastAsia="仿宋" w:cs="仿宋"/>
          <w:sz w:val="32"/>
          <w:szCs w:val="32"/>
          <w:lang w:eastAsia="zh-CN"/>
        </w:rPr>
        <w:t>县住建局及</w:t>
      </w:r>
      <w:r>
        <w:rPr>
          <w:rFonts w:hint="eastAsia" w:ascii="仿宋" w:hAnsi="仿宋" w:eastAsia="仿宋" w:cs="仿宋"/>
          <w:sz w:val="32"/>
          <w:szCs w:val="32"/>
        </w:rPr>
        <w:t>招标人对招标代理机构在招投标活动中的从业行为进行记录</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招标代理行为记录(附表1、附表2)总分分别为100分招标代理行为记录采用扣分制,包括招投标活动中存在的各类违法违规行为、不诚信行为和不规范行为等记录要素</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对招标代理机构行为记录的记分周期为12个月,每个记分周期的起始时间为当年的1月1日至当年的12月31日。记录结果在《晋城市住房和城乡建设局官网》、《山西省晋城市公共资源交易平台》等信息平台公示</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招标代理机构在一个记分周期内存在下列情形的,按相应情形予以处理。</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(一)招标代理机构在一个记分周期内,行为记录累计扣分达30分(含)的,约谈企业法定代表人、其代理的项目列入差别化管理重点稽查项目</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(二)招标代理机构在一个记分周期内,行为记录累计扣分超过40分(含)的,其机构代理的项目列入差别化管理重点稽查项目、提示招标人慎重选择、约谈企业法定代表人,对机构提出警告、记录不良行为</w:t>
      </w:r>
      <w:r>
        <w:rPr>
          <w:rFonts w:hint="eastAsia" w:ascii="仿宋" w:hAnsi="仿宋" w:eastAsia="仿宋" w:cs="仿宋"/>
          <w:sz w:val="32"/>
          <w:szCs w:val="32"/>
          <w:lang w:eastAsia="zh-CN"/>
        </w:rPr>
        <w:t>。</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扣分必须有明确的证据或理由,并建立异议信息申诉与复核制度。</w:t>
      </w:r>
      <w:r>
        <w:rPr>
          <w:rFonts w:hint="eastAsia" w:ascii="仿宋" w:hAnsi="仿宋" w:eastAsia="仿宋" w:cs="仿宋"/>
          <w:sz w:val="32"/>
          <w:szCs w:val="32"/>
          <w:lang w:eastAsia="zh-CN"/>
        </w:rPr>
        <w:t>县住建局</w:t>
      </w:r>
      <w:r>
        <w:rPr>
          <w:rFonts w:hint="eastAsia" w:ascii="仿宋" w:hAnsi="仿宋" w:eastAsia="仿宋" w:cs="仿宋"/>
          <w:sz w:val="32"/>
          <w:szCs w:val="32"/>
        </w:rPr>
        <w:t>及招标人对招标代理机构或其从业人员的扣分记录应明确理由。招标代理机构对其市场行为信息提出异议的,应当在信息发布之日起3个工作日内向市住建局书面提出申诉意见,市住建局应当对异议进行复核,并在10个工作日内作出处理</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本办法自2021年7月5日起施行</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eastAsia="zh-CN"/>
        </w:rPr>
        <w:t>沁水县</w:t>
      </w:r>
      <w:r>
        <w:rPr>
          <w:rFonts w:hint="eastAsia" w:ascii="仿宋" w:hAnsi="仿宋" w:eastAsia="仿宋" w:cs="仿宋"/>
          <w:sz w:val="32"/>
          <w:szCs w:val="32"/>
        </w:rPr>
        <w:t>住房和城乡建设</w:t>
      </w:r>
      <w:r>
        <w:rPr>
          <w:rFonts w:hint="eastAsia" w:ascii="仿宋" w:hAnsi="仿宋" w:eastAsia="仿宋" w:cs="仿宋"/>
          <w:sz w:val="32"/>
          <w:szCs w:val="32"/>
          <w:lang w:eastAsia="zh-CN"/>
        </w:rPr>
        <w:t>管理</w:t>
      </w:r>
      <w:r>
        <w:rPr>
          <w:rFonts w:hint="eastAsia" w:ascii="仿宋" w:hAnsi="仿宋" w:eastAsia="仿宋" w:cs="仿宋"/>
          <w:sz w:val="32"/>
          <w:szCs w:val="32"/>
        </w:rPr>
        <w:t>局负责解释。</w:t>
      </w:r>
    </w:p>
    <w:p>
      <w:pPr>
        <w:pStyle w:val="2"/>
        <w:ind w:left="0" w:leftChars="0" w:firstLine="0" w:firstLineChars="0"/>
        <w:rPr>
          <w:rFonts w:hint="eastAsia" w:ascii="仿宋_GB2312" w:hAnsi="仿宋" w:eastAsia="仿宋_GB2312"/>
          <w:sz w:val="32"/>
          <w:szCs w:val="32"/>
          <w:lang w:val="en-US" w:eastAsia="zh-CN"/>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仿宋_GB2312" w:eastAsia="仿宋_GB2312"/>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6"/>
                      <w:rPr>
                        <w:rFonts w:ascii="仿宋_GB2312" w:eastAsia="仿宋_GB2312"/>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ZWYwOGZkOTY1NTI3Y2IzYzUwODg2MmJiMDgyYWQifQ=="/>
  </w:docVars>
  <w:rsids>
    <w:rsidRoot w:val="7C1224E7"/>
    <w:rsid w:val="0002484B"/>
    <w:rsid w:val="000523E3"/>
    <w:rsid w:val="0007530B"/>
    <w:rsid w:val="000A067F"/>
    <w:rsid w:val="000B1357"/>
    <w:rsid w:val="000C7344"/>
    <w:rsid w:val="000E157B"/>
    <w:rsid w:val="001912FD"/>
    <w:rsid w:val="001C3593"/>
    <w:rsid w:val="001F47C2"/>
    <w:rsid w:val="00222F43"/>
    <w:rsid w:val="00253D35"/>
    <w:rsid w:val="003103EF"/>
    <w:rsid w:val="00311115"/>
    <w:rsid w:val="00315A6D"/>
    <w:rsid w:val="003225A6"/>
    <w:rsid w:val="0034794C"/>
    <w:rsid w:val="00367B6D"/>
    <w:rsid w:val="00380DAA"/>
    <w:rsid w:val="00413A97"/>
    <w:rsid w:val="004207B9"/>
    <w:rsid w:val="00475316"/>
    <w:rsid w:val="00493551"/>
    <w:rsid w:val="004A65B6"/>
    <w:rsid w:val="004F2941"/>
    <w:rsid w:val="00523A68"/>
    <w:rsid w:val="005258C8"/>
    <w:rsid w:val="00546CB8"/>
    <w:rsid w:val="005617E1"/>
    <w:rsid w:val="00594B13"/>
    <w:rsid w:val="005A70D2"/>
    <w:rsid w:val="005A7A42"/>
    <w:rsid w:val="00612822"/>
    <w:rsid w:val="00612FD9"/>
    <w:rsid w:val="0064768F"/>
    <w:rsid w:val="00647B1C"/>
    <w:rsid w:val="0065703D"/>
    <w:rsid w:val="0065742C"/>
    <w:rsid w:val="006F7FEE"/>
    <w:rsid w:val="00715F3C"/>
    <w:rsid w:val="00742D49"/>
    <w:rsid w:val="00767ABA"/>
    <w:rsid w:val="007B1F01"/>
    <w:rsid w:val="007C239A"/>
    <w:rsid w:val="007E15A7"/>
    <w:rsid w:val="007E2989"/>
    <w:rsid w:val="00873FB0"/>
    <w:rsid w:val="00880E95"/>
    <w:rsid w:val="0089230F"/>
    <w:rsid w:val="008B47E3"/>
    <w:rsid w:val="008D1237"/>
    <w:rsid w:val="008E058F"/>
    <w:rsid w:val="00966B0F"/>
    <w:rsid w:val="0097355D"/>
    <w:rsid w:val="009939C6"/>
    <w:rsid w:val="00A4456C"/>
    <w:rsid w:val="00A607CC"/>
    <w:rsid w:val="00A87CEE"/>
    <w:rsid w:val="00AB28D7"/>
    <w:rsid w:val="00AD0C48"/>
    <w:rsid w:val="00B156F0"/>
    <w:rsid w:val="00B62CF4"/>
    <w:rsid w:val="00B8015C"/>
    <w:rsid w:val="00BA549D"/>
    <w:rsid w:val="00BF7295"/>
    <w:rsid w:val="00C351F7"/>
    <w:rsid w:val="00C57BC7"/>
    <w:rsid w:val="00C82F16"/>
    <w:rsid w:val="00CF7841"/>
    <w:rsid w:val="00D84EFC"/>
    <w:rsid w:val="00D85491"/>
    <w:rsid w:val="00D96DA1"/>
    <w:rsid w:val="00DB554B"/>
    <w:rsid w:val="00E06D0E"/>
    <w:rsid w:val="00E445F8"/>
    <w:rsid w:val="00E45A9A"/>
    <w:rsid w:val="00E878AF"/>
    <w:rsid w:val="00ED4BE8"/>
    <w:rsid w:val="00EF2D61"/>
    <w:rsid w:val="00F013E3"/>
    <w:rsid w:val="00F26538"/>
    <w:rsid w:val="00F66CF9"/>
    <w:rsid w:val="00F72E14"/>
    <w:rsid w:val="00FE1677"/>
    <w:rsid w:val="0C9D63A8"/>
    <w:rsid w:val="2A3F4FAE"/>
    <w:rsid w:val="351D5452"/>
    <w:rsid w:val="36F37032"/>
    <w:rsid w:val="3C5E53AF"/>
    <w:rsid w:val="44D508ED"/>
    <w:rsid w:val="568211FB"/>
    <w:rsid w:val="5A221BE5"/>
    <w:rsid w:val="5EAA2A5B"/>
    <w:rsid w:val="606B38D9"/>
    <w:rsid w:val="60F82E2D"/>
    <w:rsid w:val="7C122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after="50" w:line="288" w:lineRule="auto"/>
      <w:ind w:firstLine="560" w:firstLineChars="200"/>
    </w:pPr>
    <w:rPr>
      <w:rFonts w:ascii="宋体" w:hAnsi="宋体"/>
      <w:szCs w:val="24"/>
    </w:rPr>
  </w:style>
  <w:style w:type="paragraph" w:styleId="4">
    <w:name w:val="Block Text"/>
    <w:basedOn w:val="1"/>
    <w:unhideWhenUsed/>
    <w:qFormat/>
    <w:uiPriority w:val="99"/>
    <w:pPr>
      <w:spacing w:after="120"/>
      <w:ind w:left="1440" w:leftChars="700" w:right="1440" w:rightChars="700"/>
    </w:pPr>
  </w:style>
  <w:style w:type="paragraph" w:styleId="5">
    <w:name w:val="Date"/>
    <w:basedOn w:val="1"/>
    <w:next w:val="1"/>
    <w:link w:val="15"/>
    <w:qFormat/>
    <w:uiPriority w:val="0"/>
    <w:pPr>
      <w:ind w:left="100" w:leftChars="2500"/>
    </w:p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next w:val="1"/>
    <w:qFormat/>
    <w:uiPriority w:val="0"/>
    <w:pPr>
      <w:spacing w:before="100" w:beforeAutospacing="1" w:after="100" w:afterAutospacing="1"/>
    </w:pPr>
    <w:rPr>
      <w:rFonts w:ascii="宋体" w:hAnsi="宋体" w:eastAsia="宋体" w:cs="宋体"/>
      <w:sz w:val="24"/>
      <w:szCs w:val="24"/>
      <w:lang w:val="en-US" w:eastAsia="zh-CN" w:bidi="ar-SA"/>
    </w:rPr>
  </w:style>
  <w:style w:type="table" w:styleId="10">
    <w:name w:val="Table Grid"/>
    <w:basedOn w:val="9"/>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首行缩进 21"/>
    <w:basedOn w:val="13"/>
    <w:next w:val="8"/>
    <w:qFormat/>
    <w:uiPriority w:val="0"/>
    <w:pPr>
      <w:ind w:firstLine="420" w:firstLineChars="200"/>
    </w:pPr>
  </w:style>
  <w:style w:type="paragraph" w:customStyle="1" w:styleId="13">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日期 Char"/>
    <w:basedOn w:val="11"/>
    <w:link w:val="5"/>
    <w:qFormat/>
    <w:uiPriority w:val="0"/>
    <w:rPr>
      <w:rFonts w:asciiTheme="minorHAnsi" w:hAnsiTheme="minorHAnsi" w:eastAsiaTheme="minorEastAsia" w:cstheme="minorBidi"/>
      <w:kern w:val="2"/>
      <w:sz w:val="21"/>
      <w:szCs w:val="22"/>
    </w:rPr>
  </w:style>
  <w:style w:type="character" w:customStyle="1" w:styleId="16">
    <w:name w:val="标题 2 Char"/>
    <w:basedOn w:val="11"/>
    <w:link w:val="3"/>
    <w:semiHidden/>
    <w:qFormat/>
    <w:uiPriority w:val="0"/>
    <w:rPr>
      <w:rFonts w:ascii="宋体" w:hAnsi="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BD61D-EC81-4888-BF5E-30F67449A2C7}">
  <ds:schemaRefs/>
</ds:datastoreItem>
</file>

<file path=docProps/app.xml><?xml version="1.0" encoding="utf-8"?>
<Properties xmlns="http://schemas.openxmlformats.org/officeDocument/2006/extended-properties" xmlns:vt="http://schemas.openxmlformats.org/officeDocument/2006/docPropsVTypes">
  <Template>Normal</Template>
  <Company>shendu</Company>
  <Pages>5</Pages>
  <Words>1744</Words>
  <Characters>1775</Characters>
  <Lines>33</Lines>
  <Paragraphs>9</Paragraphs>
  <TotalTime>6</TotalTime>
  <ScaleCrop>false</ScaleCrop>
  <LinksUpToDate>false</LinksUpToDate>
  <CharactersWithSpaces>1868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2021-06-14T04:00:00Z</dcterms:created>
  <dc:creator>Administrator</dc:creator>
  <cp:lastModifiedBy></cp:lastModifiedBy>
  <cp:lastPrinted>2021-07-23T07:03:00Z</cp:lastPrinted>
  <dcterms:modified xsi:type="dcterms:W3CDTF">2022-10-17T06:21:10Z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A5D6A105A9884F8EB52C6F475BCDEF5E</vt:lpwstr>
  </property>
</Properties>
</file>