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distribute"/>
        <w:textAlignment w:val="baseline"/>
        <w:rPr>
          <w:rStyle w:val="8"/>
          <w:rFonts w:ascii="黑体" w:hAnsi="黑体" w:eastAsia="黑体" w:cs="黑体"/>
          <w:b/>
          <w:bCs/>
          <w:i w:val="0"/>
          <w:caps w:val="0"/>
          <w:spacing w:val="0"/>
          <w:w w:val="100"/>
          <w:kern w:val="2"/>
          <w:sz w:val="52"/>
          <w:szCs w:val="52"/>
          <w:lang w:val="en-US" w:eastAsia="zh-CN" w:bidi="ar-SA"/>
        </w:rPr>
      </w:pPr>
      <w:r>
        <w:rPr>
          <w:rStyle w:val="8"/>
          <w:rFonts w:ascii="黑体" w:hAnsi="黑体" w:eastAsia="黑体" w:cs="黑体"/>
          <w:b/>
          <w:bCs/>
          <w:i w:val="0"/>
          <w:caps w:val="0"/>
          <w:spacing w:val="0"/>
          <w:w w:val="100"/>
          <w:kern w:val="2"/>
          <w:sz w:val="52"/>
          <w:szCs w:val="52"/>
          <w:lang w:val="en-US" w:eastAsia="zh-CN" w:bidi="ar-SA"/>
        </w:rPr>
        <w:t>沁水县住房和城乡建设管理局</w:t>
      </w:r>
    </w:p>
    <w:p>
      <w:pPr>
        <w:pStyle w:val="2"/>
        <w:snapToGrid/>
        <w:spacing w:before="0" w:beforeAutospacing="0" w:after="0" w:afterAutospacing="0" w:line="600" w:lineRule="exact"/>
        <w:ind w:left="969" w:leftChars="0" w:hanging="969"/>
        <w:jc w:val="distribute"/>
        <w:textAlignment w:val="baseline"/>
        <w:rPr>
          <w:rStyle w:val="8"/>
          <w:rFonts w:ascii="黑体" w:hAnsi="黑体" w:eastAsia="黑体" w:cs="黑体"/>
          <w:b/>
          <w:bCs/>
          <w:i w:val="0"/>
          <w:caps w:val="0"/>
          <w:spacing w:val="0"/>
          <w:w w:val="100"/>
          <w:sz w:val="52"/>
          <w:szCs w:val="52"/>
          <w:lang w:val="en-US" w:eastAsia="zh-CN"/>
        </w:rPr>
      </w:pPr>
      <w:r>
        <w:rPr>
          <w:rStyle w:val="8"/>
          <w:rFonts w:ascii="黑体" w:hAnsi="黑体" w:eastAsia="黑体" w:cs="黑体"/>
          <w:b/>
          <w:bCs/>
          <w:i w:val="0"/>
          <w:caps w:val="0"/>
          <w:spacing w:val="0"/>
          <w:w w:val="100"/>
          <w:sz w:val="52"/>
          <w:szCs w:val="52"/>
          <w:lang w:val="en-US" w:eastAsia="zh-CN"/>
        </w:rPr>
        <w:t>沁水县财政局</w:t>
      </w:r>
    </w:p>
    <w:p>
      <w:pPr>
        <w:pStyle w:val="2"/>
        <w:snapToGrid/>
        <w:spacing w:before="0" w:beforeAutospacing="0" w:after="0" w:afterAutospacing="0" w:line="600" w:lineRule="exact"/>
        <w:ind w:left="969" w:leftChars="0" w:hanging="969"/>
        <w:jc w:val="distribute"/>
        <w:textAlignment w:val="baseline"/>
        <w:rPr>
          <w:rStyle w:val="8"/>
          <w:rFonts w:ascii="黑体" w:hAnsi="黑体" w:eastAsia="黑体" w:cs="黑体"/>
          <w:b/>
          <w:bCs/>
          <w:i w:val="0"/>
          <w:caps w:val="0"/>
          <w:spacing w:val="0"/>
          <w:w w:val="100"/>
          <w:sz w:val="52"/>
          <w:szCs w:val="52"/>
          <w:lang w:val="en-US" w:eastAsia="zh-CN"/>
        </w:rPr>
      </w:pPr>
      <w:r>
        <w:rPr>
          <w:rStyle w:val="8"/>
          <w:rFonts w:ascii="黑体" w:hAnsi="黑体" w:eastAsia="黑体" w:cs="黑体"/>
          <w:b/>
          <w:bCs/>
          <w:i w:val="0"/>
          <w:caps w:val="0"/>
          <w:spacing w:val="0"/>
          <w:w w:val="100"/>
          <w:sz w:val="52"/>
          <w:szCs w:val="52"/>
          <w:lang w:val="en-US" w:eastAsia="zh-CN"/>
        </w:rPr>
        <w:t>沁水县文化和旅游局</w:t>
      </w:r>
    </w:p>
    <w:p>
      <w:pPr>
        <w:pStyle w:val="2"/>
        <w:snapToGrid/>
        <w:spacing w:before="0" w:beforeAutospacing="0" w:after="0" w:afterAutospacing="0" w:line="600" w:lineRule="exact"/>
        <w:ind w:left="969" w:leftChars="0" w:hanging="969"/>
        <w:jc w:val="distribute"/>
        <w:textAlignment w:val="baseline"/>
        <w:rPr>
          <w:rStyle w:val="8"/>
          <w:rFonts w:ascii="黑体" w:hAnsi="黑体" w:eastAsia="黑体" w:cs="黑体"/>
          <w:b/>
          <w:bCs/>
          <w:i w:val="0"/>
          <w:caps w:val="0"/>
          <w:spacing w:val="0"/>
          <w:w w:val="100"/>
          <w:sz w:val="52"/>
          <w:szCs w:val="52"/>
          <w:lang w:val="en-US" w:eastAsia="zh-CN"/>
        </w:rPr>
      </w:pPr>
      <w:r>
        <w:rPr>
          <w:rStyle w:val="8"/>
          <w:rFonts w:ascii="黑体" w:hAnsi="黑体" w:eastAsia="黑体" w:cs="黑体"/>
          <w:b/>
          <w:bCs/>
          <w:i w:val="0"/>
          <w:caps w:val="0"/>
          <w:spacing w:val="0"/>
          <w:w w:val="100"/>
          <w:sz w:val="52"/>
          <w:szCs w:val="52"/>
          <w:lang w:val="en-US" w:eastAsia="zh-CN"/>
        </w:rPr>
        <w:t>沁水县行政审批服务管理局</w:t>
      </w:r>
    </w:p>
    <w:p>
      <w:pPr>
        <w:snapToGrid/>
        <w:spacing w:before="0" w:beforeAutospacing="0" w:after="0" w:afterAutospacing="0" w:line="660" w:lineRule="exact"/>
        <w:jc w:val="center"/>
        <w:textAlignment w:val="baseline"/>
        <w:rPr>
          <w:rStyle w:val="8"/>
          <w:rFonts w:ascii="黑体" w:hAnsi="黑体" w:eastAsia="黑体"/>
          <w:b w:val="0"/>
          <w:i w:val="0"/>
          <w:caps w:val="0"/>
          <w:spacing w:val="0"/>
          <w:w w:val="100"/>
          <w:kern w:val="2"/>
          <w:sz w:val="44"/>
          <w:szCs w:val="44"/>
          <w:lang w:val="en-US" w:eastAsia="zh-CN" w:bidi="ar-SA"/>
        </w:rPr>
      </w:pPr>
    </w:p>
    <w:p>
      <w:pPr>
        <w:snapToGrid/>
        <w:spacing w:before="0" w:beforeAutospacing="0" w:after="0" w:afterAutospacing="0" w:line="660" w:lineRule="exact"/>
        <w:jc w:val="center"/>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沁      [2021]    号</w:t>
      </w:r>
    </w:p>
    <w:p>
      <w:pPr>
        <w:snapToGrid/>
        <w:spacing w:before="0" w:beforeAutospacing="0" w:after="0" w:afterAutospacing="0" w:line="660" w:lineRule="exact"/>
        <w:jc w:val="center"/>
        <w:textAlignment w:val="baseline"/>
        <w:rPr>
          <w:rStyle w:val="8"/>
          <w:rFonts w:ascii="黑体" w:hAnsi="黑体" w:eastAsia="黑体"/>
          <w:b w:val="0"/>
          <w:i w:val="0"/>
          <w:caps w:val="0"/>
          <w:spacing w:val="0"/>
          <w:w w:val="100"/>
          <w:kern w:val="2"/>
          <w:sz w:val="44"/>
          <w:szCs w:val="44"/>
          <w:lang w:val="en-US" w:eastAsia="zh-CN" w:bidi="ar-SA"/>
        </w:rPr>
      </w:pPr>
    </w:p>
    <w:p>
      <w:pPr>
        <w:snapToGrid/>
        <w:spacing w:before="0" w:beforeAutospacing="0" w:after="0" w:afterAutospacing="0" w:line="660" w:lineRule="exact"/>
        <w:jc w:val="center"/>
        <w:textAlignment w:val="baseline"/>
        <w:rPr>
          <w:rStyle w:val="8"/>
          <w:rFonts w:ascii="黑体" w:hAnsi="黑体" w:eastAsia="黑体"/>
          <w:b w:val="0"/>
          <w:i w:val="0"/>
          <w:caps w:val="0"/>
          <w:spacing w:val="0"/>
          <w:w w:val="100"/>
          <w:kern w:val="2"/>
          <w:sz w:val="44"/>
          <w:szCs w:val="44"/>
          <w:lang w:val="en-US" w:eastAsia="zh-CN" w:bidi="ar-SA"/>
        </w:rPr>
      </w:pPr>
    </w:p>
    <w:p>
      <w:pPr>
        <w:snapToGrid/>
        <w:spacing w:before="0" w:beforeAutospacing="0" w:after="0" w:afterAutospacing="0" w:line="660" w:lineRule="exact"/>
        <w:jc w:val="center"/>
        <w:textAlignment w:val="baseline"/>
        <w:rPr>
          <w:rStyle w:val="8"/>
          <w:rFonts w:ascii="黑体" w:hAnsi="黑体" w:eastAsia="黑体"/>
          <w:b w:val="0"/>
          <w:i w:val="0"/>
          <w:caps w:val="0"/>
          <w:spacing w:val="0"/>
          <w:w w:val="100"/>
          <w:kern w:val="2"/>
          <w:sz w:val="44"/>
          <w:szCs w:val="44"/>
          <w:lang w:val="en-US" w:eastAsia="zh-CN" w:bidi="ar-SA"/>
        </w:rPr>
      </w:pPr>
      <w:r>
        <w:rPr>
          <w:rStyle w:val="8"/>
          <w:rFonts w:ascii="黑体" w:hAnsi="黑体" w:eastAsia="黑体"/>
          <w:b w:val="0"/>
          <w:i w:val="0"/>
          <w:caps w:val="0"/>
          <w:spacing w:val="0"/>
          <w:w w:val="100"/>
          <w:kern w:val="2"/>
          <w:sz w:val="44"/>
          <w:szCs w:val="44"/>
          <w:lang w:val="en-US" w:eastAsia="zh-CN" w:bidi="ar-SA"/>
        </w:rPr>
        <w:t>关于做好沁水县2021年传统村落集中连片</w:t>
      </w:r>
    </w:p>
    <w:p>
      <w:pPr>
        <w:snapToGrid/>
        <w:spacing w:before="0" w:beforeAutospacing="0" w:after="0" w:afterAutospacing="0" w:line="660" w:lineRule="exact"/>
        <w:jc w:val="center"/>
        <w:textAlignment w:val="baseline"/>
        <w:rPr>
          <w:rStyle w:val="8"/>
          <w:rFonts w:ascii="黑体" w:hAnsi="黑体" w:eastAsia="黑体"/>
          <w:b w:val="0"/>
          <w:i w:val="0"/>
          <w:caps w:val="0"/>
          <w:spacing w:val="0"/>
          <w:w w:val="100"/>
          <w:kern w:val="2"/>
          <w:sz w:val="44"/>
          <w:szCs w:val="44"/>
          <w:lang w:val="en-US" w:eastAsia="zh-CN" w:bidi="ar-SA"/>
        </w:rPr>
      </w:pPr>
      <w:r>
        <w:rPr>
          <w:rStyle w:val="8"/>
          <w:rFonts w:ascii="黑体" w:hAnsi="黑体" w:eastAsia="黑体"/>
          <w:b w:val="0"/>
          <w:i w:val="0"/>
          <w:caps w:val="0"/>
          <w:spacing w:val="0"/>
          <w:w w:val="100"/>
          <w:kern w:val="2"/>
          <w:sz w:val="44"/>
          <w:szCs w:val="44"/>
          <w:lang w:val="en-US" w:eastAsia="zh-CN" w:bidi="ar-SA"/>
        </w:rPr>
        <w:t>保护利用示范工作项目建设管理工作的</w:t>
      </w:r>
    </w:p>
    <w:p>
      <w:pPr>
        <w:snapToGrid/>
        <w:spacing w:before="0" w:beforeAutospacing="0" w:after="0" w:afterAutospacing="0" w:line="660" w:lineRule="exact"/>
        <w:jc w:val="center"/>
        <w:textAlignment w:val="baseline"/>
        <w:rPr>
          <w:rStyle w:val="8"/>
          <w:rFonts w:ascii="黑体" w:hAnsi="黑体" w:eastAsia="黑体"/>
          <w:b w:val="0"/>
          <w:i w:val="0"/>
          <w:caps w:val="0"/>
          <w:spacing w:val="0"/>
          <w:w w:val="100"/>
          <w:kern w:val="2"/>
          <w:sz w:val="44"/>
          <w:szCs w:val="44"/>
          <w:lang w:val="en-US" w:eastAsia="zh-CN" w:bidi="ar-SA"/>
        </w:rPr>
      </w:pPr>
      <w:r>
        <w:rPr>
          <w:rStyle w:val="8"/>
          <w:rFonts w:ascii="黑体" w:hAnsi="黑体" w:eastAsia="黑体"/>
          <w:b w:val="0"/>
          <w:i w:val="0"/>
          <w:caps w:val="0"/>
          <w:spacing w:val="0"/>
          <w:w w:val="100"/>
          <w:kern w:val="2"/>
          <w:sz w:val="44"/>
          <w:szCs w:val="44"/>
          <w:lang w:val="en-US" w:eastAsia="zh-CN" w:bidi="ar-SA"/>
        </w:rPr>
        <w:t>通  知</w:t>
      </w:r>
    </w:p>
    <w:p>
      <w:pPr>
        <w:snapToGrid/>
        <w:spacing w:before="0" w:beforeAutospacing="0" w:after="0" w:afterAutospacing="0" w:line="240" w:lineRule="auto"/>
        <w:jc w:val="both"/>
        <w:textAlignment w:val="baseline"/>
        <w:rPr>
          <w:rStyle w:val="8"/>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土沃、</w:t>
      </w:r>
      <w:r>
        <w:rPr>
          <w:rStyle w:val="8"/>
          <w:rFonts w:ascii="仿宋_GB2312" w:hAnsi="仿宋_GB2312" w:eastAsia="仿宋_GB2312"/>
          <w:b w:val="0"/>
          <w:i w:val="0"/>
          <w:caps w:val="0"/>
          <w:spacing w:val="0"/>
          <w:w w:val="100"/>
          <w:kern w:val="2"/>
          <w:sz w:val="32"/>
          <w:szCs w:val="32"/>
          <w:lang w:val="en-US" w:eastAsia="zh-CN" w:bidi="ar-SA"/>
        </w:rPr>
        <w:t>嘉峰</w:t>
      </w:r>
      <w:r>
        <w:rPr>
          <w:rStyle w:val="8"/>
          <w:rFonts w:ascii="仿宋_GB2312" w:hAnsi="仿宋_GB2312" w:eastAsia="仿宋_GB2312"/>
          <w:b w:val="0"/>
          <w:i w:val="0"/>
          <w:caps w:val="0"/>
          <w:color w:val="000000"/>
          <w:spacing w:val="0"/>
          <w:w w:val="100"/>
          <w:kern w:val="2"/>
          <w:sz w:val="32"/>
          <w:szCs w:val="32"/>
          <w:lang w:val="en-US" w:eastAsia="zh-CN" w:bidi="ar-SA"/>
        </w:rPr>
        <w:t>、郑村乡（镇）政府及相关行政村：</w:t>
      </w:r>
    </w:p>
    <w:p>
      <w:pPr>
        <w:snapToGrid w:val="0"/>
        <w:spacing w:before="0" w:beforeAutospacing="0" w:after="0" w:afterAutospacing="0" w:line="560" w:lineRule="atLeast"/>
        <w:ind w:firstLine="64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为贯彻落实习近平总书记关于把传统村落改造好、保护好重要指示精神以及党中央国务院关于加强传统村落保护改造有关要求部署，</w:t>
      </w:r>
      <w:r>
        <w:rPr>
          <w:rStyle w:val="8"/>
          <w:rFonts w:ascii="仿宋_GB2312" w:hAnsi="仿宋_GB2312" w:eastAsia="仿宋_GB2312"/>
          <w:b w:val="0"/>
          <w:i w:val="0"/>
          <w:caps w:val="0"/>
          <w:spacing w:val="0"/>
          <w:w w:val="100"/>
          <w:kern w:val="2"/>
          <w:sz w:val="32"/>
          <w:szCs w:val="32"/>
          <w:lang w:val="en-US" w:eastAsia="zh-CN" w:bidi="ar-SA"/>
        </w:rPr>
        <w:t>根据《晋城市传统村落集中连片保护利用示范工作实施方案》的要求，现就我县做好传统村落集中连片保护利用示范工作项目建设和管理，制定以下具体办法。</w:t>
      </w:r>
    </w:p>
    <w:p>
      <w:pPr>
        <w:snapToGrid w:val="0"/>
        <w:spacing w:before="0" w:beforeAutospacing="0" w:after="0" w:afterAutospacing="0" w:line="560" w:lineRule="atLeast"/>
        <w:ind w:left="0" w:leftChars="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一、总体要求</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（一）指导思想</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以习近平新时代中国特色社会主义思想为指导，认真贯彻落实习近平总书记视察山西重要讲话重要指示，按照乡村振兴战略要求，突出乡村整体性、综合性发展，整合农村人居环境、美丽乡村建设等各种资源，推动乡村旅游、休闲、康养等产业发展，推动区域乡村面貌全面提升改善，推动传统村落提质保护，探索建立传统村落保护利用实施路径及长效机制，增强传统村落生命力，增强当地居民获得感，坚决扛起“在转型发展上率先蹚出一条新路来”的政治责任，扎实搞好传统村落集中连片保护利用示范工作，为推动沁水实现高质量高速度转型发展贡献力量。</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（二）基本原则</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1.保护与开发并重的原则</w:t>
      </w:r>
      <w:r>
        <w:rPr>
          <w:rStyle w:val="8"/>
          <w:rFonts w:ascii="仿宋_GB2312" w:hAnsi="仿宋_GB2312" w:eastAsia="仿宋_GB2312"/>
          <w:b w:val="0"/>
          <w:i w:val="0"/>
          <w:caps w:val="0"/>
          <w:color w:val="000000"/>
          <w:spacing w:val="0"/>
          <w:w w:val="100"/>
          <w:kern w:val="2"/>
          <w:sz w:val="32"/>
          <w:szCs w:val="32"/>
          <w:lang w:val="en-US" w:eastAsia="zh-CN" w:bidi="ar-SA"/>
        </w:rPr>
        <w:t>。坚持保护第一，注重传统村落空间格局、历史文化、价值特色的整体保护和结构肌理、山水格局的有机统一以及物质文化遗产、非物质文化遗产的同步保护。坚持保护中发展，发展中保护，促进传统村落环境美、产业强、百姓富。</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2.提升与改造结合的原则</w:t>
      </w:r>
      <w:r>
        <w:rPr>
          <w:rStyle w:val="8"/>
          <w:rFonts w:ascii="仿宋_GB2312" w:hAnsi="仿宋_GB2312" w:eastAsia="仿宋_GB2312"/>
          <w:b w:val="0"/>
          <w:i w:val="0"/>
          <w:caps w:val="0"/>
          <w:color w:val="000000"/>
          <w:spacing w:val="0"/>
          <w:w w:val="100"/>
          <w:kern w:val="2"/>
          <w:sz w:val="32"/>
          <w:szCs w:val="32"/>
          <w:lang w:val="en-US" w:eastAsia="zh-CN" w:bidi="ar-SA"/>
        </w:rPr>
        <w:t>。依据传统村落原有风貌、现状条件，科学合理编制保护发展规划。因地制宜采取保护措施，通过</w:t>
      </w:r>
      <w:r>
        <w:rPr>
          <w:rStyle w:val="8"/>
          <w:rFonts w:ascii="仿宋_GB2312" w:hAnsi="仿宋_GB2312" w:eastAsia="仿宋_GB2312" w:cs="仿宋_GB2312"/>
          <w:b w:val="0"/>
          <w:bCs/>
          <w:i w:val="0"/>
          <w:caps w:val="0"/>
          <w:color w:val="000000"/>
          <w:spacing w:val="0"/>
          <w:w w:val="100"/>
          <w:kern w:val="2"/>
          <w:sz w:val="32"/>
          <w:szCs w:val="32"/>
          <w:lang w:val="en-US" w:eastAsia="zh-CN" w:bidi="ar-SA"/>
        </w:rPr>
        <w:t>开展传统建筑修复改造，</w:t>
      </w:r>
      <w:r>
        <w:rPr>
          <w:rStyle w:val="8"/>
          <w:rFonts w:ascii="仿宋_GB2312" w:hAnsi="仿宋_GB2312" w:eastAsia="仿宋_GB2312"/>
          <w:b w:val="0"/>
          <w:i w:val="0"/>
          <w:caps w:val="0"/>
          <w:color w:val="000000"/>
          <w:spacing w:val="0"/>
          <w:w w:val="100"/>
          <w:kern w:val="2"/>
          <w:sz w:val="32"/>
          <w:szCs w:val="32"/>
          <w:lang w:val="en-US" w:eastAsia="zh-CN" w:bidi="ar-SA"/>
        </w:rPr>
        <w:t>改善基础公共服务设施，提升村落环境面貌，使传统村落历史风貌得到保护和延续。打造传统村落保护发展示范区，引领全县传统村落保护发展，实现多渠道保护、多样化利用。</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3.活化与利用统一的原则</w:t>
      </w:r>
      <w:r>
        <w:rPr>
          <w:rStyle w:val="8"/>
          <w:rFonts w:ascii="仿宋_GB2312" w:hAnsi="仿宋_GB2312" w:eastAsia="仿宋_GB2312"/>
          <w:b w:val="0"/>
          <w:i w:val="0"/>
          <w:caps w:val="0"/>
          <w:color w:val="000000"/>
          <w:spacing w:val="0"/>
          <w:w w:val="100"/>
          <w:kern w:val="2"/>
          <w:sz w:val="32"/>
          <w:szCs w:val="32"/>
          <w:lang w:val="en-US" w:eastAsia="zh-CN" w:bidi="ar-SA"/>
        </w:rPr>
        <w:t>。坚持活态保护、活化传承、活态发展，复兴传统村落的文化功能、经济功能、教育功能、生态功能和组织功能，实现传统村落经济发展、传统文化延续和生态环境改善。提升传统村落人居环境，完善生产生活设施，改善村民生活，让传统村落见人见物见生活。</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8"/>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4.集中与连片一致的原则</w:t>
      </w:r>
      <w:r>
        <w:rPr>
          <w:rStyle w:val="8"/>
          <w:rFonts w:ascii="仿宋_GB2312" w:hAnsi="仿宋_GB2312" w:eastAsia="仿宋_GB2312"/>
          <w:b w:val="0"/>
          <w:i w:val="0"/>
          <w:caps w:val="0"/>
          <w:color w:val="000000"/>
          <w:spacing w:val="0"/>
          <w:w w:val="100"/>
          <w:kern w:val="2"/>
          <w:sz w:val="32"/>
          <w:szCs w:val="32"/>
          <w:lang w:val="en-US" w:eastAsia="zh-CN" w:bidi="ar-SA"/>
        </w:rPr>
        <w:t>。根据传统村落分布状况，充分发挥数量多、资源禀赋强的独特优势，进行差异化整合，</w:t>
      </w:r>
      <w:r>
        <w:rPr>
          <w:rStyle w:val="8"/>
          <w:rFonts w:ascii="仿宋_GB2312" w:hAnsi="仿宋_GB2312" w:eastAsia="仿宋_GB2312"/>
          <w:b w:val="0"/>
          <w:i w:val="0"/>
          <w:caps w:val="0"/>
          <w:color w:val="000000"/>
          <w:spacing w:val="8"/>
          <w:w w:val="100"/>
          <w:kern w:val="2"/>
          <w:sz w:val="32"/>
          <w:szCs w:val="32"/>
          <w:lang w:val="en-US" w:eastAsia="zh-CN" w:bidi="ar-SA"/>
        </w:rPr>
        <w:t>发挥互补和联动效应。</w:t>
      </w:r>
    </w:p>
    <w:p>
      <w:pPr>
        <w:snapToGrid w:val="0"/>
        <w:spacing w:before="0" w:beforeAutospacing="0" w:after="0" w:afterAutospacing="0" w:line="560" w:lineRule="atLeast"/>
        <w:ind w:right="0" w:firstLine="640" w:firstLineChars="200"/>
        <w:jc w:val="left"/>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5.产业与带动优先的原则。</w:t>
      </w:r>
      <w:r>
        <w:rPr>
          <w:rStyle w:val="8"/>
          <w:rFonts w:ascii="仿宋_GB2312" w:hAnsi="仿宋_GB2312" w:eastAsia="仿宋_GB2312"/>
          <w:b w:val="0"/>
          <w:i w:val="0"/>
          <w:caps w:val="0"/>
          <w:color w:val="000000"/>
          <w:spacing w:val="0"/>
          <w:w w:val="100"/>
          <w:kern w:val="2"/>
          <w:sz w:val="32"/>
          <w:szCs w:val="32"/>
          <w:lang w:val="en-US" w:eastAsia="zh-CN" w:bidi="ar-SA"/>
        </w:rPr>
        <w:t>根据文旅康产业融合战略，把乡村文化旅游作为传统村落的主导产业，发展文化、民宿、生态、休闲、康养等新型业态，提升旅游价值，提高农产品的知名度和附加值。带动当地农民增收，促进共同富裕，增强农民的获得感。</w:t>
      </w:r>
    </w:p>
    <w:p>
      <w:pPr>
        <w:pStyle w:val="2"/>
        <w:snapToGrid w:val="0"/>
        <w:spacing w:before="0" w:beforeAutospacing="0" w:after="0" w:afterAutospacing="0" w:line="560" w:lineRule="atLeast"/>
        <w:ind w:left="969" w:leftChars="0" w:right="0" w:hanging="969"/>
        <w:jc w:val="both"/>
        <w:textAlignment w:val="baseline"/>
        <w:rPr>
          <w:rStyle w:val="8"/>
          <w:rFonts w:ascii="仿宋_GB2312" w:hAnsi="仿宋_GB2312" w:eastAsia="仿宋_GB2312"/>
          <w:b w:val="0"/>
          <w:i w:val="0"/>
          <w:caps w:val="0"/>
          <w:color w:val="000000"/>
          <w:spacing w:val="0"/>
          <w:w w:val="100"/>
          <w:sz w:val="21"/>
        </w:rPr>
      </w:pPr>
      <w:r>
        <w:rPr>
          <w:rStyle w:val="8"/>
          <w:rFonts w:ascii="仿宋_GB2312" w:hAnsi="仿宋_GB2312" w:eastAsia="仿宋_GB2312"/>
          <w:b w:val="0"/>
          <w:i w:val="0"/>
          <w:caps w:val="0"/>
          <w:color w:val="000000"/>
          <w:spacing w:val="0"/>
          <w:w w:val="100"/>
          <w:sz w:val="32"/>
          <w:szCs w:val="32"/>
          <w:lang w:val="en-US" w:eastAsia="zh-CN"/>
        </w:rPr>
        <w:t xml:space="preserve">    </w:t>
      </w:r>
      <w:r>
        <w:rPr>
          <w:rStyle w:val="8"/>
          <w:rFonts w:ascii="仿宋_GB2312" w:hAnsi="仿宋_GB2312" w:eastAsia="仿宋_GB2312"/>
          <w:b w:val="0"/>
          <w:bCs w:val="0"/>
          <w:i w:val="0"/>
          <w:caps w:val="0"/>
          <w:color w:val="000000"/>
          <w:spacing w:val="0"/>
          <w:w w:val="100"/>
          <w:sz w:val="32"/>
          <w:szCs w:val="32"/>
          <w:lang w:val="en-US" w:eastAsia="zh-CN"/>
        </w:rPr>
        <w:t>6.脱贫攻坚与乡村振兴衔接的原则。</w:t>
      </w:r>
      <w:r>
        <w:rPr>
          <w:rStyle w:val="8"/>
          <w:rFonts w:ascii="仿宋_GB2312" w:hAnsi="仿宋_GB2312" w:eastAsia="仿宋_GB2312"/>
          <w:b w:val="0"/>
          <w:i w:val="0"/>
          <w:caps w:val="0"/>
          <w:color w:val="000000"/>
          <w:spacing w:val="0"/>
          <w:w w:val="100"/>
          <w:sz w:val="32"/>
          <w:szCs w:val="32"/>
          <w:lang w:val="en-US" w:eastAsia="zh-CN"/>
        </w:rPr>
        <w:t>传统村落保护利用与脱贫攻坚和乡村振兴紧密结合，实施共同缔造和乡村风貌整治，提升基础设施和公共服务水平，发展乡村文化旅游，巩固脱贫成果，助推乡村振兴。</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FF000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7.政府主导与社会参与的原则。</w:t>
      </w:r>
      <w:r>
        <w:rPr>
          <w:rStyle w:val="8"/>
          <w:rFonts w:ascii="仿宋_GB2312" w:hAnsi="仿宋_GB2312" w:eastAsia="仿宋_GB2312"/>
          <w:b w:val="0"/>
          <w:i w:val="0"/>
          <w:caps w:val="0"/>
          <w:color w:val="000000"/>
          <w:spacing w:val="0"/>
          <w:w w:val="100"/>
          <w:kern w:val="2"/>
          <w:sz w:val="32"/>
          <w:szCs w:val="32"/>
          <w:lang w:val="en-US" w:eastAsia="zh-CN" w:bidi="ar-SA"/>
        </w:rPr>
        <w:t>发挥各级政府的主导作用，将传统村落保护发展纳入地方经济社会发展和乡村振兴战略中统筹推进。推动村民参与，维护村民权益，重视乡贤和社会力量，引导社会力量参与，形成政府、社会、村民、企业多方参与的共建、共享、共赢的机制。</w:t>
      </w:r>
    </w:p>
    <w:p>
      <w:pPr>
        <w:snapToGrid w:val="0"/>
        <w:spacing w:before="0" w:beforeAutospacing="0" w:after="0" w:afterAutospacing="0" w:line="560" w:lineRule="atLeast"/>
        <w:ind w:left="0" w:leftChars="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二、具体项目实施对象</w:t>
      </w:r>
    </w:p>
    <w:p>
      <w:pPr>
        <w:snapToGrid w:val="0"/>
        <w:spacing w:before="0" w:beforeAutospacing="0" w:after="0" w:afterAutospacing="0" w:line="560" w:lineRule="atLeas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根据晋城市财政局、晋城市住建局晋市财经[2021]22号文件明确，我县土沃乡三个村（西文兴村、南阳村、塘坪村）、嘉峰镇四个村（窦庄村、郭南村、郭北村、尉迟村）、郑庄镇湘峪村为2021年度传统村落连片保护利用示范工作重点乡村。</w:t>
      </w:r>
    </w:p>
    <w:p>
      <w:pPr>
        <w:snapToGrid w:val="0"/>
        <w:spacing w:before="0" w:beforeAutospacing="0" w:after="0" w:afterAutospacing="0" w:line="560" w:lineRule="atLeast"/>
        <w:ind w:left="0" w:leftChars="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三、主要任务、总体目标和具体建设项目</w:t>
      </w:r>
    </w:p>
    <w:p>
      <w:pPr>
        <w:snapToGrid w:val="0"/>
        <w:spacing w:before="0" w:beforeAutospacing="0" w:after="0" w:afterAutospacing="0" w:line="560" w:lineRule="atLeast"/>
        <w:ind w:left="420" w:leftChars="200" w:right="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楷体" w:hAnsi="楷体" w:eastAsia="楷体"/>
          <w:b/>
          <w:i w:val="0"/>
          <w:caps w:val="0"/>
          <w:color w:val="000000"/>
          <w:spacing w:val="0"/>
          <w:w w:val="100"/>
          <w:kern w:val="2"/>
          <w:sz w:val="32"/>
          <w:szCs w:val="32"/>
          <w:lang w:val="en-US" w:eastAsia="zh-CN" w:bidi="ar-SA"/>
        </w:rPr>
        <w:t>（一）主要任务</w:t>
      </w:r>
    </w:p>
    <w:p>
      <w:pPr>
        <w:snapToGrid w:val="0"/>
        <w:spacing w:before="0" w:beforeAutospacing="0" w:after="0" w:afterAutospacing="0" w:line="560" w:lineRule="atLeast"/>
        <w:ind w:left="0" w:leftChars="0"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cs="仿宋_GB2312"/>
          <w:b w:val="0"/>
          <w:bCs/>
          <w:i w:val="0"/>
          <w:caps w:val="0"/>
          <w:color w:val="000000"/>
          <w:spacing w:val="0"/>
          <w:w w:val="100"/>
          <w:kern w:val="2"/>
          <w:sz w:val="32"/>
          <w:szCs w:val="32"/>
          <w:lang w:val="en-US" w:eastAsia="zh-CN" w:bidi="ar-SA"/>
        </w:rPr>
        <w:t>1.开展传统村落修复改造。</w:t>
      </w:r>
      <w:r>
        <w:rPr>
          <w:rStyle w:val="8"/>
          <w:rFonts w:ascii="仿宋_GB2312" w:hAnsi="仿宋_GB2312" w:eastAsia="仿宋_GB2312"/>
          <w:b w:val="0"/>
          <w:i w:val="0"/>
          <w:caps w:val="0"/>
          <w:color w:val="000000"/>
          <w:spacing w:val="0"/>
          <w:w w:val="100"/>
          <w:kern w:val="2"/>
          <w:sz w:val="32"/>
          <w:szCs w:val="32"/>
          <w:lang w:val="en-US" w:eastAsia="zh-CN" w:bidi="ar-SA"/>
        </w:rPr>
        <w:t>适度修复传统村落格局与环境，延续脉络肌理。采取传统工艺、传统技术、传统材料修复民居建筑，改善通风采光、节能保温、给排水、环境卫生等生活设施。保护各个历史时期的代表性建筑及街巷、公共空间、古树名木、遗址遗迹和非物质文化遗产等历史要素。</w:t>
      </w:r>
    </w:p>
    <w:p>
      <w:pPr>
        <w:snapToGrid w:val="0"/>
        <w:spacing w:before="0" w:beforeAutospacing="0" w:after="0" w:afterAutospacing="0" w:line="560" w:lineRule="atLeast"/>
        <w:ind w:right="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cs="仿宋_GB2312"/>
          <w:b w:val="0"/>
          <w:bCs/>
          <w:i w:val="0"/>
          <w:caps w:val="0"/>
          <w:color w:val="000000"/>
          <w:spacing w:val="0"/>
          <w:w w:val="100"/>
          <w:kern w:val="2"/>
          <w:sz w:val="32"/>
          <w:szCs w:val="32"/>
          <w:lang w:val="en-US" w:eastAsia="zh-CN" w:bidi="ar-SA"/>
        </w:rPr>
        <w:t xml:space="preserve">    2.促进传统村落融合活化。</w:t>
      </w:r>
      <w:r>
        <w:rPr>
          <w:rStyle w:val="8"/>
          <w:rFonts w:ascii="仿宋_GB2312" w:hAnsi="仿宋_GB2312" w:eastAsia="仿宋_GB2312"/>
          <w:b w:val="0"/>
          <w:i w:val="0"/>
          <w:caps w:val="0"/>
          <w:color w:val="000000"/>
          <w:spacing w:val="0"/>
          <w:w w:val="100"/>
          <w:kern w:val="2"/>
          <w:sz w:val="32"/>
          <w:szCs w:val="32"/>
          <w:lang w:val="en-US" w:eastAsia="zh-CN" w:bidi="ar-SA"/>
        </w:rPr>
        <w:t>依托文旅康融合发展战略，发挥我县集中连片传统村落区位优势，创新活化利用模式，促进新旧功能有机融合，推动传统产业与新型产业协调发展，形成文化创意、生态休闲、乡村旅游等特色产业，推动保护利用与产业发展良性互动。利用多媒体资源，系统整理民间文学、传统技艺、民俗活动等各类传统文化资源，推进“互联网+”传统村落的传播方式，开展传统村落数字博物馆建设，完善传统村落展示平台，讲好村落故事。</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bCs w:val="0"/>
          <w:i w:val="0"/>
          <w:caps w:val="0"/>
          <w:color w:val="000000"/>
          <w:spacing w:val="0"/>
          <w:w w:val="100"/>
          <w:kern w:val="2"/>
          <w:sz w:val="32"/>
          <w:szCs w:val="32"/>
          <w:lang w:val="en-US" w:eastAsia="zh-CN" w:bidi="ar-SA"/>
        </w:rPr>
      </w:pPr>
      <w:r>
        <w:rPr>
          <w:rStyle w:val="8"/>
          <w:rFonts w:ascii="仿宋_GB2312" w:hAnsi="仿宋_GB2312" w:eastAsia="仿宋_GB2312" w:cs="仿宋_GB2312"/>
          <w:b w:val="0"/>
          <w:bCs/>
          <w:i w:val="0"/>
          <w:caps w:val="0"/>
          <w:color w:val="000000"/>
          <w:spacing w:val="0"/>
          <w:w w:val="100"/>
          <w:kern w:val="2"/>
          <w:sz w:val="32"/>
          <w:szCs w:val="32"/>
          <w:lang w:val="en-US" w:eastAsia="zh-CN" w:bidi="ar-SA"/>
        </w:rPr>
        <w:t>3.提升传统村落基础设施和公共服务水平。</w:t>
      </w:r>
      <w:r>
        <w:rPr>
          <w:rStyle w:val="8"/>
          <w:rFonts w:ascii="仿宋_GB2312" w:hAnsi="仿宋_GB2312" w:eastAsia="仿宋_GB2312"/>
          <w:b w:val="0"/>
          <w:bCs w:val="0"/>
          <w:i w:val="0"/>
          <w:caps w:val="0"/>
          <w:color w:val="000000"/>
          <w:spacing w:val="0"/>
          <w:w w:val="100"/>
          <w:kern w:val="2"/>
          <w:sz w:val="32"/>
          <w:szCs w:val="32"/>
          <w:lang w:val="en-US" w:eastAsia="zh-CN" w:bidi="ar-SA"/>
        </w:rPr>
        <w:t>加快传统村落道路、供水、供电、美化、亮化、信息等基础设施建设。持续开展村庄清洁行动，重点整治乱堆乱放、乱搭乱建，基本实现传统村落干净整洁有序目标，分类推进厕所革命，全面推进农村生活垃圾治理，梯次推进农村生活污水治理。</w:t>
      </w:r>
    </w:p>
    <w:p>
      <w:pPr>
        <w:snapToGrid w:val="0"/>
        <w:spacing w:before="0" w:beforeAutospacing="0" w:after="0" w:afterAutospacing="0" w:line="560" w:lineRule="atLeast"/>
        <w:ind w:right="0" w:firstLine="643"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ascii="楷体" w:hAnsi="楷体" w:eastAsia="楷体"/>
          <w:b/>
          <w:i w:val="0"/>
          <w:caps w:val="0"/>
          <w:color w:val="000000"/>
          <w:spacing w:val="0"/>
          <w:w w:val="100"/>
          <w:kern w:val="2"/>
          <w:sz w:val="32"/>
          <w:szCs w:val="32"/>
          <w:lang w:val="en-US" w:eastAsia="zh-CN" w:bidi="ar-SA"/>
        </w:rPr>
        <w:t>（二）总体目标</w:t>
      </w:r>
    </w:p>
    <w:p>
      <w:pPr>
        <w:snapToGrid w:val="0"/>
        <w:spacing w:before="0" w:beforeAutospacing="0" w:after="0" w:afterAutospacing="0" w:line="560" w:lineRule="atLeast"/>
        <w:ind w:left="0" w:leftChars="0" w:right="0" w:firstLine="640" w:firstLineChars="200"/>
        <w:jc w:val="both"/>
        <w:textAlignment w:val="baseline"/>
        <w:rPr>
          <w:rStyle w:val="8"/>
          <w:rFonts w:ascii="仿宋_GB2312" w:hAnsi="仿宋_GB2312" w:eastAsia="仿宋_GB2312" w:cs="仿宋_GB2312"/>
          <w:b/>
          <w:bCs/>
          <w:i w:val="0"/>
          <w:caps w:val="0"/>
          <w:color w:val="000000"/>
          <w:spacing w:val="0"/>
          <w:w w:val="100"/>
          <w:kern w:val="2"/>
          <w:sz w:val="32"/>
          <w:szCs w:val="40"/>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以规划为先导，以项目为带动，统筹推进传统村落集中连片保护利用示范建设，把区位和资源优势突出、保护特色鲜明、发展潜力较大、旅游基础良好、具有一定人口和产业基础的传统村落，打造成为规划科学、文化浓郁、产业集聚、设施完善、生态优良、生活便利的绿色宜居宜游古村落。通过市、县、乡（镇）、村和社会各界的共同努力，到2021年底，我县传统村落集中连片保护利用示范实现</w:t>
      </w:r>
      <w:r>
        <w:rPr>
          <w:rStyle w:val="8"/>
          <w:rFonts w:ascii="仿宋_GB2312" w:hAnsi="仿宋_GB2312" w:eastAsia="仿宋_GB2312"/>
          <w:b w:val="0"/>
          <w:bCs w:val="0"/>
          <w:i w:val="0"/>
          <w:caps w:val="0"/>
          <w:color w:val="000000"/>
          <w:spacing w:val="0"/>
          <w:w w:val="100"/>
          <w:kern w:val="2"/>
          <w:sz w:val="32"/>
          <w:szCs w:val="32"/>
          <w:lang w:val="en-US" w:eastAsia="zh-CN" w:bidi="ar-SA"/>
        </w:rPr>
        <w:t>以下</w:t>
      </w:r>
      <w:r>
        <w:rPr>
          <w:rStyle w:val="8"/>
          <w:rFonts w:ascii="仿宋_GB2312" w:hAnsi="仿宋_GB2312" w:eastAsia="仿宋_GB2312"/>
          <w:b w:val="0"/>
          <w:i w:val="0"/>
          <w:caps w:val="0"/>
          <w:color w:val="000000"/>
          <w:spacing w:val="0"/>
          <w:w w:val="100"/>
          <w:kern w:val="2"/>
          <w:sz w:val="32"/>
          <w:szCs w:val="32"/>
          <w:lang w:val="en-US" w:eastAsia="zh-CN" w:bidi="ar-SA"/>
        </w:rPr>
        <w:t>目标：</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40"/>
          <w:lang w:val="en-US" w:eastAsia="zh-CN" w:bidi="ar-SA"/>
        </w:rPr>
      </w:pPr>
      <w:r>
        <w:rPr>
          <w:rStyle w:val="8"/>
          <w:rFonts w:ascii="仿宋_GB2312" w:hAnsi="仿宋_GB2312" w:eastAsia="仿宋_GB2312"/>
          <w:b w:val="0"/>
          <w:i w:val="0"/>
          <w:caps w:val="0"/>
          <w:color w:val="000000"/>
          <w:spacing w:val="0"/>
          <w:w w:val="100"/>
          <w:kern w:val="2"/>
          <w:sz w:val="32"/>
          <w:szCs w:val="40"/>
          <w:lang w:val="en-US" w:eastAsia="zh-CN" w:bidi="ar-SA"/>
        </w:rPr>
        <w:t>1.</w:t>
      </w:r>
      <w:r>
        <w:rPr>
          <w:rStyle w:val="8"/>
          <w:rFonts w:ascii="仿宋_GB2312" w:hAnsi="仿宋_GB2312" w:eastAsia="仿宋_GB2312"/>
          <w:b w:val="0"/>
          <w:bCs w:val="0"/>
          <w:i w:val="0"/>
          <w:caps w:val="0"/>
          <w:color w:val="000000"/>
          <w:spacing w:val="0"/>
          <w:w w:val="100"/>
          <w:kern w:val="2"/>
          <w:sz w:val="32"/>
          <w:szCs w:val="40"/>
          <w:lang w:val="en-US" w:eastAsia="zh-CN" w:bidi="ar-SA"/>
        </w:rPr>
        <w:t>传统村落品质明显提升</w:t>
      </w:r>
      <w:r>
        <w:rPr>
          <w:rStyle w:val="8"/>
          <w:rFonts w:ascii="仿宋_GB2312" w:hAnsi="仿宋_GB2312" w:eastAsia="仿宋_GB2312"/>
          <w:b w:val="0"/>
          <w:i w:val="0"/>
          <w:caps w:val="0"/>
          <w:color w:val="000000"/>
          <w:spacing w:val="0"/>
          <w:w w:val="100"/>
          <w:kern w:val="2"/>
          <w:sz w:val="32"/>
          <w:szCs w:val="40"/>
          <w:lang w:val="en-US" w:eastAsia="zh-CN" w:bidi="ar-SA"/>
        </w:rPr>
        <w:t>。全面完成各项工程建设任务，成片成体系改造利用效果明显。主要传统村落集聚区域得到整体保护、利用，实现有效保护的村落比例达到50%以上。</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40"/>
          <w:lang w:val="en-US" w:eastAsia="zh-CN" w:bidi="ar-SA"/>
        </w:rPr>
      </w:pPr>
      <w:r>
        <w:rPr>
          <w:rStyle w:val="8"/>
          <w:rFonts w:ascii="仿宋_GB2312" w:hAnsi="仿宋_GB2312" w:eastAsia="仿宋_GB2312"/>
          <w:b w:val="0"/>
          <w:i w:val="0"/>
          <w:caps w:val="0"/>
          <w:color w:val="000000"/>
          <w:spacing w:val="0"/>
          <w:w w:val="100"/>
          <w:kern w:val="2"/>
          <w:sz w:val="32"/>
          <w:szCs w:val="40"/>
          <w:lang w:val="en-US" w:eastAsia="zh-CN" w:bidi="ar-SA"/>
        </w:rPr>
        <w:t>2.</w:t>
      </w:r>
      <w:r>
        <w:rPr>
          <w:rStyle w:val="8"/>
          <w:rFonts w:ascii="仿宋_GB2312" w:hAnsi="仿宋_GB2312" w:eastAsia="仿宋_GB2312"/>
          <w:b w:val="0"/>
          <w:bCs w:val="0"/>
          <w:i w:val="0"/>
          <w:caps w:val="0"/>
          <w:color w:val="000000"/>
          <w:spacing w:val="0"/>
          <w:w w:val="100"/>
          <w:kern w:val="2"/>
          <w:sz w:val="32"/>
          <w:szCs w:val="40"/>
          <w:lang w:val="en-US" w:eastAsia="zh-CN" w:bidi="ar-SA"/>
        </w:rPr>
        <w:t>人居环境有效改善</w:t>
      </w:r>
      <w:r>
        <w:rPr>
          <w:rStyle w:val="8"/>
          <w:rFonts w:ascii="仿宋_GB2312" w:hAnsi="仿宋_GB2312" w:eastAsia="仿宋_GB2312"/>
          <w:b w:val="0"/>
          <w:i w:val="0"/>
          <w:caps w:val="0"/>
          <w:color w:val="000000"/>
          <w:spacing w:val="0"/>
          <w:w w:val="100"/>
          <w:kern w:val="2"/>
          <w:sz w:val="32"/>
          <w:szCs w:val="40"/>
          <w:lang w:val="en-US" w:eastAsia="zh-CN" w:bidi="ar-SA"/>
        </w:rPr>
        <w:t>。已经完成保护利用的村落中，功能和景观方面均有良好成效，基础设施和公共服务水平有较大提高，村容村貌和人居环境有明显改善。</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40"/>
          <w:lang w:val="en-US" w:eastAsia="zh-CN" w:bidi="ar-SA"/>
        </w:rPr>
      </w:pPr>
      <w:r>
        <w:rPr>
          <w:rStyle w:val="8"/>
          <w:rFonts w:ascii="仿宋_GB2312" w:hAnsi="仿宋_GB2312" w:eastAsia="仿宋_GB2312"/>
          <w:b w:val="0"/>
          <w:i w:val="0"/>
          <w:caps w:val="0"/>
          <w:color w:val="000000"/>
          <w:spacing w:val="0"/>
          <w:w w:val="100"/>
          <w:kern w:val="2"/>
          <w:sz w:val="32"/>
          <w:szCs w:val="40"/>
          <w:lang w:val="en-US" w:eastAsia="zh-CN" w:bidi="ar-SA"/>
        </w:rPr>
        <w:t>3.</w:t>
      </w:r>
      <w:r>
        <w:rPr>
          <w:rStyle w:val="8"/>
          <w:rFonts w:ascii="仿宋_GB2312" w:hAnsi="仿宋_GB2312" w:eastAsia="仿宋_GB2312"/>
          <w:b w:val="0"/>
          <w:bCs w:val="0"/>
          <w:i w:val="0"/>
          <w:caps w:val="0"/>
          <w:color w:val="000000"/>
          <w:spacing w:val="0"/>
          <w:w w:val="100"/>
          <w:kern w:val="2"/>
          <w:sz w:val="32"/>
          <w:szCs w:val="40"/>
          <w:lang w:val="en-US" w:eastAsia="zh-CN" w:bidi="ar-SA"/>
        </w:rPr>
        <w:t>有效带动产业发展</w:t>
      </w:r>
      <w:r>
        <w:rPr>
          <w:rStyle w:val="8"/>
          <w:rFonts w:ascii="仿宋_GB2312" w:hAnsi="仿宋_GB2312" w:eastAsia="仿宋_GB2312"/>
          <w:b w:val="0"/>
          <w:i w:val="0"/>
          <w:caps w:val="0"/>
          <w:color w:val="000000"/>
          <w:spacing w:val="0"/>
          <w:w w:val="100"/>
          <w:kern w:val="2"/>
          <w:sz w:val="32"/>
          <w:szCs w:val="40"/>
          <w:lang w:val="en-US" w:eastAsia="zh-CN" w:bidi="ar-SA"/>
        </w:rPr>
        <w:t>。依托乡村文化旅游，发展文化、民俗、生态休闲、康养等新型业态，有效带动当地居民增收。</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40"/>
          <w:lang w:val="en-US" w:eastAsia="zh-CN" w:bidi="ar-SA"/>
        </w:rPr>
        <w:t>4.</w:t>
      </w:r>
      <w:r>
        <w:rPr>
          <w:rStyle w:val="8"/>
          <w:rFonts w:ascii="仿宋_GB2312" w:hAnsi="仿宋_GB2312" w:eastAsia="仿宋_GB2312"/>
          <w:b w:val="0"/>
          <w:bCs w:val="0"/>
          <w:i w:val="0"/>
          <w:caps w:val="0"/>
          <w:color w:val="000000"/>
          <w:spacing w:val="0"/>
          <w:w w:val="100"/>
          <w:kern w:val="2"/>
          <w:sz w:val="32"/>
          <w:szCs w:val="40"/>
          <w:lang w:val="en-US" w:eastAsia="zh-CN" w:bidi="ar-SA"/>
        </w:rPr>
        <w:t>活化利用得到创新</w:t>
      </w:r>
      <w:r>
        <w:rPr>
          <w:rStyle w:val="8"/>
          <w:rFonts w:ascii="仿宋_GB2312" w:hAnsi="仿宋_GB2312" w:eastAsia="仿宋_GB2312"/>
          <w:b w:val="0"/>
          <w:i w:val="0"/>
          <w:caps w:val="0"/>
          <w:color w:val="000000"/>
          <w:spacing w:val="0"/>
          <w:w w:val="100"/>
          <w:kern w:val="2"/>
          <w:sz w:val="32"/>
          <w:szCs w:val="40"/>
          <w:lang w:val="en-US" w:eastAsia="zh-CN" w:bidi="ar-SA"/>
        </w:rPr>
        <w:t>。传统村落文化得到整理挖掘，传统建筑基本得到有效利用。</w:t>
      </w:r>
      <w:r>
        <w:rPr>
          <w:rStyle w:val="8"/>
          <w:rFonts w:ascii="仿宋_GB2312" w:hAnsi="仿宋_GB2312" w:eastAsia="仿宋_GB2312"/>
          <w:b w:val="0"/>
          <w:bCs w:val="0"/>
          <w:i w:val="0"/>
          <w:caps w:val="0"/>
          <w:color w:val="000000"/>
          <w:spacing w:val="0"/>
          <w:w w:val="100"/>
          <w:kern w:val="2"/>
          <w:sz w:val="32"/>
          <w:szCs w:val="40"/>
          <w:lang w:val="en-US" w:eastAsia="zh-CN" w:bidi="ar-SA"/>
        </w:rPr>
        <w:t>建立分级保护管理机制，实现传统村落有效保护和可持续发展。</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40"/>
          <w:lang w:val="en-US" w:eastAsia="zh-CN" w:bidi="ar-SA"/>
        </w:rPr>
        <w:t>5.群众满意度明显提高。</w:t>
      </w:r>
      <w:r>
        <w:rPr>
          <w:rStyle w:val="8"/>
          <w:rFonts w:ascii="仿宋_GB2312" w:hAnsi="仿宋_GB2312" w:eastAsia="仿宋_GB2312"/>
          <w:b w:val="0"/>
          <w:i w:val="0"/>
          <w:caps w:val="0"/>
          <w:color w:val="000000"/>
          <w:spacing w:val="0"/>
          <w:w w:val="100"/>
          <w:kern w:val="2"/>
          <w:sz w:val="32"/>
          <w:szCs w:val="40"/>
          <w:lang w:val="en-US" w:eastAsia="zh-CN" w:bidi="ar-SA"/>
        </w:rPr>
        <w:t>已经完成保护利用的村落中</w:t>
      </w:r>
      <w:r>
        <w:rPr>
          <w:rStyle w:val="8"/>
          <w:rFonts w:ascii="仿宋_GB2312" w:hAnsi="仿宋_GB2312" w:eastAsia="仿宋_GB2312"/>
          <w:b w:val="0"/>
          <w:bCs w:val="0"/>
          <w:i w:val="0"/>
          <w:caps w:val="0"/>
          <w:color w:val="000000"/>
          <w:spacing w:val="0"/>
          <w:w w:val="100"/>
          <w:kern w:val="2"/>
          <w:sz w:val="32"/>
          <w:szCs w:val="40"/>
          <w:lang w:val="en-US" w:eastAsia="zh-CN" w:bidi="ar-SA"/>
        </w:rPr>
        <w:t>，基本实现生活设施便利化、现代化，吃、住、行、游、购、娱等要素得到极大改善，群众满意度显著提高。</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(三)具体建设项目和实施方案</w:t>
      </w:r>
    </w:p>
    <w:p>
      <w:pPr>
        <w:snapToGrid w:val="0"/>
        <w:spacing w:before="0" w:beforeAutospacing="0" w:after="0" w:afterAutospacing="0" w:line="560" w:lineRule="atLeas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具体项目建设的行政村，要在过去申报的建设内容的基础上，科学论证、多方协调、向上申报备案，尽快确定最终的具体项目的建设内容，以便加快后期工作。</w:t>
      </w:r>
    </w:p>
    <w:p>
      <w:pPr>
        <w:snapToGrid w:val="0"/>
        <w:spacing w:before="0" w:beforeAutospacing="0" w:after="0" w:afterAutospacing="0" w:line="560" w:lineRule="atLeast"/>
        <w:ind w:right="0" w:firstLine="640" w:firstLineChars="20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乡镇人民政府，要组织指导所辖相关行政村，以村为单位整体编制传统村落连片保护方案</w:t>
      </w:r>
      <w:r>
        <w:rPr>
          <w:rStyle w:val="8"/>
          <w:rFonts w:ascii="仿宋_GB2312" w:hAnsi="仿宋_GB2312" w:eastAsia="仿宋_GB2312"/>
          <w:b w:val="0"/>
          <w:i w:val="0"/>
          <w:caps w:val="0"/>
          <w:color w:val="000000"/>
          <w:spacing w:val="0"/>
          <w:w w:val="100"/>
          <w:kern w:val="2"/>
          <w:sz w:val="32"/>
          <w:szCs w:val="32"/>
          <w:lang w:val="en-US" w:eastAsia="zh-CN" w:bidi="ar-SA"/>
        </w:rPr>
        <w:t>，内容主要包括项目的</w:t>
      </w:r>
      <w:r>
        <w:rPr>
          <w:rStyle w:val="8"/>
          <w:rFonts w:ascii="仿宋_GB2312" w:hAnsi="仿宋_GB2312" w:eastAsia="仿宋_GB2312" w:cs="Times New Roman"/>
          <w:b w:val="0"/>
          <w:bCs/>
          <w:i w:val="0"/>
          <w:caps w:val="0"/>
          <w:color w:val="000000"/>
          <w:spacing w:val="0"/>
          <w:w w:val="100"/>
          <w:kern w:val="2"/>
          <w:sz w:val="32"/>
          <w:szCs w:val="32"/>
          <w:lang w:val="en-US" w:eastAsia="zh-CN" w:bidi="ar-SA"/>
        </w:rPr>
        <w:t>必要性、可行性分析、建设条件分析、建设方案、投资估算、社会效益及资金筹措等。方案要细化到具体项目，包括项目名称、建设内容、建设时限、总投资、资金筹措、组织管理和相关图件等。乡（镇）政府还要认真组织加强监管，做好项目投资资金评审和施工、监理等招投标工作，做好工程初验和审计结算等工作。县财政、住建、文旅、行政审批、农业农村等部门及相关专家组成评审组，负责项目有关评审工作。</w:t>
      </w:r>
      <w:r>
        <w:rPr>
          <w:rStyle w:val="8"/>
          <w:rFonts w:ascii="仿宋_GB2312" w:hAnsi="仿宋_GB2312" w:eastAsia="仿宋_GB2312" w:cs="Times New Roman"/>
          <w:b w:val="0"/>
          <w:bCs/>
          <w:i w:val="0"/>
          <w:caps w:val="0"/>
          <w:color w:val="000000"/>
          <w:spacing w:val="0"/>
          <w:w w:val="100"/>
          <w:kern w:val="2"/>
          <w:sz w:val="32"/>
          <w:szCs w:val="32"/>
          <w:lang w:val="en-US" w:eastAsia="zh-CN" w:bidi="ar-SA"/>
        </w:rPr>
        <w:br w:type="textWrapping"/>
      </w:r>
      <w:r>
        <w:rPr>
          <w:rStyle w:val="8"/>
          <w:rFonts w:ascii="仿宋" w:hAnsi="仿宋" w:eastAsia="仿宋"/>
          <w:b w:val="0"/>
          <w:i w:val="0"/>
          <w:caps w:val="0"/>
          <w:color w:val="000000"/>
          <w:spacing w:val="0"/>
          <w:w w:val="100"/>
          <w:kern w:val="0"/>
          <w:sz w:val="32"/>
          <w:szCs w:val="32"/>
          <w:lang w:val="en-US" w:eastAsia="zh-CN" w:bidi="ar-SA"/>
        </w:rPr>
        <w:t xml:space="preserve">    </w:t>
      </w:r>
      <w:r>
        <w:rPr>
          <w:rStyle w:val="8"/>
          <w:rFonts w:ascii="黑体" w:hAnsi="黑体" w:eastAsia="黑体"/>
          <w:b w:val="0"/>
          <w:i w:val="0"/>
          <w:caps w:val="0"/>
          <w:spacing w:val="0"/>
          <w:w w:val="100"/>
          <w:kern w:val="2"/>
          <w:sz w:val="32"/>
          <w:szCs w:val="32"/>
          <w:lang w:val="en-US" w:eastAsia="zh-CN" w:bidi="ar-SA"/>
        </w:rPr>
        <w:t>四、建设时限及项目验收</w:t>
      </w:r>
    </w:p>
    <w:p>
      <w:pPr>
        <w:snapToGrid w:val="0"/>
        <w:spacing w:before="0" w:beforeAutospacing="0" w:after="0" w:afterAutospacing="0" w:line="560" w:lineRule="atLeas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从本通知下达起至2021年11月中旬，具体建设实施单位，要完成全部建设任务；2021年11月中旬至12月底为项目扫尾和施工验收阶段。传统村落集中连片保护利用示范项目完工后，</w:t>
      </w:r>
      <w:r>
        <w:rPr>
          <w:rStyle w:val="8"/>
          <w:rFonts w:ascii="仿宋_GB2312" w:hAnsi="仿宋_GB2312" w:eastAsia="仿宋_GB2312"/>
          <w:b w:val="0"/>
          <w:i w:val="0"/>
          <w:caps w:val="0"/>
          <w:color w:val="000000"/>
          <w:spacing w:val="0"/>
          <w:w w:val="100"/>
          <w:kern w:val="2"/>
          <w:sz w:val="32"/>
          <w:szCs w:val="32"/>
          <w:lang w:val="en-US" w:eastAsia="zh-CN" w:bidi="ar-SA"/>
        </w:rPr>
        <w:t>由县住建部门牵头组织验收。</w:t>
      </w:r>
      <w:r>
        <w:rPr>
          <w:rStyle w:val="8"/>
          <w:rFonts w:ascii="仿宋_GB2312" w:hAnsi="仿宋_GB2312" w:eastAsia="仿宋_GB2312"/>
          <w:b w:val="0"/>
          <w:i w:val="0"/>
          <w:caps w:val="0"/>
          <w:spacing w:val="0"/>
          <w:w w:val="100"/>
          <w:kern w:val="2"/>
          <w:sz w:val="32"/>
          <w:szCs w:val="32"/>
          <w:lang w:val="en-US" w:eastAsia="zh-CN" w:bidi="ar-SA"/>
        </w:rPr>
        <w:t>实施单位要整理完善资料，开展绩效考核，积极配合完成整体验收工作。</w:t>
      </w:r>
    </w:p>
    <w:p>
      <w:pPr>
        <w:snapToGrid w:val="0"/>
        <w:spacing w:before="0" w:beforeAutospacing="0" w:after="0" w:afterAutospacing="0" w:line="560" w:lineRule="atLeast"/>
        <w:ind w:left="0" w:leftChars="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ascii="黑体" w:hAnsi="黑体" w:eastAsia="黑体"/>
          <w:b w:val="0"/>
          <w:i w:val="0"/>
          <w:caps w:val="0"/>
          <w:spacing w:val="0"/>
          <w:w w:val="100"/>
          <w:kern w:val="2"/>
          <w:sz w:val="32"/>
          <w:szCs w:val="32"/>
          <w:lang w:val="en-US" w:eastAsia="zh-CN" w:bidi="ar-SA"/>
        </w:rPr>
        <w:t>五、项目组织建设管理</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（一）加强组织保障</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县政府成立沁水县传统村落集中连片保护利用示范推进工作领导组，县财政、住建、行政审批、发改、自然资源、生态环境、交通、水务、农业农村、文旅、扶贫和涉及乡镇等有关部门为成员单位，统一领导全县传统村落集中连片保护利用示范推进工作，研究解决传统村落集中连片保护利用示范推进过程中的重大问题。领导组下设办公室，办公室设在县住房和城乡建设管理局，办公室主任由县住房和城乡建设管理局局长兼任。</w:t>
      </w:r>
    </w:p>
    <w:p>
      <w:pPr>
        <w:snapToGrid w:val="0"/>
        <w:spacing w:before="0" w:beforeAutospacing="0" w:after="0" w:afterAutospacing="0" w:line="560" w:lineRule="atLeas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项目所涉及的乡镇人民政府是传统村落集中连片保护示范工作的责任主体，要对保护项目的资金使用、项目管理、实施效果负总责，相关行政村是项目实施主体。项目所辖乡（镇）政府要具体组织监督，做好项目投资资金的评审，</w:t>
      </w:r>
      <w:r>
        <w:rPr>
          <w:rStyle w:val="8"/>
          <w:rFonts w:hint="eastAsia" w:ascii="仿宋_GB2312" w:hAnsi="仿宋_GB2312" w:eastAsia="仿宋_GB2312"/>
          <w:b w:val="0"/>
          <w:i w:val="0"/>
          <w:caps w:val="0"/>
          <w:spacing w:val="0"/>
          <w:w w:val="100"/>
          <w:kern w:val="2"/>
          <w:sz w:val="32"/>
          <w:szCs w:val="32"/>
          <w:lang w:val="en-US" w:eastAsia="zh-CN" w:bidi="ar-SA"/>
        </w:rPr>
        <w:t>杜绝项目投资虚高和浪费，严格组织和监督，</w:t>
      </w:r>
      <w:bookmarkStart w:id="0" w:name="_GoBack"/>
      <w:bookmarkEnd w:id="0"/>
      <w:r>
        <w:rPr>
          <w:rStyle w:val="8"/>
          <w:rFonts w:ascii="仿宋_GB2312" w:hAnsi="仿宋_GB2312" w:eastAsia="仿宋_GB2312"/>
          <w:b w:val="0"/>
          <w:i w:val="0"/>
          <w:caps w:val="0"/>
          <w:spacing w:val="0"/>
          <w:w w:val="100"/>
          <w:kern w:val="2"/>
          <w:sz w:val="32"/>
          <w:szCs w:val="32"/>
          <w:lang w:val="en-US" w:eastAsia="zh-CN" w:bidi="ar-SA"/>
        </w:rPr>
        <w:t>项目施工和监理事项的招标投标工作。为确保项目建设的进度和质量，乡镇可以统一招一个监理公司，加强项目建设监督管理,要依规合理确定招标资质条件以及招投标控制价。同时还要处理好项目前后期以及各部门间的事务和协调工作。</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（二）加强协作监管</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传统村落保护项目要严格遵循项目工程建设、预算内资金管理、文物保护等行业有关法律法规及各项规定，保护项目建设实施要严格遵循有关建设程序，落实好项目法人负责制、招投标制、工程监理制和合同备案制等，确保工程质量和进度。同时，要积极探索新的项目管理模式。项目实施过程中，要严格遵循有关法律法规，严禁一切有损历史文化遗产、传统村落风貌格局和传统建筑的行为，坚决杜绝大拆大建、传统村落消失等建设性破坏情况的发生。</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县住建部门要加强对项目建设的监管工作，根据文件及职责要求，具体要对项目实施行政村的项目招投标、监理等实行严格审核和监管，同时要对各重点阶段施工质量和安全进行必要的检查。</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县财政部门要加强资金使用和管理，及时拨付资金，对资金使用情况定期或不定期进行监督检查，加大对专项资金的监管力度，督促做好项目结算审计工作。对虚改冒领、改变用途等行为，严格按国家有关法律法规严肃处理。</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行政审批部门要积极做好项目可研审批、核准等工作，按照规定，严格做好招投标和采购工作。</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县文化旅游部门要做好前期项目方案审查，施工建设等阶段的文物保护工作。</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其他政府相关部门要按照工作职责要求，既要做好行业监管，更要服务支持促进保护利用示范工作。</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（三）加强政策助推</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cs="仿宋_GB2312"/>
          <w:b w:val="0"/>
          <w:bCs/>
          <w:i w:val="0"/>
          <w:caps w:val="0"/>
          <w:color w:val="000000"/>
          <w:spacing w:val="0"/>
          <w:w w:val="100"/>
          <w:kern w:val="2"/>
          <w:sz w:val="32"/>
          <w:szCs w:val="32"/>
          <w:lang w:val="en-US" w:eastAsia="zh-CN" w:bidi="ar-SA"/>
        </w:rPr>
      </w:pPr>
      <w:r>
        <w:rPr>
          <w:rStyle w:val="8"/>
          <w:rFonts w:ascii="仿宋_GB2312" w:hAnsi="仿宋_GB2312" w:eastAsia="仿宋_GB2312" w:cs="仿宋_GB2312"/>
          <w:b w:val="0"/>
          <w:bCs/>
          <w:i w:val="0"/>
          <w:caps w:val="0"/>
          <w:color w:val="000000"/>
          <w:spacing w:val="0"/>
          <w:w w:val="100"/>
          <w:kern w:val="2"/>
          <w:sz w:val="32"/>
          <w:szCs w:val="32"/>
          <w:lang w:val="en-US" w:eastAsia="zh-CN" w:bidi="ar-SA"/>
        </w:rPr>
        <w:t>对民间资本投资改造传统村落给予奖励，鼓励社会力量通过投资、基金、捐赠、众筹、入股、租赁、技术服务等方式，参与传统村落保护利用。利用好各类金融机构对乡村振兴的支持政策，发挥农信社服务“三农”作用，支持通过村集体代管或经营权委托，对闲置传统建筑进行保护利用。动员村民投工投劳或自筹资金参与，乡村两级要和村民签订项目投资、建设、使用和保护等协议，逐步建立政府、企业、社会多元资金投入的工作机制。同时对重点项目的用地优先保障，落实简化农村集体建设用地审批程序，积极推进乡村建设规划许可和建设用地审批“多审合一、多证合一”改革。</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（四）加强技术支持</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bCs w:val="0"/>
          <w:i w:val="0"/>
          <w:caps w:val="0"/>
          <w:color w:val="000000"/>
          <w:spacing w:val="0"/>
          <w:w w:val="100"/>
          <w:kern w:val="2"/>
          <w:sz w:val="32"/>
          <w:szCs w:val="36"/>
          <w:lang w:val="en-US" w:eastAsia="zh-CN" w:bidi="ar-SA"/>
        </w:rPr>
      </w:pPr>
      <w:r>
        <w:rPr>
          <w:rStyle w:val="8"/>
          <w:rFonts w:ascii="仿宋_GB2312" w:hAnsi="仿宋_GB2312" w:eastAsia="仿宋_GB2312"/>
          <w:b w:val="0"/>
          <w:bCs w:val="0"/>
          <w:i w:val="0"/>
          <w:caps w:val="0"/>
          <w:color w:val="000000"/>
          <w:spacing w:val="0"/>
          <w:w w:val="100"/>
          <w:kern w:val="2"/>
          <w:sz w:val="32"/>
          <w:szCs w:val="36"/>
          <w:lang w:val="en-US" w:eastAsia="zh-CN" w:bidi="ar-SA"/>
        </w:rPr>
        <w:t>建立完善传统村落驻村专家、村级联络员制度，加大专业培训和设计下乡力度，培养基层工作队伍、本土建筑师和传统工匠队伍。组建保护自愿者队伍，引导公众参与，鼓励和支持大专院校、科研单位参与传统村落保护工作的研究和实践。</w:t>
      </w:r>
    </w:p>
    <w:p>
      <w:pPr>
        <w:snapToGrid w:val="0"/>
        <w:spacing w:before="0" w:beforeAutospacing="0" w:after="0" w:afterAutospacing="0" w:line="560" w:lineRule="atLeast"/>
        <w:ind w:left="0" w:leftChars="0"/>
        <w:jc w:val="both"/>
        <w:textAlignment w:val="baseline"/>
        <w:rPr>
          <w:rStyle w:val="8"/>
          <w:rFonts w:ascii="楷体_GB2312" w:hAnsi="楷体_GB2312" w:eastAsia="楷体_GB2312" w:cs="楷体_GB2312"/>
          <w:b/>
          <w:bCs/>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（五）加强宣传促进</w:t>
      </w:r>
    </w:p>
    <w:p>
      <w:pPr>
        <w:snapToGrid w:val="0"/>
        <w:spacing w:before="0" w:beforeAutospacing="0" w:after="0" w:afterAutospacing="0" w:line="560" w:lineRule="atLeast"/>
        <w:ind w:right="0" w:firstLine="640" w:firstLineChars="200"/>
        <w:jc w:val="both"/>
        <w:textAlignment w:val="baseline"/>
        <w:rPr>
          <w:rStyle w:val="8"/>
          <w:rFonts w:ascii="仿宋_GB2312" w:hAnsi="仿宋_GB2312" w:eastAsia="仿宋_GB2312"/>
          <w:b w:val="0"/>
          <w:bCs w:val="0"/>
          <w:i w:val="0"/>
          <w:caps w:val="0"/>
          <w:color w:val="000000"/>
          <w:spacing w:val="0"/>
          <w:w w:val="100"/>
          <w:kern w:val="2"/>
          <w:sz w:val="32"/>
          <w:szCs w:val="36"/>
          <w:lang w:val="en-US" w:eastAsia="zh-CN" w:bidi="ar-SA"/>
        </w:rPr>
      </w:pPr>
      <w:r>
        <w:rPr>
          <w:rStyle w:val="8"/>
          <w:rFonts w:ascii="仿宋_GB2312" w:hAnsi="仿宋_GB2312" w:eastAsia="仿宋_GB2312"/>
          <w:b w:val="0"/>
          <w:bCs w:val="0"/>
          <w:i w:val="0"/>
          <w:caps w:val="0"/>
          <w:color w:val="000000"/>
          <w:spacing w:val="0"/>
          <w:w w:val="100"/>
          <w:kern w:val="2"/>
          <w:sz w:val="32"/>
          <w:szCs w:val="36"/>
          <w:lang w:val="en-US" w:eastAsia="zh-CN" w:bidi="ar-SA"/>
        </w:rPr>
        <w:t>充分利用电视、广播、报刊等传统媒体和微博、微信、APP客户端等新兴媒体，大力宣传试点推进过程中的成效、做法和经验，展示历史文化遗产和传统文化的魅力。加强政策解读和舆情监测，及时回应社会关切，营造全社会支持参与试点工作的良好氛围。</w:t>
      </w: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p>
    <w:p>
      <w:pPr>
        <w:pStyle w:val="2"/>
        <w:snapToGrid/>
        <w:spacing w:before="0" w:beforeAutospacing="0" w:after="0" w:afterAutospacing="0" w:line="600" w:lineRule="exact"/>
        <w:ind w:left="969" w:leftChars="0" w:hanging="969"/>
        <w:jc w:val="both"/>
        <w:textAlignment w:val="baseline"/>
        <w:rPr>
          <w:rStyle w:val="8"/>
          <w:rFonts w:ascii="仿宋_GB2312" w:hAnsi="仿宋_GB2312" w:eastAsia="仿宋_GB2312"/>
          <w:b w:val="0"/>
          <w:bCs w:val="0"/>
          <w:i w:val="0"/>
          <w:caps w:val="0"/>
          <w:spacing w:val="0"/>
          <w:w w:val="100"/>
          <w:sz w:val="32"/>
          <w:szCs w:val="32"/>
          <w:lang w:val="en-US" w:eastAsia="zh-CN"/>
        </w:rPr>
      </w:pPr>
      <w:r>
        <w:rPr>
          <w:rStyle w:val="8"/>
          <w:rFonts w:ascii="仿宋_GB2312" w:hAnsi="仿宋_GB2312" w:eastAsia="仿宋_GB2312"/>
          <w:b w:val="0"/>
          <w:bCs w:val="0"/>
          <w:i w:val="0"/>
          <w:caps w:val="0"/>
          <w:spacing w:val="0"/>
          <w:w w:val="100"/>
          <w:sz w:val="32"/>
          <w:szCs w:val="32"/>
          <w:lang w:val="en-US" w:eastAsia="zh-CN"/>
        </w:rPr>
        <w:t>沁水县住房和城乡建设管理局     沁水县财政局</w:t>
      </w:r>
    </w:p>
    <w:p>
      <w:pPr>
        <w:pStyle w:val="2"/>
        <w:snapToGrid/>
        <w:spacing w:before="0" w:beforeAutospacing="0" w:after="0" w:afterAutospacing="0" w:line="600" w:lineRule="exact"/>
        <w:ind w:left="969" w:leftChars="0" w:hanging="969"/>
        <w:jc w:val="both"/>
        <w:textAlignment w:val="baseline"/>
        <w:rPr>
          <w:rStyle w:val="8"/>
          <w:rFonts w:ascii="仿宋_GB2312" w:hAnsi="仿宋_GB2312" w:eastAsia="仿宋_GB2312"/>
          <w:b w:val="0"/>
          <w:bCs w:val="0"/>
          <w:i w:val="0"/>
          <w:caps w:val="0"/>
          <w:spacing w:val="0"/>
          <w:w w:val="100"/>
          <w:sz w:val="32"/>
          <w:szCs w:val="32"/>
          <w:lang w:val="en-US" w:eastAsia="zh-CN"/>
        </w:rPr>
      </w:pPr>
    </w:p>
    <w:p>
      <w:pPr>
        <w:pStyle w:val="2"/>
        <w:snapToGrid/>
        <w:spacing w:before="0" w:beforeAutospacing="0" w:after="0" w:afterAutospacing="0" w:line="600" w:lineRule="exact"/>
        <w:ind w:left="969" w:leftChars="0" w:hanging="969"/>
        <w:jc w:val="both"/>
        <w:textAlignment w:val="baseline"/>
        <w:rPr>
          <w:rStyle w:val="8"/>
          <w:rFonts w:ascii="仿宋_GB2312" w:hAnsi="仿宋_GB2312" w:eastAsia="仿宋_GB2312"/>
          <w:b w:val="0"/>
          <w:bCs w:val="0"/>
          <w:i w:val="0"/>
          <w:caps w:val="0"/>
          <w:spacing w:val="0"/>
          <w:w w:val="100"/>
          <w:sz w:val="32"/>
          <w:szCs w:val="32"/>
          <w:lang w:val="en-US" w:eastAsia="zh-CN"/>
        </w:rPr>
      </w:pPr>
    </w:p>
    <w:p>
      <w:pPr>
        <w:pStyle w:val="2"/>
        <w:snapToGrid/>
        <w:spacing w:before="0" w:beforeAutospacing="0" w:after="0" w:afterAutospacing="0" w:line="600" w:lineRule="exact"/>
        <w:ind w:left="969" w:leftChars="0" w:hanging="969"/>
        <w:jc w:val="both"/>
        <w:textAlignment w:val="baseline"/>
        <w:rPr>
          <w:rStyle w:val="8"/>
          <w:rFonts w:ascii="仿宋_GB2312" w:hAnsi="仿宋_GB2312" w:eastAsia="仿宋_GB2312"/>
          <w:b w:val="0"/>
          <w:bCs w:val="0"/>
          <w:i w:val="0"/>
          <w:caps w:val="0"/>
          <w:spacing w:val="0"/>
          <w:w w:val="100"/>
          <w:sz w:val="32"/>
          <w:szCs w:val="32"/>
          <w:lang w:val="en-US" w:eastAsia="zh-CN"/>
        </w:rPr>
      </w:pPr>
    </w:p>
    <w:p>
      <w:pPr>
        <w:pStyle w:val="2"/>
        <w:snapToGrid/>
        <w:spacing w:before="0" w:beforeAutospacing="0" w:after="0" w:afterAutospacing="0" w:line="600" w:lineRule="exact"/>
        <w:ind w:left="969" w:leftChars="0" w:hanging="969"/>
        <w:jc w:val="both"/>
        <w:textAlignment w:val="baseline"/>
        <w:rPr>
          <w:rStyle w:val="8"/>
          <w:rFonts w:ascii="黑体" w:hAnsi="黑体" w:eastAsia="黑体" w:cs="黑体"/>
          <w:b/>
          <w:bCs/>
          <w:i w:val="0"/>
          <w:caps w:val="0"/>
          <w:spacing w:val="0"/>
          <w:w w:val="100"/>
          <w:sz w:val="52"/>
          <w:szCs w:val="52"/>
          <w:lang w:val="en-US" w:eastAsia="zh-CN"/>
        </w:rPr>
      </w:pPr>
      <w:r>
        <w:rPr>
          <w:rStyle w:val="8"/>
          <w:rFonts w:ascii="仿宋_GB2312" w:hAnsi="仿宋_GB2312" w:eastAsia="仿宋_GB2312"/>
          <w:b w:val="0"/>
          <w:bCs w:val="0"/>
          <w:i w:val="0"/>
          <w:caps w:val="0"/>
          <w:spacing w:val="0"/>
          <w:w w:val="100"/>
          <w:sz w:val="32"/>
          <w:szCs w:val="32"/>
          <w:lang w:val="en-US" w:eastAsia="zh-CN"/>
        </w:rPr>
        <w:t>沁水县文化和旅游局         沁水县行政审批服务管理局</w:t>
      </w: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p>
    <w:p>
      <w:pPr>
        <w:pStyle w:val="2"/>
        <w:widowControl/>
        <w:snapToGrid/>
        <w:spacing w:before="0" w:beforeAutospacing="0" w:after="0" w:afterAutospacing="0" w:line="240" w:lineRule="auto"/>
        <w:ind w:left="2565" w:hanging="969"/>
        <w:jc w:val="both"/>
        <w:textAlignment w:val="baseline"/>
        <w:rPr>
          <w:rStyle w:val="8"/>
          <w:rFonts w:ascii="仿宋_GB2312" w:hAnsi="仿宋_GB2312" w:eastAsia="仿宋_GB2312"/>
          <w:b w:val="0"/>
          <w:bCs w:val="0"/>
          <w:i w:val="0"/>
          <w:caps w:val="0"/>
          <w:color w:val="000000"/>
          <w:spacing w:val="0"/>
          <w:w w:val="100"/>
          <w:sz w:val="32"/>
          <w:szCs w:val="36"/>
          <w:lang w:val="en-US" w:eastAsia="zh-CN"/>
        </w:rPr>
      </w:pPr>
      <w:r>
        <w:rPr>
          <w:rStyle w:val="8"/>
          <w:rFonts w:ascii="仿宋_GB2312" w:hAnsi="仿宋_GB2312" w:eastAsia="仿宋_GB2312"/>
          <w:b w:val="0"/>
          <w:bCs w:val="0"/>
          <w:i w:val="0"/>
          <w:caps w:val="0"/>
          <w:color w:val="000000"/>
          <w:spacing w:val="0"/>
          <w:w w:val="100"/>
          <w:sz w:val="32"/>
          <w:szCs w:val="36"/>
          <w:lang w:val="en-US" w:eastAsia="zh-CN"/>
        </w:rPr>
        <w:t xml:space="preserve">2021年8月2日 </w:t>
      </w:r>
    </w:p>
    <w:sectPr>
      <w:footerReference r:id="rId3" w:type="default"/>
      <w:pgSz w:w="11906" w:h="16838"/>
      <w:pgMar w:top="2098" w:right="1474" w:bottom="1701" w:left="1587"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8"/>
        <w:rFonts w:ascii="Calibri" w:hAnsi="Calibri" w:eastAsia="宋体"/>
        <w:kern w:val="2"/>
        <w:sz w:val="18"/>
        <w:szCs w:val="24"/>
        <w:lang w:val="en-US" w:eastAsia="zh-CN" w:bidi="ar-SA"/>
      </w:rPr>
    </w:pPr>
    <w:r>
      <w:rPr>
        <w:rStyle w:val="8"/>
        <w:rFonts w:ascii="Calibri" w:hAnsi="Calibri" w:eastAsia="宋体"/>
        <w:kern w:val="2"/>
        <w:sz w:val="18"/>
        <w:szCs w:val="24"/>
        <w:lang w:val="en-US" w:eastAsia="zh-CN" w:bidi="ar-SA"/>
      </w:rPr>
      <w:pict>
        <v:shape id="_x0000_s2049" o:spid="_x0000_s204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8"/>
                    <w:rFonts w:ascii="Calibri" w:hAnsi="Calibri" w:eastAsia="宋体"/>
                    <w:kern w:val="2"/>
                    <w:sz w:val="18"/>
                    <w:szCs w:val="24"/>
                    <w:lang w:val="en-US" w:eastAsia="zh-CN" w:bidi="ar-SA"/>
                  </w:rPr>
                </w:pPr>
              </w:p>
              <w:p>
                <w:pPr>
                  <w:widowControl/>
                  <w:textAlignment w:val="baseline"/>
                  <w:rPr>
                    <w:rStyle w:val="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7C547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uiPriority w:val="0"/>
    <w:pPr>
      <w:jc w:val="both"/>
      <w:textAlignment w:val="baseline"/>
    </w:pPr>
    <w:rPr>
      <w:rFonts w:ascii="Calibri" w:hAnsi="Calibri" w:eastAsia="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uiPriority w:val="0"/>
    <w:pPr>
      <w:ind w:left="1596" w:firstLine="420" w:firstLineChars="200"/>
      <w:jc w:val="both"/>
      <w:textAlignment w:val="baseline"/>
    </w:pPr>
  </w:style>
  <w:style w:type="paragraph" w:customStyle="1" w:styleId="3">
    <w:name w:val="BodyTextIndent"/>
    <w:basedOn w:val="1"/>
    <w:uiPriority w:val="0"/>
    <w:pPr>
      <w:ind w:left="1596" w:hanging="969"/>
      <w:jc w:val="both"/>
      <w:textAlignment w:val="baseline"/>
    </w:pPr>
  </w:style>
  <w:style w:type="paragraph" w:styleId="4">
    <w:name w:val="footer"/>
    <w:basedOn w:val="1"/>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5">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customStyle="1" w:styleId="8">
    <w:name w:val="NormalCharacter"/>
    <w:link w:val="1"/>
    <w:semiHidden/>
    <w:uiPriority w:val="0"/>
  </w:style>
  <w:style w:type="table" w:customStyle="1" w:styleId="9">
    <w:name w:val="TableNormal"/>
    <w:semiHidden/>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2021-08-16T00:57:57Z</dcterms:created>
  <dc:creator>Administrator</dc:creator>
  <cp:lastModifiedBy>Administrator</cp:lastModifiedBy>
  <dcterms:modified xsi:type="dcterms:W3CDTF">2021-08-16T01:09:49Z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0FD88924F69548D1A7290270717AB778</vt:lpwstr>
  </property>
</Properties>
</file>