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before="104" w:line="223" w:lineRule="auto"/>
        <w:rPr>
          <w:rFonts w:ascii="黑体" w:eastAsia="黑体" w:cs="黑体" w:hAnsi="黑体"/>
          <w:sz w:val="32"/>
          <w:szCs w:val="32"/>
        </w:rPr>
      </w:pPr>
      <w:r>
        <w:rPr>
          <w:rFonts w:ascii="黑体" w:eastAsia="黑体" w:cs="黑体" w:hAnsi="黑体"/>
          <w:spacing w:val="-12"/>
          <w:sz w:val="32"/>
          <w:szCs w:val="32"/>
        </w:rPr>
        <w:t>附件3</w:t>
      </w:r>
    </w:p>
    <w:p>
      <w:pPr>
        <w:spacing w:before="320" w:line="218" w:lineRule="auto"/>
        <w:ind w:left="2276"/>
        <w:rPr>
          <w:rFonts w:ascii="宋体" w:eastAsia="宋体" w:cs="宋体" w:hAnsi="宋体"/>
          <w:sz w:val="43"/>
          <w:szCs w:val="43"/>
        </w:rPr>
      </w:pPr>
      <w:r>
        <w:rPr>
          <w:rFonts w:ascii="宋体" w:eastAsia="宋体" w:cs="宋体" w:hAnsi="宋体"/>
          <w:b/>
          <w:bCs/>
          <w:spacing w:val="-7"/>
          <w:sz w:val="43"/>
          <w:szCs w:val="43"/>
        </w:rPr>
        <w:t>部分不合格项目小</w:t>
      </w:r>
      <w:bookmarkStart w:id="0" w:name="_GoBack"/>
      <w:bookmarkEnd w:id="0"/>
      <w:r>
        <w:rPr>
          <w:rFonts w:ascii="宋体" w:eastAsia="宋体" w:cs="宋体" w:hAnsi="宋体"/>
          <w:b/>
          <w:bCs/>
          <w:spacing w:val="-7"/>
          <w:sz w:val="43"/>
          <w:szCs w:val="43"/>
        </w:rPr>
        <w:t>知识</w:t>
      </w:r>
    </w:p>
    <w:p>
      <w:pPr>
        <w:spacing w:line="281" w:lineRule="auto"/>
        <w:rPr>
          <w:rFonts w:ascii="Arial" w:hAnsi="Arial"/>
          <w:sz w:val="21"/>
        </w:rPr>
      </w:pPr>
    </w:p>
    <w:p>
      <w:pPr>
        <w:pStyle w:val="16"/>
        <w:numPr>
          <w:ilvl w:val="0"/>
          <w:numId w:val="1"/>
        </w:numPr>
        <w:spacing w:before="146" w:line="295" w:lineRule="auto"/>
        <w:ind w:left="0" w:right="119" w:firstLine="709"/>
        <w:jc w:val="both"/>
        <w:rPr>
          <w:spacing w:val="-5"/>
          <w:sz w:val="32"/>
          <w:szCs w:val="32"/>
          <w:lang w:val="en-US"/>
        </w:rPr>
      </w:pPr>
      <w:r>
        <w:rPr>
          <w:rFonts w:hint="eastAsia"/>
          <w:spacing w:val="-5"/>
          <w:sz w:val="32"/>
          <w:szCs w:val="32"/>
          <w:lang w:val="en-US" w:eastAsia="zh-CN"/>
        </w:rPr>
        <w:t>阴离子合成洗涤剂其主要成分为十二烷基苯磺酸钠，是一种低毒物质，因其使用方便、易溶解、稳定性好、成本低等优点，在消毒企业中广泛使用，但是如果餐具清洗消毒流程控制不当，会造成洗涤剂在餐具上残留，对人体健康产生不良影响。《食品安全国家标准 消毒餐（饮）具》（GB 14934-2016）中规定，采用化学消毒法的餐（饮）具的阴离子合成洗涤剂应不得检出。</w:t>
      </w:r>
    </w:p>
    <w:p>
      <w:pPr>
        <w:pStyle w:val="16"/>
        <w:spacing w:before="146" w:line="295" w:lineRule="auto"/>
        <w:ind w:left="0" w:right="119" w:firstLineChars="200" w:firstLine="620"/>
        <w:jc w:val="both"/>
        <w:rPr>
          <w:spacing w:val="-5"/>
          <w:sz w:val="32"/>
          <w:szCs w:val="32"/>
          <w:lang w:val="en-US"/>
        </w:rPr>
      </w:pPr>
      <w:r>
        <w:rPr>
          <w:rFonts w:hint="eastAsia"/>
          <w:spacing w:val="-5"/>
          <w:sz w:val="32"/>
          <w:szCs w:val="32"/>
          <w:lang w:val="en-US" w:eastAsia="zh-CN"/>
        </w:rPr>
        <w:t>餐具</w:t>
      </w:r>
      <w:r>
        <w:rPr>
          <w:spacing w:val="-5"/>
          <w:sz w:val="32"/>
          <w:szCs w:val="32"/>
          <w:lang w:val="en-US" w:eastAsia="zh-CN"/>
        </w:rPr>
        <w:t>出现不合格可</w:t>
      </w:r>
      <w:r>
        <w:rPr>
          <w:rFonts w:hint="eastAsia"/>
          <w:spacing w:val="-5"/>
          <w:sz w:val="32"/>
          <w:szCs w:val="32"/>
          <w:lang w:val="en-US" w:eastAsia="zh-CN"/>
        </w:rPr>
        <w:t>能有以下几种原因:（1）使用的洗涤剂不合格。（2）使用量过大，未经足够量清水冲洗。（3）餐具漂洗池内清洗用水重复使用或餐具数量多，造成交叉污染，进而残存在餐（饮）具中</w:t>
      </w:r>
      <w:r>
        <w:rPr>
          <w:spacing w:val="-5"/>
          <w:sz w:val="32"/>
          <w:szCs w:val="32"/>
          <w:lang w:val="en-US"/>
        </w:rPr>
        <w:t>。</w:t>
      </w:r>
    </w:p>
    <w:p>
      <w:pPr>
        <w:pStyle w:val="16"/>
        <w:spacing w:before="146" w:line="295" w:lineRule="auto"/>
        <w:ind w:left="0" w:right="119" w:firstLineChars="200" w:firstLine="620"/>
        <w:jc w:val="both"/>
        <w:rPr>
          <w:rFonts w:hint="eastAsia"/>
          <w:spacing w:val="-5"/>
          <w:sz w:val="32"/>
          <w:szCs w:val="32"/>
          <w:lang w:val="en-US" w:eastAsia="zh-CN"/>
        </w:rPr>
      </w:pPr>
      <w:r>
        <w:rPr>
          <w:rFonts w:hint="eastAsia"/>
          <w:spacing w:val="-5"/>
          <w:sz w:val="32"/>
          <w:szCs w:val="32"/>
          <w:lang w:val="en-US" w:eastAsia="zh-CN"/>
        </w:rPr>
        <w:t>2、二氧化硫是食品加工中常用的漂白剂和防腐剂，使用后会产生二氧化硫残留。进入人体内最终转化为硫酸盐并随尿液排出体外。少量二氧化硫进入人体不会对身体带来健康危害，但若过量食用会引起如恶心、呕吐等胃肠道反应。《食品安全国家标准 食品添加剂使用标准》（GB 2760-2024）中规定，二氧化硫残留量在龙眼中的最大残留限量值为0.05g/kg。</w:t>
      </w:r>
    </w:p>
    <w:p>
      <w:pPr>
        <w:pStyle w:val="16"/>
        <w:spacing w:before="146" w:line="295" w:lineRule="auto"/>
        <w:ind w:left="0" w:right="119" w:firstLineChars="200" w:firstLine="620"/>
        <w:jc w:val="both"/>
        <w:rPr>
          <w:rFonts w:hint="eastAsia"/>
          <w:spacing w:val="-5"/>
          <w:sz w:val="32"/>
          <w:szCs w:val="32"/>
          <w:lang w:val="en-US" w:eastAsia="zh-CN"/>
        </w:rPr>
      </w:pPr>
      <w:r>
        <w:rPr>
          <w:rFonts w:hint="eastAsia"/>
          <w:spacing w:val="-5"/>
          <w:sz w:val="32"/>
          <w:szCs w:val="32"/>
          <w:lang w:val="en-US" w:eastAsia="zh-CN"/>
        </w:rPr>
        <w:t>龙眼中二氧化硫残留量不合格的原因可能是：（1）个别生产经营者为了提高产品色泽而超范围超限量使用二氧化硫。（2）为增加原料的保质期，防止霉变生虫，而超范围超限量使用二氧化硫。</w:t>
      </w:r>
    </w:p>
    <w:p>
      <w:pPr>
        <w:pStyle w:val="16"/>
        <w:spacing w:before="146" w:line="295" w:lineRule="auto"/>
        <w:ind w:left="0" w:right="119" w:firstLineChars="200" w:firstLine="620"/>
        <w:jc w:val="both"/>
        <w:rPr>
          <w:spacing w:val="-5"/>
          <w:sz w:val="32"/>
          <w:szCs w:val="32"/>
          <w:lang w:val="en-US" w:eastAsia="zh-CN"/>
        </w:rPr>
      </w:pPr>
      <w:r>
        <w:rPr>
          <w:rFonts w:hint="eastAsia"/>
          <w:spacing w:val="-5"/>
          <w:sz w:val="32"/>
          <w:szCs w:val="32"/>
          <w:lang w:val="en-US" w:eastAsia="zh-CN"/>
        </w:rPr>
        <w:t>3、</w:t>
      </w:r>
      <w:r>
        <w:rPr>
          <w:spacing w:val="-5"/>
          <w:sz w:val="32"/>
          <w:szCs w:val="32"/>
          <w:lang w:val="en-US" w:eastAsia="zh-CN"/>
        </w:rPr>
        <w:t>噻虫胺是一类高效安全、高选择性的新型</w:t>
      </w:r>
      <w:r>
        <w:rPr>
          <w:rFonts w:hint="eastAsia"/>
          <w:spacing w:val="-5"/>
          <w:sz w:val="32"/>
          <w:szCs w:val="32"/>
          <w:lang w:val="en-US" w:eastAsia="zh-CN"/>
        </w:rPr>
        <w:t>烟碱类</w:t>
      </w:r>
      <w:r>
        <w:rPr>
          <w:spacing w:val="-5"/>
          <w:sz w:val="32"/>
          <w:szCs w:val="32"/>
          <w:lang w:val="en-US" w:eastAsia="zh-CN"/>
        </w:rPr>
        <w:t>杀虫剂，其作用与烟碱</w:t>
      </w:r>
      <w:r>
        <w:rPr>
          <w:spacing w:val="-5"/>
          <w:sz w:val="32"/>
          <w:szCs w:val="32"/>
          <w:lang w:val="en-US" w:eastAsia="zh-CN"/>
        </w:rPr>
        <w:fldChar w:fldCharType="begin"/>
      </w:r>
      <w:r>
        <w:instrText>HYPERLINK "https://baike.so.com/doc/6786295-7002902.html"</w:instrText>
      </w:r>
      <w:r>
        <w:rPr>
          <w:spacing w:val="-5"/>
          <w:sz w:val="32"/>
          <w:szCs w:val="32"/>
          <w:lang w:val="en-US" w:eastAsia="zh-CN"/>
        </w:rPr>
        <w:fldChar w:fldCharType="separate"/>
      </w:r>
      <w:r>
        <w:rPr>
          <w:spacing w:val="-5"/>
          <w:sz w:val="32"/>
          <w:szCs w:val="32"/>
          <w:lang w:val="en-US" w:eastAsia="zh-CN"/>
        </w:rPr>
        <w:t>乙酰胆碱受体</w:t>
      </w:r>
      <w:r>
        <w:rPr>
          <w:spacing w:val="-5"/>
          <w:sz w:val="32"/>
          <w:szCs w:val="32"/>
          <w:lang w:val="en-US" w:eastAsia="zh-CN"/>
        </w:rPr>
        <w:fldChar w:fldCharType="end"/>
      </w:r>
      <w:r>
        <w:rPr>
          <w:spacing w:val="-5"/>
          <w:sz w:val="32"/>
          <w:szCs w:val="32"/>
          <w:lang w:val="en-US" w:eastAsia="zh-CN"/>
        </w:rPr>
        <w:t>类似，具有触杀、胃毒和内吸活性。主要用于水稻、蔬菜、果树及其他作物上防治</w:t>
      </w:r>
      <w:r>
        <w:rPr>
          <w:spacing w:val="-5"/>
          <w:sz w:val="32"/>
          <w:szCs w:val="32"/>
          <w:lang w:val="en-US" w:eastAsia="zh-CN"/>
        </w:rPr>
        <w:fldChar w:fldCharType="begin"/>
      </w:r>
      <w:r>
        <w:instrText>HYPERLINK "https://baike.so.com/doc/5415993-5654138.html"</w:instrText>
      </w:r>
      <w:r>
        <w:rPr>
          <w:spacing w:val="-5"/>
          <w:sz w:val="32"/>
          <w:szCs w:val="32"/>
          <w:lang w:val="en-US" w:eastAsia="zh-CN"/>
        </w:rPr>
        <w:fldChar w:fldCharType="separate"/>
      </w:r>
      <w:r>
        <w:rPr>
          <w:spacing w:val="-5"/>
          <w:sz w:val="32"/>
          <w:szCs w:val="32"/>
          <w:lang w:val="en-US" w:eastAsia="zh-CN"/>
        </w:rPr>
        <w:t>蚜虫</w:t>
      </w:r>
      <w:r>
        <w:rPr>
          <w:spacing w:val="-5"/>
          <w:sz w:val="32"/>
          <w:szCs w:val="32"/>
          <w:lang w:val="en-US" w:eastAsia="zh-CN"/>
        </w:rPr>
        <w:fldChar w:fldCharType="end"/>
      </w:r>
      <w:r>
        <w:rPr>
          <w:spacing w:val="-5"/>
          <w:sz w:val="32"/>
          <w:szCs w:val="32"/>
          <w:lang w:val="en-US" w:eastAsia="zh-CN"/>
        </w:rPr>
        <w:t>、</w:t>
      </w:r>
      <w:r>
        <w:rPr>
          <w:spacing w:val="-5"/>
          <w:sz w:val="32"/>
          <w:szCs w:val="32"/>
          <w:lang w:val="en-US" w:eastAsia="zh-CN"/>
        </w:rPr>
        <w:fldChar w:fldCharType="begin"/>
      </w:r>
      <w:r>
        <w:instrText>HYPERLINK "https://baike.so.com/doc/6328167-6541777.html"</w:instrText>
      </w:r>
      <w:r>
        <w:rPr>
          <w:spacing w:val="-5"/>
          <w:sz w:val="32"/>
          <w:szCs w:val="32"/>
          <w:lang w:val="en-US" w:eastAsia="zh-CN"/>
        </w:rPr>
        <w:fldChar w:fldCharType="separate"/>
      </w:r>
      <w:r>
        <w:rPr>
          <w:spacing w:val="-5"/>
          <w:sz w:val="32"/>
          <w:szCs w:val="32"/>
          <w:lang w:val="en-US" w:eastAsia="zh-CN"/>
        </w:rPr>
        <w:t>叶蝉</w:t>
      </w:r>
      <w:r>
        <w:rPr>
          <w:spacing w:val="-5"/>
          <w:sz w:val="32"/>
          <w:szCs w:val="32"/>
          <w:lang w:val="en-US" w:eastAsia="zh-CN"/>
        </w:rPr>
        <w:fldChar w:fldCharType="end"/>
      </w:r>
      <w:r>
        <w:rPr>
          <w:spacing w:val="-5"/>
          <w:sz w:val="32"/>
          <w:szCs w:val="32"/>
          <w:lang w:val="en-US" w:eastAsia="zh-CN"/>
        </w:rPr>
        <w:t>、</w:t>
      </w:r>
      <w:r>
        <w:rPr>
          <w:spacing w:val="-5"/>
          <w:sz w:val="32"/>
          <w:szCs w:val="32"/>
          <w:lang w:val="en-US" w:eastAsia="zh-CN"/>
        </w:rPr>
        <w:fldChar w:fldCharType="begin"/>
      </w:r>
      <w:r>
        <w:instrText>HYPERLINK "https://baike.so.com/doc/5437184-5675493.html"</w:instrText>
      </w:r>
      <w:r>
        <w:rPr>
          <w:spacing w:val="-5"/>
          <w:sz w:val="32"/>
          <w:szCs w:val="32"/>
          <w:lang w:val="en-US" w:eastAsia="zh-CN"/>
        </w:rPr>
        <w:fldChar w:fldCharType="separate"/>
      </w:r>
      <w:r>
        <w:rPr>
          <w:spacing w:val="-5"/>
          <w:sz w:val="32"/>
          <w:szCs w:val="32"/>
          <w:lang w:val="en-US" w:eastAsia="zh-CN"/>
        </w:rPr>
        <w:t>蓟马</w:t>
      </w:r>
      <w:r>
        <w:rPr>
          <w:spacing w:val="-5"/>
          <w:sz w:val="32"/>
          <w:szCs w:val="32"/>
          <w:lang w:val="en-US" w:eastAsia="zh-CN"/>
        </w:rPr>
        <w:fldChar w:fldCharType="end"/>
      </w:r>
      <w:r>
        <w:rPr>
          <w:spacing w:val="-5"/>
          <w:sz w:val="32"/>
          <w:szCs w:val="32"/>
          <w:lang w:val="en-US" w:eastAsia="zh-CN"/>
        </w:rPr>
        <w:t>、</w:t>
      </w:r>
      <w:r>
        <w:rPr>
          <w:spacing w:val="-5"/>
          <w:sz w:val="32"/>
          <w:szCs w:val="32"/>
          <w:lang w:val="en-US" w:eastAsia="zh-CN"/>
        </w:rPr>
        <w:fldChar w:fldCharType="begin"/>
      </w:r>
      <w:r>
        <w:instrText>HYPERLINK "https://baike.so.com/doc/5666270-5878929.html"</w:instrText>
      </w:r>
      <w:r>
        <w:rPr>
          <w:spacing w:val="-5"/>
          <w:sz w:val="32"/>
          <w:szCs w:val="32"/>
          <w:lang w:val="en-US" w:eastAsia="zh-CN"/>
        </w:rPr>
        <w:fldChar w:fldCharType="separate"/>
      </w:r>
      <w:r>
        <w:rPr>
          <w:spacing w:val="-5"/>
          <w:sz w:val="32"/>
          <w:szCs w:val="32"/>
          <w:lang w:val="en-US" w:eastAsia="zh-CN"/>
        </w:rPr>
        <w:t>飞虱</w:t>
      </w:r>
      <w:r>
        <w:rPr>
          <w:spacing w:val="-5"/>
          <w:sz w:val="32"/>
          <w:szCs w:val="32"/>
          <w:lang w:val="en-US" w:eastAsia="zh-CN"/>
        </w:rPr>
        <w:fldChar w:fldCharType="end"/>
      </w:r>
      <w:r>
        <w:rPr>
          <w:spacing w:val="-5"/>
          <w:sz w:val="32"/>
          <w:szCs w:val="32"/>
          <w:lang w:val="en-US" w:eastAsia="zh-CN"/>
        </w:rPr>
        <w:t>等半翅目、鞘翅目、双翅目和某些</w:t>
      </w:r>
      <w:r>
        <w:rPr>
          <w:spacing w:val="-5"/>
          <w:sz w:val="32"/>
          <w:szCs w:val="32"/>
          <w:lang w:val="en-US" w:eastAsia="zh-CN"/>
        </w:rPr>
        <w:fldChar w:fldCharType="begin"/>
      </w:r>
      <w:r>
        <w:instrText>HYPERLINK "https://baike.so.com/doc/4590427-4801972.html"</w:instrText>
      </w:r>
      <w:r>
        <w:rPr>
          <w:spacing w:val="-5"/>
          <w:sz w:val="32"/>
          <w:szCs w:val="32"/>
          <w:lang w:val="en-US" w:eastAsia="zh-CN"/>
        </w:rPr>
        <w:fldChar w:fldCharType="separate"/>
      </w:r>
      <w:r>
        <w:rPr>
          <w:spacing w:val="-5"/>
          <w:sz w:val="32"/>
          <w:szCs w:val="32"/>
          <w:lang w:val="en-US" w:eastAsia="zh-CN"/>
        </w:rPr>
        <w:t>鳞翅</w:t>
      </w:r>
      <w:r>
        <w:rPr>
          <w:spacing w:val="-5"/>
          <w:sz w:val="32"/>
          <w:szCs w:val="32"/>
          <w:lang w:val="en-US" w:eastAsia="zh-CN"/>
        </w:rPr>
        <w:fldChar w:fldCharType="end"/>
      </w:r>
      <w:r>
        <w:rPr>
          <w:spacing w:val="-5"/>
          <w:sz w:val="32"/>
          <w:szCs w:val="32"/>
          <w:lang w:val="en-US" w:eastAsia="zh-CN"/>
        </w:rPr>
        <w:t>目类害虫的杀虫剂，具有高效、广谱、用量少、毒性低、药效持效期长、对作物无药害、使用安全、与常规农药无</w:t>
      </w:r>
      <w:r>
        <w:rPr>
          <w:spacing w:val="-5"/>
          <w:sz w:val="32"/>
          <w:szCs w:val="32"/>
          <w:lang w:val="en-US" w:eastAsia="zh-CN"/>
        </w:rPr>
        <w:fldChar w:fldCharType="begin"/>
      </w:r>
      <w:r>
        <w:instrText>HYPERLINK "https://baike.so.com/doc/4134061-4333625.html"</w:instrText>
      </w:r>
      <w:r>
        <w:rPr>
          <w:spacing w:val="-5"/>
          <w:sz w:val="32"/>
          <w:szCs w:val="32"/>
          <w:lang w:val="en-US" w:eastAsia="zh-CN"/>
        </w:rPr>
        <w:fldChar w:fldCharType="separate"/>
      </w:r>
      <w:r>
        <w:rPr>
          <w:spacing w:val="-5"/>
          <w:sz w:val="32"/>
          <w:szCs w:val="32"/>
          <w:lang w:val="en-US" w:eastAsia="zh-CN"/>
        </w:rPr>
        <w:t>交互抗性</w:t>
      </w:r>
      <w:r>
        <w:rPr>
          <w:spacing w:val="-5"/>
          <w:sz w:val="32"/>
          <w:szCs w:val="32"/>
          <w:lang w:val="en-US" w:eastAsia="zh-CN"/>
        </w:rPr>
        <w:fldChar w:fldCharType="end"/>
      </w:r>
      <w:r>
        <w:rPr>
          <w:spacing w:val="-5"/>
          <w:sz w:val="32"/>
          <w:szCs w:val="32"/>
          <w:lang w:val="en-US" w:eastAsia="zh-CN"/>
        </w:rPr>
        <w:t>等优点，有卓越的内吸和</w:t>
      </w:r>
      <w:r>
        <w:rPr>
          <w:spacing w:val="-5"/>
          <w:sz w:val="32"/>
          <w:szCs w:val="32"/>
          <w:lang w:val="en-US" w:eastAsia="zh-CN"/>
        </w:rPr>
        <w:fldChar w:fldCharType="begin"/>
      </w:r>
      <w:r>
        <w:instrText>HYPERLINK "https://baike.so.com/doc/4751554-4966887.html"</w:instrText>
      </w:r>
      <w:r>
        <w:rPr>
          <w:spacing w:val="-5"/>
          <w:sz w:val="32"/>
          <w:szCs w:val="32"/>
          <w:lang w:val="en-US" w:eastAsia="zh-CN"/>
        </w:rPr>
        <w:fldChar w:fldCharType="separate"/>
      </w:r>
      <w:r>
        <w:rPr>
          <w:spacing w:val="-5"/>
          <w:sz w:val="32"/>
          <w:szCs w:val="32"/>
          <w:lang w:val="en-US" w:eastAsia="zh-CN"/>
        </w:rPr>
        <w:t>渗透作用</w:t>
      </w:r>
      <w:r>
        <w:rPr>
          <w:spacing w:val="-5"/>
          <w:sz w:val="32"/>
          <w:szCs w:val="32"/>
          <w:lang w:val="en-US" w:eastAsia="zh-CN"/>
        </w:rPr>
        <w:fldChar w:fldCharType="end"/>
      </w:r>
      <w:r>
        <w:rPr>
          <w:spacing w:val="-5"/>
          <w:sz w:val="32"/>
          <w:szCs w:val="32"/>
          <w:lang w:val="en-US" w:eastAsia="zh-CN"/>
        </w:rPr>
        <w:t>，是替代高毒有机磷农药的又一品种。其结构新颖、特殊，性能与传统烟碱类杀虫剂相比更为优异。</w:t>
      </w:r>
      <w:r>
        <w:rPr>
          <w:rFonts w:hint="eastAsia"/>
          <w:spacing w:val="-5"/>
          <w:sz w:val="32"/>
          <w:szCs w:val="32"/>
          <w:lang w:val="en-US" w:eastAsia="zh-CN"/>
        </w:rPr>
        <w:t>《食品安全国家标准 食品中农药最大残留限量》（GB 2763-2021）中规定，辣椒、姜、甜椒中噻虫胺的最大残留限量分别为0.05mg/kg、0.2mg/kg、0.05mg/kg。</w:t>
      </w:r>
    </w:p>
    <w:p>
      <w:pPr>
        <w:pStyle w:val="16"/>
        <w:spacing w:before="146" w:line="295" w:lineRule="auto"/>
        <w:ind w:left="0" w:right="119" w:firstLineChars="200" w:firstLine="620"/>
        <w:jc w:val="both"/>
        <w:rPr>
          <w:rFonts w:hint="eastAsia"/>
          <w:spacing w:val="-5"/>
          <w:sz w:val="32"/>
          <w:szCs w:val="32"/>
          <w:lang w:val="en-US" w:eastAsia="zh-CN"/>
        </w:rPr>
      </w:pPr>
      <w:r>
        <w:rPr>
          <w:rFonts w:hint="eastAsia"/>
          <w:spacing w:val="-5"/>
          <w:sz w:val="32"/>
          <w:szCs w:val="32"/>
          <w:lang w:val="en-US" w:eastAsia="zh-CN"/>
        </w:rPr>
        <w:t>辣椒、姜、甜椒中噻虫胺不合格的原因主要为：（1）种植者未严格遵守农药安全间隔期相关规定，施药后，为达到快速上市追求利益最大化，</w:t>
      </w:r>
      <w:r>
        <w:rPr>
          <w:spacing w:val="-5"/>
          <w:sz w:val="32"/>
          <w:szCs w:val="32"/>
          <w:lang w:val="en-US" w:eastAsia="zh-CN"/>
        </w:rPr>
        <w:t>提前将产品收获上市，</w:t>
      </w:r>
      <w:r>
        <w:rPr>
          <w:rFonts w:hint="eastAsia"/>
          <w:spacing w:val="-5"/>
          <w:sz w:val="32"/>
          <w:szCs w:val="32"/>
          <w:lang w:val="en-US" w:eastAsia="zh-CN"/>
        </w:rPr>
        <w:t>或是在蔬菜采收期间使用农药，导致农药残留超标。（2）农药质量低劣，农药行业制药水平参差不齐，农民使用的农药品质不纯，导致蔬菜出现农药残留超标问题。</w:t>
      </w:r>
    </w:p>
    <w:p>
      <w:pPr>
        <w:pStyle w:val="19"/>
        <w:spacing w:line="360" w:lineRule="auto"/>
        <w:ind w:firstLineChars="200" w:firstLine="628"/>
        <w:rPr>
          <w:sz w:val="32"/>
          <w:szCs w:val="32"/>
        </w:rPr>
      </w:pPr>
    </w:p>
    <w:sectPr>
      <w:headerReference w:type="default" r:id="rId2"/>
      <w:pgSz w:w="11900" w:h="16830"/>
      <w:pgMar w:top="1440" w:right="1803" w:bottom="1440" w:left="1803" w:header="0" w:footer="0" w:gutter="0"/>
      <w:cols w:num="1" w:space="72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Lucida Sans">
    <w:altName w:val="Arial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spacing w:line="14" w:lineRule="auto"/>
      <w:rPr>
        <w:rFonts w:ascii="Arial" w:hAnsi="Arial"/>
        <w:sz w:val="2"/>
      </w:rPr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2B579ADB"/>
    <w:multiLevelType w:val="singleLevel"/>
    <w:tmpl w:val="2B579ADB"/>
    <w:lvl w:ilvl="0">
      <w:start w:val="1"/>
      <w:numFmt w:val="decimal"/>
      <w:lvlRestart w:val="0"/>
      <w:suff w:val="nothing"/>
      <w:lvlText w:val="%1、"/>
      <w:lvlJc w:val="left"/>
      <w:pPr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9"/>
  <w:displayBackgroundShape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ompat>
    <w:spaceForUL/>
    <w:ulTrailSpace/>
    <w:doNotExpandShiftReturn/>
    <w:doNotUseIndentAsNumberingTabStop/>
    <w:compatSetting w:name="compatibilityMode" w:uri="http://schemas.microsoft.com/office/word" w:val="14"/>
  </w:compat>
  <w:docVars>
    <w:docVar w:name="commondata" w:val="eyJoZGlkIjoiMzUxMDJhMDE4MjZiZWE1ZjQzYzI3YjA1N2U3N2NkZDk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next w:val="15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cs="Arial" w:hAnsi="Arial"/>
      <w:snapToGrid w:val="0"/>
      <w:color w:val="000000"/>
      <w:kern w:val="0"/>
      <w:sz w:val="21"/>
      <w:szCs w:val="21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Arial" w:eastAsia="Arial" w:cs="Arial" w:hAnsi="Arial"/>
      <w:b/>
      <w:bCs/>
      <w:snapToGrid w:val="0"/>
      <w:color w:val="000000"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Times New Roman"/>
      <w:b/>
      <w:bCs/>
      <w:snapToGrid w:val="0"/>
      <w:color w:val="000000"/>
      <w:kern w:val="0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Arial" w:eastAsia="Arial" w:cs="Arial" w:hAnsi="Arial"/>
      <w:b/>
      <w:bCs/>
      <w:snapToGrid w:val="0"/>
      <w:color w:val="000000"/>
      <w:kern w:val="0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toa heading"/>
    <w:qFormat/>
    <w:basedOn w:val="0"/>
    <w:next w:val="0"/>
    <w:rPr>
      <w:rFonts w:ascii="Arial" w:hAnsi="Arial"/>
    </w:rPr>
  </w:style>
  <w:style w:type="paragraph" w:styleId="16">
    <w:name w:val="Body Text"/>
    <w:qFormat/>
    <w:basedOn w:val="0"/>
    <w:rPr>
      <w:rFonts w:ascii="仿宋" w:eastAsia="仿宋" w:cs="仿宋" w:hAnsi="仿宋"/>
      <w:sz w:val="36"/>
      <w:szCs w:val="36"/>
      <w:lang w:val="en-US" w:bidi="ar-SA"/>
    </w:rPr>
  </w:style>
  <w:style w:type="paragraph" w:styleId="17">
    <w:name w:val="Normal (Web)"/>
    <w:qFormat/>
    <w:basedOn w:val="0"/>
    <w:pPr>
      <w:widowControl/>
      <w:spacing w:before="100" w:beforeAutospacing="1" w:after="100" w:afterAutospacing="1"/>
      <w:jc w:val="left"/>
    </w:pPr>
    <w:rPr>
      <w:rFonts w:ascii="宋体" w:cs="宋体" w:hAnsi="宋体"/>
      <w:kern w:val="0"/>
      <w:sz w:val="24"/>
    </w:rPr>
  </w:style>
  <w:style w:type="paragraph" w:customStyle="1" w:styleId="18">
    <w:name w:val="Table Text"/>
    <w:qFormat/>
    <w:basedOn w:val="0"/>
    <w:rPr>
      <w:rFonts w:ascii="宋体" w:eastAsia="宋体" w:cs="宋体" w:hAnsi="宋体"/>
      <w:sz w:val="20"/>
      <w:szCs w:val="20"/>
      <w:lang w:val="en-US" w:bidi="ar-SA"/>
    </w:rPr>
  </w:style>
  <w:style w:type="paragraph" w:customStyle="1" w:styleId="19">
    <w:name w:val="Style1"/>
    <w:qFormat/>
    <w:autoRedefine/>
    <w:pPr>
      <w:spacing w:after="120"/>
      <w:jc w:val="both"/>
    </w:pPr>
    <w:rPr>
      <w:rFonts w:ascii="Calibri" w:eastAsia="Times New Roman" w:cs="Times New Roman" w:hAnsi="Calibri"/>
      <w:color w:val="000000"/>
      <w:spacing w:val="-3"/>
      <w:sz w:val="24"/>
      <w:szCs w:val="24"/>
      <w:lang w:val="en-US" w:eastAsia="zh-CN" w:bidi="ar-SA"/>
    </w:rPr>
  </w:style>
  <w:style w:type="character" w:customStyle="1" w:styleId="20">
    <w:name w:val="font41"/>
    <w:qFormat/>
    <w:basedOn w:val="10"/>
    <w:rPr>
      <w:rFonts w:ascii="宋体" w:eastAsia="宋体" w:cs="宋体" w:hAnsi="宋体"/>
      <w:color w:val="000000"/>
      <w:sz w:val="20"/>
      <w:szCs w:val="20"/>
      <w:u w:val="none"/>
    </w:rPr>
  </w:style>
  <w:style w:type="character" w:customStyle="1" w:styleId="21">
    <w:name w:val="font31"/>
    <w:qFormat/>
    <w:basedOn w:val="10"/>
    <w:rPr>
      <w:rFonts w:ascii="宋体" w:eastAsia="宋体" w:cs="宋体" w:hAnsi="宋体"/>
      <w:color w:val="000000"/>
      <w:sz w:val="20"/>
      <w:szCs w:val="20"/>
      <w:u w:val="none"/>
    </w:rPr>
  </w:style>
  <w:style w:type="character" w:customStyle="1" w:styleId="22">
    <w:name w:val="font21"/>
    <w:qFormat/>
    <w:basedOn w:val="10"/>
    <w:rPr>
      <w:rFonts w:ascii="Arial" w:cs="Arial" w:hAnsi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CCDA7B0D-3C78-4623-A68E-3E68D8DF4A76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20</TotalTime>
  <Application>WPS_Yozo_Office9.0.4913.191ZH</Application>
  <Pages>2</Pages>
  <Words>0</Words>
  <Characters>745</Characters>
  <Lines>0</Lines>
  <Paragraphs>10</Paragraphs>
  <CharactersWithSpaces>994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subject>pdfbuilder</dc:subject>
  <dc:creator>Kingsoft-PDF</dc:creator>
  <cp:lastModifiedBy>uos</cp:lastModifiedBy>
  <cp:revision>0</cp:revision>
  <dcterms:created xsi:type="dcterms:W3CDTF">2024-07-18T09:03:00Z</dcterms:created>
  <dcterms:modified xsi:type="dcterms:W3CDTF">2026-02-10T03:38:40Z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O">
    <vt:lpwstr>wqlLaW5nc29mdCBQREYgdG8gV1BTIDEwMA</vt:lpwstr>
  </property>
  <property fmtid="{D5CDD505-2E9C-101B-9397-08002B2CF9AE}" pid="3" name="Created">
    <vt:filetime>2024-07-17T16:00:00Z</vt:filetime>
  </property>
  <property fmtid="{D5CDD505-2E9C-101B-9397-08002B2CF9AE}" pid="4" name="UsrData">
    <vt:lpwstr>669869c65ff802001f5d8b9ewl</vt:lpwstr>
  </property>
  <property fmtid="{D5CDD505-2E9C-101B-9397-08002B2CF9AE}" pid="5" name="KSOProductBuildVer">
    <vt:lpwstr>2052-12.1.0.24657</vt:lpwstr>
  </property>
  <property fmtid="{D5CDD505-2E9C-101B-9397-08002B2CF9AE}" pid="6" name="ICV">
    <vt:lpwstr>4F48B6FE9F05448F9B3E68182094E3D6_13</vt:lpwstr>
  </property>
  <property fmtid="{D5CDD505-2E9C-101B-9397-08002B2CF9AE}" pid="7" name="KSOTemplateDocerSaveRecord">
    <vt:lpwstr>eyJoZGlkIjoiOTNlMDUzZTIyYWFmOWU5Y2E3ZDg4MWNiODZjZjRjM2EiLCJ1c2VySWQiOiI0NTUyMTcxODUifQ==</vt:lpwstr>
  </property>
</Properties>
</file>