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spacing w:line="214" w:lineRule="exact"/>
      </w:pPr>
    </w:p>
    <w:p>
      <w:pPr>
        <w:sectPr>
          <w:pgSz w:w="11990" w:h="16900"/>
          <w:pgMar w:top="1436" w:right="1369" w:bottom="0" w:left="1409" w:header="0" w:footer="0" w:gutter="0"/>
          <w:cols w:equalWidth="0" w:num="1">
            <w:col w:w="9211"/>
          </w:cols>
        </w:sectPr>
      </w:pPr>
    </w:p>
    <w:p>
      <w:pPr>
        <w:spacing w:before="143" w:line="1140" w:lineRule="exact"/>
        <w:ind w:firstLine="379"/>
        <w:rPr>
          <w:rFonts w:ascii="宋体" w:hAnsi="宋体" w:eastAsia="宋体" w:cs="宋体"/>
          <w:sz w:val="72"/>
          <w:szCs w:val="72"/>
        </w:rPr>
      </w:pPr>
      <w:r>
        <w:rPr>
          <w:rFonts w:ascii="宋体" w:hAnsi="宋体" w:eastAsia="宋体" w:cs="宋体"/>
          <w:color w:val="E52F2D"/>
          <w:spacing w:val="-70"/>
          <w:w w:val="97"/>
          <w:position w:val="29"/>
          <w:sz w:val="72"/>
          <w:szCs w:val="72"/>
          <w14:textOutline w14:w="13080" w14:cap="flat" w14:cmpd="sng">
            <w14:solidFill>
              <w14:srgbClr w14:val="E52F2D"/>
            </w14:solidFill>
            <w14:prstDash w14:val="solid"/>
            <w14:miter w14:val="0"/>
          </w14:textOutline>
        </w:rPr>
        <w:t>山西省发展和改革委员会</w:t>
      </w:r>
    </w:p>
    <w:p>
      <w:pPr>
        <w:spacing w:before="1" w:line="184" w:lineRule="auto"/>
        <w:ind w:firstLine="390"/>
        <w:rPr>
          <w:rFonts w:ascii="宋体" w:hAnsi="宋体" w:eastAsia="宋体" w:cs="宋体"/>
          <w:sz w:val="72"/>
          <w:szCs w:val="72"/>
        </w:rPr>
      </w:pP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山</w:t>
      </w:r>
      <w:r>
        <w:rPr>
          <w:rFonts w:ascii="宋体" w:hAnsi="宋体" w:eastAsia="宋体" w:cs="宋体"/>
          <w:color w:val="E52F2D"/>
          <w:spacing w:val="278"/>
          <w:sz w:val="72"/>
          <w:szCs w:val="72"/>
        </w:rPr>
        <w:t xml:space="preserve"> </w:t>
      </w: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西</w:t>
      </w:r>
      <w:r>
        <w:rPr>
          <w:rFonts w:ascii="宋体" w:hAnsi="宋体" w:eastAsia="宋体" w:cs="宋体"/>
          <w:color w:val="E52F2D"/>
          <w:spacing w:val="-147"/>
          <w:sz w:val="72"/>
          <w:szCs w:val="72"/>
        </w:rPr>
        <w:t xml:space="preserve"> </w:t>
      </w: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省</w:t>
      </w:r>
      <w:r>
        <w:rPr>
          <w:rFonts w:ascii="宋体" w:hAnsi="宋体" w:eastAsia="宋体" w:cs="宋体"/>
          <w:color w:val="E52F2D"/>
          <w:spacing w:val="302"/>
          <w:sz w:val="72"/>
          <w:szCs w:val="72"/>
        </w:rPr>
        <w:t xml:space="preserve"> </w:t>
      </w: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司</w:t>
      </w:r>
      <w:r>
        <w:rPr>
          <w:rFonts w:ascii="宋体" w:hAnsi="宋体" w:eastAsia="宋体" w:cs="宋体"/>
          <w:color w:val="E52F2D"/>
          <w:spacing w:val="268"/>
          <w:sz w:val="72"/>
          <w:szCs w:val="72"/>
        </w:rPr>
        <w:t xml:space="preserve"> </w:t>
      </w: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法</w:t>
      </w:r>
      <w:r>
        <w:rPr>
          <w:rFonts w:ascii="宋体" w:hAnsi="宋体" w:eastAsia="宋体" w:cs="宋体"/>
          <w:color w:val="E52F2D"/>
          <w:spacing w:val="342"/>
          <w:sz w:val="72"/>
          <w:szCs w:val="72"/>
        </w:rPr>
        <w:t xml:space="preserve"> </w:t>
      </w:r>
      <w:r>
        <w:rPr>
          <w:rFonts w:ascii="宋体" w:hAnsi="宋体" w:eastAsia="宋体" w:cs="宋体"/>
          <w:color w:val="E52F2D"/>
          <w:spacing w:val="-45"/>
          <w:sz w:val="72"/>
          <w:szCs w:val="72"/>
          <w14:textOutline w14:w="13080" w14:cap="flat" w14:cmpd="sng">
            <w14:solidFill>
              <w14:srgbClr w14:val="E52F2D"/>
            </w14:solidFill>
            <w14:prstDash w14:val="solid"/>
            <w14:miter w14:val="0"/>
          </w14:textOutline>
        </w:rPr>
        <w:t>厅</w:t>
      </w:r>
    </w:p>
    <w:p>
      <w:pPr>
        <w:spacing w:line="14" w:lineRule="auto"/>
        <w:rPr>
          <w:rFonts w:ascii="Arial"/>
          <w:sz w:val="2"/>
        </w:rPr>
      </w:pPr>
      <w:r>
        <w:rPr>
          <w:rFonts w:ascii="Arial" w:hAnsi="Arial" w:eastAsia="Arial" w:cs="Arial"/>
          <w:sz w:val="2"/>
          <w:szCs w:val="2"/>
        </w:rPr>
        <w:br w:type="column"/>
      </w:r>
    </w:p>
    <w:p>
      <w:pPr>
        <w:spacing w:line="317" w:lineRule="auto"/>
        <w:rPr>
          <w:rFonts w:ascii="Arial"/>
          <w:sz w:val="21"/>
        </w:rPr>
      </w:pPr>
    </w:p>
    <w:p>
      <w:pPr>
        <w:spacing w:line="317" w:lineRule="auto"/>
        <w:rPr>
          <w:rFonts w:ascii="Arial"/>
          <w:sz w:val="21"/>
        </w:rPr>
      </w:pPr>
    </w:p>
    <w:p>
      <w:pPr>
        <w:spacing w:before="234" w:line="219" w:lineRule="auto"/>
        <w:ind w:firstLine="255"/>
        <w:rPr>
          <w:rFonts w:ascii="宋体" w:hAnsi="宋体" w:eastAsia="宋体" w:cs="宋体"/>
          <w:sz w:val="72"/>
          <w:szCs w:val="72"/>
        </w:rPr>
      </w:pPr>
      <w:r>
        <w:rPr>
          <w:rFonts w:ascii="宋体" w:hAnsi="宋体" w:eastAsia="宋体" w:cs="宋体"/>
          <w:color w:val="E52F2D"/>
          <w:spacing w:val="-67"/>
          <w:w w:val="93"/>
          <w:sz w:val="72"/>
          <w:szCs w:val="72"/>
          <w14:textOutline w14:w="13080" w14:cap="flat" w14:cmpd="sng">
            <w14:solidFill>
              <w14:srgbClr w14:val="E52F2D"/>
            </w14:solidFill>
            <w14:prstDash w14:val="solid"/>
            <w14:miter w14:val="0"/>
          </w14:textOutline>
        </w:rPr>
        <w:t>文件</w:t>
      </w:r>
    </w:p>
    <w:p>
      <w:pPr>
        <w:sectPr>
          <w:type w:val="continuous"/>
          <w:pgSz w:w="11990" w:h="16900"/>
          <w:pgMar w:top="1436" w:right="1369" w:bottom="0" w:left="1409" w:header="0" w:footer="0" w:gutter="0"/>
          <w:cols w:equalWidth="0" w:num="2">
            <w:col w:w="7525" w:space="100"/>
            <w:col w:w="1587"/>
          </w:cols>
        </w:sect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98" w:line="222" w:lineRule="auto"/>
        <w:ind w:firstLine="2819"/>
        <w:rPr>
          <w:rFonts w:ascii="仿宋" w:hAnsi="仿宋" w:eastAsia="仿宋" w:cs="仿宋"/>
          <w:sz w:val="30"/>
          <w:szCs w:val="30"/>
        </w:rPr>
      </w:pPr>
      <w:r>
        <w:rPr>
          <w:rFonts w:ascii="仿宋" w:hAnsi="仿宋" w:eastAsia="仿宋" w:cs="仿宋"/>
          <w:spacing w:val="-1"/>
          <w:sz w:val="30"/>
          <w:szCs w:val="30"/>
        </w:rPr>
        <w:t>晋发改收费发〔2021</w:t>
      </w:r>
      <w:r>
        <w:rPr>
          <w:rFonts w:ascii="仿宋" w:hAnsi="仿宋" w:eastAsia="仿宋" w:cs="仿宋"/>
          <w:spacing w:val="-73"/>
          <w:sz w:val="30"/>
          <w:szCs w:val="30"/>
        </w:rPr>
        <w:t xml:space="preserve"> </w:t>
      </w:r>
      <w:r>
        <w:rPr>
          <w:rFonts w:ascii="仿宋" w:hAnsi="仿宋" w:eastAsia="仿宋" w:cs="仿宋"/>
          <w:spacing w:val="-1"/>
          <w:sz w:val="30"/>
          <w:szCs w:val="30"/>
        </w:rPr>
        <w:t>〕433</w:t>
      </w:r>
      <w:r>
        <w:rPr>
          <w:rFonts w:ascii="仿宋" w:hAnsi="仿宋" w:eastAsia="仿宋" w:cs="仿宋"/>
          <w:spacing w:val="-60"/>
          <w:sz w:val="30"/>
          <w:szCs w:val="30"/>
        </w:rPr>
        <w:t xml:space="preserve"> </w:t>
      </w:r>
      <w:r>
        <w:rPr>
          <w:rFonts w:ascii="仿宋" w:hAnsi="仿宋" w:eastAsia="仿宋" w:cs="仿宋"/>
          <w:spacing w:val="-1"/>
          <w:sz w:val="30"/>
          <w:szCs w:val="30"/>
        </w:rPr>
        <w:t>号</w:t>
      </w:r>
    </w:p>
    <w:p>
      <w:pPr>
        <w:spacing w:before="161" w:line="80" w:lineRule="exact"/>
        <w:textAlignment w:val="center"/>
      </w:pPr>
      <w:r>
        <w:drawing>
          <wp:inline distT="0" distB="0" distL="0" distR="0">
            <wp:extent cx="5593715" cy="5016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5594343" cy="50797"/>
                    </a:xfrm>
                    <a:prstGeom prst="rect">
                      <a:avLst/>
                    </a:prstGeom>
                  </pic:spPr>
                </pic:pic>
              </a:graphicData>
            </a:graphic>
          </wp:inline>
        </w:drawing>
      </w: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130" w:line="280" w:lineRule="auto"/>
        <w:ind w:left="855" w:right="534" w:firstLine="399"/>
        <w:rPr>
          <w:rFonts w:ascii="宋体" w:hAnsi="宋体" w:eastAsia="宋体" w:cs="宋体"/>
          <w:sz w:val="40"/>
          <w:szCs w:val="40"/>
        </w:rPr>
      </w:pPr>
      <w:r>
        <w:rPr>
          <w:rFonts w:ascii="宋体" w:hAnsi="宋体" w:eastAsia="宋体" w:cs="宋体"/>
          <w:spacing w:val="-1"/>
          <w:sz w:val="40"/>
          <w:szCs w:val="40"/>
          <w14:textOutline w14:w="7264" w14:cap="flat" w14:cmpd="sng">
            <w14:solidFill>
              <w14:srgbClr w14:val="000000"/>
            </w14:solidFill>
            <w14:prstDash w14:val="solid"/>
            <w14:miter w14:val="0"/>
          </w14:textOutline>
        </w:rPr>
        <w:t>山西省发展和改革委员会山西省司法厅</w:t>
      </w:r>
      <w:r>
        <w:rPr>
          <w:rFonts w:ascii="宋体" w:hAnsi="宋体" w:eastAsia="宋体" w:cs="宋体"/>
          <w:spacing w:val="34"/>
          <w:sz w:val="40"/>
          <w:szCs w:val="40"/>
          <w14:textOutline w14:w="7264" w14:cap="flat" w14:cmpd="sng">
            <w14:solidFill>
              <w14:srgbClr w14:val="000000"/>
            </w14:solidFill>
            <w14:prstDash w14:val="solid"/>
            <w14:miter w14:val="0"/>
          </w14:textOutline>
        </w:rPr>
        <w:t>关于加强和改进公证服务价格管理的通知</w:t>
      </w:r>
    </w:p>
    <w:p>
      <w:pPr>
        <w:spacing w:line="241" w:lineRule="auto"/>
        <w:rPr>
          <w:rFonts w:ascii="Arial"/>
          <w:sz w:val="21"/>
        </w:rPr>
      </w:pPr>
    </w:p>
    <w:p>
      <w:pPr>
        <w:spacing w:line="24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8" w:firstLineChars="200"/>
        <w:textAlignment w:val="baseline"/>
        <w:rPr>
          <w:rFonts w:ascii="仿宋" w:hAnsi="仿宋" w:eastAsia="仿宋" w:cs="仿宋"/>
          <w:sz w:val="30"/>
          <w:szCs w:val="30"/>
        </w:rPr>
      </w:pPr>
      <w:r>
        <w:rPr>
          <w:rFonts w:ascii="仿宋" w:hAnsi="仿宋" w:eastAsia="仿宋" w:cs="仿宋"/>
          <w:spacing w:val="7"/>
          <w:sz w:val="30"/>
          <w:szCs w:val="30"/>
        </w:rPr>
        <w:t>各市发展改革委、司法局，各公证机构∶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7"/>
          <w:sz w:val="30"/>
          <w:szCs w:val="30"/>
        </w:rPr>
        <w:sectPr>
          <w:type w:val="continuous"/>
          <w:pgSz w:w="11990" w:h="16900"/>
          <w:pgMar w:top="1436" w:right="1369" w:bottom="1434" w:left="1409" w:header="0" w:footer="0" w:gutter="0"/>
          <w:cols w:equalWidth="0" w:num="1">
            <w:col w:w="9211"/>
          </w:cols>
        </w:sectPr>
      </w:pPr>
      <w:r>
        <w:rPr>
          <w:rFonts w:ascii="仿宋" w:hAnsi="仿宋" w:eastAsia="仿宋" w:cs="仿宋"/>
          <w:spacing w:val="1"/>
          <w:sz w:val="30"/>
          <w:szCs w:val="30"/>
        </w:rPr>
        <w:t>为进一步优化营商环境，提高公证服务的可及性、便利性，切实减轻企业和群众公证费用负担，促进公证行业高质量发展，根据《国家发展改革委司法部关于进一步完善公证服务价格形成机制的指导意见》（发改价格〔2021〕1081号）规定，按照“我为群众办实事”实践活动要求，</w:t>
      </w:r>
      <w:r>
        <w:rPr>
          <w:rFonts w:ascii="仿宋" w:hAnsi="仿宋" w:eastAsia="仿宋" w:cs="仿宋"/>
          <w:spacing w:val="7"/>
          <w:sz w:val="30"/>
          <w:szCs w:val="30"/>
        </w:rPr>
        <w:t>结合成本</w:t>
      </w:r>
      <w:r>
        <w:rPr>
          <w:rFonts w:ascii="仿宋" w:hAnsi="仿宋" w:eastAsia="仿宋" w:cs="仿宋"/>
          <w:spacing w:val="1"/>
          <w:sz w:val="30"/>
          <w:szCs w:val="30"/>
        </w:rPr>
        <w:t>调查</w:t>
      </w:r>
      <w:r>
        <w:rPr>
          <w:rFonts w:ascii="仿宋" w:hAnsi="仿宋" w:eastAsia="仿宋" w:cs="仿宋"/>
          <w:spacing w:val="7"/>
          <w:sz w:val="30"/>
          <w:szCs w:val="30"/>
        </w:rPr>
        <w:t>情况，参照外省做法，经研究，现将加强和改进我省公证服务价格管理</w:t>
      </w:r>
      <w:r>
        <w:rPr>
          <w:rFonts w:hint="eastAsia" w:ascii="仿宋" w:hAnsi="仿宋" w:eastAsia="仿宋" w:cs="仿宋"/>
          <w:spacing w:val="7"/>
          <w:sz w:val="30"/>
          <w:szCs w:val="30"/>
          <w:lang w:eastAsia="zh-CN"/>
        </w:rPr>
        <w:t>有关事项通知如下：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pacing w:val="7"/>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一、明确政府定价范围。</w:t>
      </w:r>
      <w:r>
        <w:rPr>
          <w:rFonts w:ascii="仿宋" w:hAnsi="仿宋" w:eastAsia="仿宋" w:cs="仿宋"/>
          <w:spacing w:val="1"/>
          <w:sz w:val="30"/>
          <w:szCs w:val="30"/>
        </w:rPr>
        <w:t>关系民生的基本公证服务，以及具有区域垄断性、竞争不充分的项目，实行政府定价管理。根据国家关系民生的基本公证服务项目清单，结合我省实际，适当调整公证服务项目，形成我省政府管理价格的公证服务项目目录清单。政府管理价格的公证服务项目，实行最高上限价格管理，公证机构在不超过规定的最高上限价格范围内根据服务成本合理确定具体价格水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hint="eastAsia" w:ascii="仿宋" w:hAnsi="仿宋" w:eastAsia="仿宋" w:cs="仿宋"/>
          <w:spacing w:val="1"/>
          <w:sz w:val="30"/>
          <w:szCs w:val="30"/>
          <w:lang w:eastAsia="zh-CN"/>
        </w:rPr>
      </w:pPr>
      <w:r>
        <w:rPr>
          <w:rFonts w:ascii="仿宋" w:hAnsi="仿宋" w:eastAsia="仿宋" w:cs="仿宋"/>
          <w:b/>
          <w:bCs/>
          <w:spacing w:val="1"/>
          <w:sz w:val="30"/>
          <w:szCs w:val="30"/>
        </w:rPr>
        <w:t>二、深化价格市场化改革。</w:t>
      </w:r>
      <w:r>
        <w:rPr>
          <w:rFonts w:ascii="仿宋" w:hAnsi="仿宋" w:eastAsia="仿宋" w:cs="仿宋"/>
          <w:spacing w:val="1"/>
          <w:sz w:val="30"/>
          <w:szCs w:val="30"/>
        </w:rPr>
        <w:t>结合公证行业市场化改革进程，放开保全证据类和部分现场监督类公证服务价格，实行市场</w:t>
      </w:r>
      <w:r>
        <w:rPr>
          <w:rFonts w:hint="eastAsia" w:ascii="仿宋" w:hAnsi="仿宋" w:eastAsia="仿宋" w:cs="仿宋"/>
          <w:spacing w:val="1"/>
          <w:sz w:val="30"/>
          <w:szCs w:val="30"/>
          <w:lang w:eastAsia="zh-CN"/>
        </w:rPr>
        <w:t>调节价。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三、优化计价方式。</w:t>
      </w:r>
      <w:r>
        <w:rPr>
          <w:rFonts w:ascii="仿宋" w:hAnsi="仿宋" w:eastAsia="仿宋" w:cs="仿宋"/>
          <w:spacing w:val="1"/>
          <w:sz w:val="30"/>
          <w:szCs w:val="30"/>
        </w:rPr>
        <w:t>对涉及居民房产继承、赠与、接受遗赠公证事项的计价方式，由单一按标的金额比例计价方式改为按房产面积和标的金额比例两种计价方式，由申请人从低选择。按房产受益建筑面积计价的，公证服务上限价格为，太原市每平方米45元，其他设区市每平方米35元。按标的金额比例计价的，第一档最高费率由1%降为0.5%，后续档费率要阶梯递减。单套居民房产办理继承、赠与、接受遗赠公证服务价格总额原则上不得超过8000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b/>
          <w:bCs/>
          <w:spacing w:val="1"/>
          <w:sz w:val="30"/>
          <w:szCs w:val="30"/>
        </w:rPr>
      </w:pPr>
      <w:r>
        <w:rPr>
          <w:rFonts w:ascii="仿宋" w:hAnsi="仿宋" w:eastAsia="仿宋" w:cs="仿宋"/>
          <w:b/>
          <w:bCs/>
          <w:spacing w:val="1"/>
          <w:sz w:val="30"/>
          <w:szCs w:val="30"/>
        </w:rPr>
        <w:t>四、适当降低价格水平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1"/>
          <w:sz w:val="30"/>
          <w:szCs w:val="30"/>
        </w:rPr>
      </w:pPr>
      <w:r>
        <w:rPr>
          <w:rFonts w:ascii="仿宋" w:hAnsi="仿宋" w:eastAsia="仿宋" w:cs="仿宋"/>
          <w:spacing w:val="1"/>
          <w:sz w:val="30"/>
          <w:szCs w:val="30"/>
        </w:rPr>
        <w:t>证明商事合同（协议）、赋予债权文书具有强制执行效力等公证服务价格第一档最高费率，由0.25%降为0.2%。对</w:t>
      </w:r>
      <w:r>
        <w:rPr>
          <w:rFonts w:hint="eastAsia" w:ascii="仿宋" w:hAnsi="仿宋" w:eastAsia="仿宋" w:cs="仿宋"/>
          <w:spacing w:val="1"/>
          <w:sz w:val="30"/>
          <w:szCs w:val="30"/>
          <w:lang w:eastAsia="zh-CN"/>
        </w:rPr>
        <w:t>事实上由金融机构等申请的，</w:t>
      </w:r>
      <w:r>
        <w:rPr>
          <w:rFonts w:ascii="仿宋" w:hAnsi="仿宋" w:eastAsia="仿宋" w:cs="仿宋"/>
          <w:spacing w:val="1"/>
          <w:sz w:val="30"/>
          <w:szCs w:val="30"/>
        </w:rPr>
        <w:t>赋予债权文书具有强制执行效力的公证事项，按照“谁申请，谁付费”要求，公证服务费用由金融机构负担，不得增加借款人负担;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1"/>
          <w:sz w:val="30"/>
          <w:szCs w:val="30"/>
        </w:rPr>
      </w:pPr>
      <w:r>
        <w:rPr>
          <w:rFonts w:ascii="仿宋" w:hAnsi="仿宋" w:eastAsia="仿宋" w:cs="仿宋"/>
          <w:spacing w:val="1"/>
          <w:sz w:val="30"/>
          <w:szCs w:val="30"/>
        </w:rPr>
        <w:t>证明不涉及财产关系的民事协议上限价格，由每件400元降为300元。证明涉及财产关系的民事协议上限价格，按照证明商事合同（协议）价格标准减半收取;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1"/>
          <w:sz w:val="30"/>
          <w:szCs w:val="30"/>
        </w:rPr>
      </w:pPr>
      <w:r>
        <w:rPr>
          <w:rFonts w:ascii="仿宋" w:hAnsi="仿宋" w:eastAsia="仿宋" w:cs="仿宋"/>
          <w:spacing w:val="1"/>
          <w:sz w:val="30"/>
          <w:szCs w:val="30"/>
        </w:rPr>
        <w:t>证明遗嘱上限价格，由每件1000元降为600元。涉及自然人的证明文件文书类和涉外类公证服务上限价格，由每件200元降为150元。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五、落实退费规定。</w:t>
      </w:r>
      <w:r>
        <w:rPr>
          <w:rFonts w:ascii="仿宋" w:hAnsi="仿宋" w:eastAsia="仿宋" w:cs="仿宋"/>
          <w:spacing w:val="1"/>
          <w:sz w:val="30"/>
          <w:szCs w:val="30"/>
        </w:rPr>
        <w:t>公证办理过程中，因公证机构责任不能出具公证书或撤销公证的，收取的公证服务费应当全额退还;由于公证机构和当事人双方责任导致终止或撤销公证的，应按照双方责任大小协商退还部分费用;因当事人提供伪证、举证不实等原因不能出具公证书的，收取的公证费用不予退还。对已经受理的公证事项，申请人要求撤回的可收取手续费，未经审查的，每件收取10元，已经审查的，按照公证服务收费标准的</w:t>
      </w:r>
      <w:r>
        <w:rPr>
          <w:rFonts w:hint="eastAsia" w:ascii="仿宋" w:hAnsi="仿宋" w:eastAsia="仿宋" w:cs="仿宋"/>
          <w:spacing w:val="1"/>
          <w:sz w:val="30"/>
          <w:szCs w:val="30"/>
          <w:lang w:val="en-US" w:eastAsia="zh-CN"/>
        </w:rPr>
        <w:t>50%</w:t>
      </w:r>
      <w:r>
        <w:rPr>
          <w:rFonts w:ascii="仿宋" w:hAnsi="仿宋" w:eastAsia="仿宋" w:cs="仿宋"/>
          <w:spacing w:val="1"/>
          <w:sz w:val="30"/>
          <w:szCs w:val="30"/>
        </w:rPr>
        <w:t>收取。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六、完善减免政策。</w:t>
      </w:r>
      <w:r>
        <w:rPr>
          <w:rFonts w:ascii="仿宋" w:hAnsi="仿宋" w:eastAsia="仿宋" w:cs="仿宋"/>
          <w:spacing w:val="1"/>
          <w:sz w:val="30"/>
          <w:szCs w:val="30"/>
        </w:rPr>
        <w:t>对于符合法律援助条件的当事人，公证机构应当按照规定减免公证服务费用。对确有经济困难的当事人，公证机构可根据实际情况酌情减免公证服务费用。对于与领取抚恤金、劳工赔偿金、救济金、劳动保险金等有关的公证事项，与公益活动有关的公证事项，证明赡养、抚养、扶养</w:t>
      </w:r>
      <w:r>
        <w:rPr>
          <w:rFonts w:hint="eastAsia" w:ascii="仿宋" w:hAnsi="仿宋" w:eastAsia="仿宋" w:cs="仿宋"/>
          <w:spacing w:val="1"/>
          <w:sz w:val="30"/>
          <w:szCs w:val="30"/>
          <w:lang w:eastAsia="zh-CN"/>
        </w:rPr>
        <w:t>协议的</w:t>
      </w:r>
      <w:r>
        <w:rPr>
          <w:rFonts w:ascii="仿宋" w:hAnsi="仿宋" w:eastAsia="仿宋" w:cs="仿宋"/>
          <w:spacing w:val="1"/>
          <w:sz w:val="30"/>
          <w:szCs w:val="30"/>
        </w:rPr>
        <w:t>公证事项，公证服务费用减免比例不低于40%。对低保户、重度残疾人办理关系民生的基本公证服务相关业务的，公证服务费用减免比例不低于50%。对80岁以上老人首次办理遗嘱公证，免收遗嘱公证服务费用。办理不超过5000元的小额继承公证，免收公证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七、规范价格行为。</w:t>
      </w:r>
      <w:r>
        <w:rPr>
          <w:rFonts w:ascii="仿宋" w:hAnsi="仿宋" w:eastAsia="仿宋" w:cs="仿宋"/>
          <w:spacing w:val="1"/>
          <w:sz w:val="30"/>
          <w:szCs w:val="30"/>
        </w:rPr>
        <w:t>健全价格行为规范，公证机构不得以低于成本的价格恶性竞争，扰乱正常经营秩序，不得以任何名义拆分项目、扩大范围、改变计价方式等收费，不得通过循环证明、捆绑服务等增设不必要的证明事项并加价。严格落实明码标价，公证机构应在服务场所显著位置和本机构网站首页设置专栏公示收费项目、收费标准、计价方式、收费依据、减免政策、监督举报电话等信息，自觉接受社会监督。建立定期报告制度，公证机构应于每年5月底前，将上一年度的公证业务开展情况、价格政策执行情况和收入、支出等相关情况报送同级价格主管部门、司法行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6" w:firstLineChars="200"/>
        <w:textAlignment w:val="baseline"/>
        <w:rPr>
          <w:rFonts w:ascii="仿宋" w:hAnsi="仿宋" w:eastAsia="仿宋" w:cs="仿宋"/>
          <w:spacing w:val="1"/>
          <w:sz w:val="30"/>
          <w:szCs w:val="30"/>
        </w:rPr>
      </w:pPr>
      <w:r>
        <w:rPr>
          <w:rFonts w:ascii="仿宋" w:hAnsi="仿宋" w:eastAsia="仿宋" w:cs="仿宋"/>
          <w:b/>
          <w:bCs/>
          <w:spacing w:val="1"/>
          <w:sz w:val="30"/>
          <w:szCs w:val="30"/>
        </w:rPr>
        <w:t>八、综合配套施策。</w:t>
      </w:r>
      <w:r>
        <w:rPr>
          <w:rFonts w:ascii="仿宋" w:hAnsi="仿宋" w:eastAsia="仿宋" w:cs="仿宋"/>
          <w:spacing w:val="1"/>
          <w:sz w:val="30"/>
          <w:szCs w:val="30"/>
        </w:rPr>
        <w:t>要加快培育良好的市场环境，鼓励公证机构与公证机构之间、公证机构与提供同类服务的市场主体之间公平有序竞争，通过竞争促进公证机构加强管理、提高服务质量和效率。推动公证机构与司法行政、民政、公安、税务等部门的信息共享，鼓励公证机构开发电子公证平台，探索电子公证、网络公证，推进“一网通办”，降低服务成本。公证机构要健全财务管理等制度，强化内部管理，压减不合理支出</w:t>
      </w:r>
      <w:r>
        <w:rPr>
          <w:rFonts w:hint="eastAsia" w:ascii="仿宋" w:hAnsi="仿宋" w:eastAsia="仿宋" w:cs="仿宋"/>
          <w:spacing w:val="1"/>
          <w:sz w:val="30"/>
          <w:szCs w:val="30"/>
          <w:lang w:eastAsia="zh-CN"/>
        </w:rPr>
        <w:t>，</w:t>
      </w:r>
      <w:r>
        <w:rPr>
          <w:rFonts w:ascii="仿宋" w:hAnsi="仿宋" w:eastAsia="仿宋" w:cs="仿宋"/>
          <w:spacing w:val="1"/>
          <w:sz w:val="30"/>
          <w:szCs w:val="30"/>
        </w:rPr>
        <w:t>降低运营成本。对公证机构特别是合作制、零编制和自收自支的公证机构所承担的法律援助、公益法律服务等工作，推动通过政府购买服务等方式予以适当补偿，减轻公证机构运营成本压力。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1"/>
          <w:sz w:val="30"/>
          <w:szCs w:val="30"/>
        </w:rPr>
      </w:pPr>
      <w:r>
        <w:rPr>
          <w:rFonts w:ascii="仿宋" w:hAnsi="仿宋" w:eastAsia="仿宋" w:cs="仿宋"/>
          <w:spacing w:val="1"/>
          <w:sz w:val="30"/>
          <w:szCs w:val="30"/>
        </w:rPr>
        <w:t>九、本通知2021年12月15日起执行，有效期限5年。《山西省发展改革委、山西省司法厅关于进一步规范公证服务收费管理的通知》（晋发改收费发〔2019〕353号）文件同时废止。</w:t>
      </w:r>
    </w:p>
    <w:p>
      <w:pPr>
        <w:spacing w:line="431" w:lineRule="auto"/>
        <w:rPr>
          <w:rFonts w:ascii="Arial"/>
          <w:sz w:val="21"/>
        </w:rPr>
      </w:pPr>
    </w:p>
    <w:p>
      <w:pPr>
        <w:spacing w:before="91" w:line="221" w:lineRule="auto"/>
        <w:ind w:firstLine="779"/>
        <w:rPr>
          <w:rFonts w:ascii="仿宋" w:hAnsi="仿宋" w:eastAsia="仿宋" w:cs="仿宋"/>
          <w:sz w:val="28"/>
          <w:szCs w:val="28"/>
        </w:rPr>
      </w:pPr>
      <w:r>
        <w:rPr>
          <w:rFonts w:ascii="仿宋" w:hAnsi="仿宋" w:eastAsia="仿宋" w:cs="仿宋"/>
          <w:spacing w:val="29"/>
          <w:w w:val="101"/>
          <w:sz w:val="28"/>
          <w:szCs w:val="28"/>
        </w:rPr>
        <w:t>附件∶山西省政府管理价格的公证服务项目价格目录清单</w:t>
      </w:r>
    </w:p>
    <w:p>
      <w:pPr>
        <w:spacing w:line="263" w:lineRule="auto"/>
        <w:rPr>
          <w:rFonts w:ascii="Arial"/>
          <w:sz w:val="21"/>
        </w:rPr>
      </w:pPr>
    </w:p>
    <w:p>
      <w:pPr>
        <w:spacing w:line="263"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sectPr>
          <w:pgSz w:w="12000" w:h="16900"/>
          <w:pgMar w:top="560" w:right="1366" w:bottom="1099" w:left="1412" w:header="0" w:footer="0" w:gutter="0"/>
          <w:cols w:space="720" w:num="1"/>
        </w:sectPr>
      </w:pPr>
    </w:p>
    <w:p>
      <w:pPr>
        <w:spacing w:line="259" w:lineRule="auto"/>
        <w:rPr>
          <w:rFonts w:ascii="Arial"/>
          <w:sz w:val="21"/>
        </w:rPr>
      </w:pPr>
    </w:p>
    <w:tbl>
      <w:tblPr>
        <w:tblStyle w:val="6"/>
        <w:tblW w:w="5067" w:type="pct"/>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28"/>
        <w:gridCol w:w="1077"/>
        <w:gridCol w:w="1089"/>
        <w:gridCol w:w="1368"/>
        <w:gridCol w:w="5950"/>
        <w:gridCol w:w="53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203" w:type="pct"/>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left"/>
              <w:textAlignment w:val="baseline"/>
              <w:rPr>
                <w:rFonts w:ascii="宋体" w:hAnsi="宋体" w:eastAsia="宋体" w:cs="宋体"/>
                <w:snapToGrid w:val="0"/>
                <w:color w:val="000000"/>
                <w:kern w:val="0"/>
                <w:sz w:val="25"/>
                <w:szCs w:val="25"/>
                <w:lang w:val="en-US" w:eastAsia="zh-CN" w:bidi="ar-SA"/>
              </w:rPr>
            </w:pPr>
            <w:r>
              <w:rPr>
                <w:rFonts w:ascii="宋体" w:hAnsi="宋体" w:eastAsia="宋体" w:cs="宋体"/>
                <w:snapToGrid w:val="0"/>
                <w:color w:val="000000"/>
                <w:spacing w:val="7"/>
                <w:kern w:val="0"/>
                <w:sz w:val="25"/>
                <w:szCs w:val="25"/>
                <w:lang w:val="en-US" w:eastAsia="zh-CN" w:bidi="ar-SA"/>
              </w:rPr>
              <w:t>序号</w:t>
            </w:r>
          </w:p>
        </w:tc>
        <w:tc>
          <w:tcPr>
            <w:tcW w:w="1142" w:type="pct"/>
            <w:gridSpan w:val="3"/>
            <w:tcBorders>
              <w:top w:val="single" w:color="000000" w:sz="2" w:space="0"/>
              <w:bottom w:val="single" w:color="000000" w:sz="2" w:space="0"/>
            </w:tcBorders>
            <w:vAlign w:val="top"/>
          </w:tcPr>
          <w:p>
            <w:pPr>
              <w:widowControl/>
              <w:kinsoku w:val="0"/>
              <w:autoSpaceDE w:val="0"/>
              <w:autoSpaceDN w:val="0"/>
              <w:adjustRightInd w:val="0"/>
              <w:snapToGrid w:val="0"/>
              <w:spacing w:before="265" w:line="219" w:lineRule="auto"/>
              <w:ind w:firstLine="1430"/>
              <w:jc w:val="left"/>
              <w:textAlignment w:val="baseline"/>
              <w:rPr>
                <w:rFonts w:ascii="宋体" w:hAnsi="宋体" w:eastAsia="宋体" w:cs="宋体"/>
                <w:snapToGrid w:val="0"/>
                <w:color w:val="000000"/>
                <w:kern w:val="0"/>
                <w:sz w:val="25"/>
                <w:szCs w:val="25"/>
                <w:lang w:val="en-US" w:eastAsia="zh-CN" w:bidi="ar-SA"/>
              </w:rPr>
            </w:pPr>
            <w:r>
              <w:rPr>
                <w:rFonts w:ascii="宋体" w:hAnsi="宋体" w:eastAsia="宋体" w:cs="宋体"/>
                <w:snapToGrid w:val="0"/>
                <w:color w:val="000000"/>
                <w:spacing w:val="7"/>
                <w:kern w:val="0"/>
                <w:sz w:val="25"/>
                <w:szCs w:val="25"/>
                <w:lang w:val="en-US" w:eastAsia="zh-CN" w:bidi="ar-SA"/>
              </w:rPr>
              <w:t>公证服务项目</w:t>
            </w:r>
          </w:p>
        </w:tc>
        <w:tc>
          <w:tcPr>
            <w:tcW w:w="1923" w:type="pct"/>
            <w:tcBorders>
              <w:top w:val="single" w:color="000000" w:sz="2" w:space="0"/>
              <w:bottom w:val="single" w:color="000000" w:sz="2" w:space="0"/>
            </w:tcBorders>
            <w:vAlign w:val="top"/>
          </w:tcPr>
          <w:p>
            <w:pPr>
              <w:widowControl/>
              <w:kinsoku w:val="0"/>
              <w:autoSpaceDE w:val="0"/>
              <w:autoSpaceDN w:val="0"/>
              <w:adjustRightInd w:val="0"/>
              <w:snapToGrid w:val="0"/>
              <w:spacing w:before="265" w:line="218" w:lineRule="auto"/>
              <w:ind w:firstLine="2418"/>
              <w:jc w:val="left"/>
              <w:textAlignment w:val="baseline"/>
              <w:rPr>
                <w:rFonts w:ascii="宋体" w:hAnsi="宋体" w:eastAsia="宋体" w:cs="宋体"/>
                <w:snapToGrid w:val="0"/>
                <w:color w:val="000000"/>
                <w:kern w:val="0"/>
                <w:sz w:val="25"/>
                <w:szCs w:val="25"/>
                <w:lang w:val="en-US" w:eastAsia="zh-CN" w:bidi="ar-SA"/>
              </w:rPr>
            </w:pPr>
            <w:r>
              <w:rPr>
                <w:rFonts w:ascii="宋体" w:hAnsi="宋体" w:eastAsia="宋体" w:cs="宋体"/>
                <w:snapToGrid w:val="0"/>
                <w:color w:val="000000"/>
                <w:spacing w:val="5"/>
                <w:kern w:val="0"/>
                <w:sz w:val="25"/>
                <w:szCs w:val="25"/>
                <w:lang w:val="en-US" w:eastAsia="zh-CN" w:bidi="ar-SA"/>
              </w:rPr>
              <w:t>上限价格标准</w:t>
            </w:r>
          </w:p>
        </w:tc>
        <w:tc>
          <w:tcPr>
            <w:tcW w:w="1730" w:type="pct"/>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1716"/>
              <w:jc w:val="left"/>
              <w:textAlignment w:val="baseline"/>
              <w:rPr>
                <w:rFonts w:ascii="宋体" w:hAnsi="宋体" w:eastAsia="宋体" w:cs="宋体"/>
                <w:snapToGrid w:val="0"/>
                <w:color w:val="000000"/>
                <w:kern w:val="0"/>
                <w:sz w:val="25"/>
                <w:szCs w:val="25"/>
                <w:lang w:val="en-US" w:eastAsia="zh-CN" w:bidi="ar-SA"/>
              </w:rPr>
            </w:pPr>
            <w:r>
              <w:rPr>
                <w:rFonts w:ascii="宋体" w:hAnsi="宋体" w:eastAsia="宋体" w:cs="宋体"/>
                <w:snapToGrid w:val="0"/>
                <w:color w:val="000000"/>
                <w:spacing w:val="6"/>
                <w:kern w:val="0"/>
                <w:sz w:val="25"/>
                <w:szCs w:val="25"/>
                <w:lang w:val="en-US" w:eastAsia="zh-CN" w:bidi="ar-SA"/>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4" w:hRule="atLeast"/>
        </w:trPr>
        <w:tc>
          <w:tcPr>
            <w:tcW w:w="203" w:type="pct"/>
            <w:vMerge w:val="restart"/>
            <w:tcBorders>
              <w:top w:val="single" w:color="000000" w:sz="2" w:space="0"/>
              <w:bottom w:val="nil"/>
            </w:tcBorders>
            <w:vAlign w:val="top"/>
          </w:tcPr>
          <w:p>
            <w:pPr>
              <w:widowControl/>
              <w:kinsoku w:val="0"/>
              <w:autoSpaceDE w:val="0"/>
              <w:autoSpaceDN w:val="0"/>
              <w:adjustRightInd w:val="0"/>
              <w:snapToGrid w:val="0"/>
              <w:spacing w:before="118" w:line="229" w:lineRule="auto"/>
              <w:ind w:left="45" w:right="2" w:firstLine="219"/>
              <w:jc w:val="both"/>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 w:val="21"/>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jc w:val="left"/>
              <w:textAlignment w:val="baseline"/>
              <w:rPr>
                <w:rFonts w:hint="eastAsia" w:ascii="Arial" w:hAnsi="Arial" w:eastAsia="Arial" w:cs="Arial"/>
                <w:snapToGrid w:val="0"/>
                <w:color w:val="000000"/>
                <w:kern w:val="0"/>
                <w:szCs w:val="21"/>
                <w:lang w:val="en-US" w:eastAsia="zh-CN" w:bidi="ar-SA"/>
              </w:rPr>
            </w:pPr>
          </w:p>
          <w:p>
            <w:pPr>
              <w:widowControl/>
              <w:kinsoku w:val="0"/>
              <w:autoSpaceDE w:val="0"/>
              <w:autoSpaceDN w:val="0"/>
              <w:bidi w:val="0"/>
              <w:adjustRightInd w:val="0"/>
              <w:snapToGrid w:val="0"/>
              <w:spacing w:line="240" w:lineRule="auto"/>
              <w:ind w:firstLine="244" w:firstLineChars="0"/>
              <w:jc w:val="left"/>
              <w:textAlignment w:val="baseline"/>
              <w:rPr>
                <w:rFonts w:hint="default" w:ascii="Arial" w:hAnsi="Arial" w:eastAsia="Arial" w:cs="Arial"/>
                <w:snapToGrid w:val="0"/>
                <w:color w:val="000000"/>
                <w:kern w:val="0"/>
                <w:szCs w:val="21"/>
                <w:lang w:val="en-US" w:eastAsia="zh-CN" w:bidi="ar-SA"/>
              </w:rPr>
            </w:pPr>
            <w:r>
              <w:rPr>
                <w:rFonts w:hint="eastAsia" w:ascii="Arial" w:hAnsi="Arial" w:eastAsia="Arial" w:cs="Arial"/>
                <w:snapToGrid w:val="0"/>
                <w:color w:val="000000"/>
                <w:kern w:val="0"/>
                <w:szCs w:val="21"/>
                <w:lang w:val="en-US" w:eastAsia="zh-CN" w:bidi="ar-SA"/>
              </w:rPr>
              <w:t>1</w:t>
            </w:r>
          </w:p>
        </w:tc>
        <w:tc>
          <w:tcPr>
            <w:tcW w:w="348" w:type="pct"/>
            <w:vMerge w:val="restart"/>
            <w:tcBorders>
              <w:top w:val="single" w:color="000000" w:sz="2" w:space="0"/>
              <w:bottom w:val="nil"/>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一、证明法律事实类公证收费</w:t>
            </w:r>
          </w:p>
        </w:tc>
        <w:tc>
          <w:tcPr>
            <w:tcW w:w="352" w:type="pct"/>
            <w:vMerge w:val="restart"/>
            <w:tcBorders>
              <w:top w:val="single" w:color="000000" w:sz="2" w:space="0"/>
              <w:bottom w:val="nil"/>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证明财产继承、赠与、接受遗赠</w:t>
            </w:r>
          </w:p>
        </w:tc>
        <w:tc>
          <w:tcPr>
            <w:tcW w:w="442"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证明不涉及房产的财产继承、赠与、接受遗赠</w:t>
            </w:r>
          </w:p>
        </w:tc>
        <w:tc>
          <w:tcPr>
            <w:tcW w:w="1923"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按受益额比例分段累加计价:</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受益额20万元（含20万元）以下的部分，按1.0%收取;20万元至50万元（含50万元）的部分，按0.8%收取;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50万元至500万元（含500万元）的部分，按0.6%收取;500万元至1000万元（含1000万元）的部分，按0.5%收取;超过1000万元（含1000万元）的部分，按0.1%收取。</w:t>
            </w:r>
          </w:p>
        </w:tc>
        <w:tc>
          <w:tcPr>
            <w:tcW w:w="1730"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1.按办理公证时受益财产的市场价值为受益额计算。2.证明单方赠与或受赠的，减半收取。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3" w:hRule="atLeast"/>
        </w:trPr>
        <w:tc>
          <w:tcPr>
            <w:tcW w:w="203" w:type="pct"/>
            <w:vMerge w:val="continue"/>
            <w:tcBorders>
              <w:top w:val="nil"/>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tc>
        <w:tc>
          <w:tcPr>
            <w:tcW w:w="348" w:type="pct"/>
            <w:vMerge w:val="continue"/>
            <w:tcBorders>
              <w:top w:val="nil"/>
              <w:bottom w:val="nil"/>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tc>
        <w:tc>
          <w:tcPr>
            <w:tcW w:w="352" w:type="pct"/>
            <w:vMerge w:val="continue"/>
            <w:tcBorders>
              <w:top w:val="nil"/>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tc>
        <w:tc>
          <w:tcPr>
            <w:tcW w:w="442"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证明涉及房产的财产继承、赠与、接受遗赠</w:t>
            </w:r>
          </w:p>
        </w:tc>
        <w:tc>
          <w:tcPr>
            <w:tcW w:w="1923"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right="2"/>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1.按受益额比例分段累加计价:</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受益额20万元（含20万元）以下的部分，按0.5%收取;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20万元至100万元（含100万元）的部分，按0.4%收取;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100万元至300万元（含300万元）的部分，按0.3%收取;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300万元至1000万元（含1000万元）的部分，按0.2%收取;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超过1000万元的部分，按0.1%收取;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2.按房产受益建筑面积计价</w:t>
            </w:r>
            <w:r>
              <w:rPr>
                <w:rFonts w:hint="eastAsia" w:ascii="宋体" w:hAnsi="宋体" w:eastAsia="宋体" w:cs="宋体"/>
                <w:snapToGrid w:val="0"/>
                <w:color w:val="0000FF"/>
                <w:spacing w:val="16"/>
                <w:kern w:val="0"/>
                <w:sz w:val="21"/>
                <w:szCs w:val="21"/>
                <w:lang w:val="en-US" w:eastAsia="zh-CN" w:bidi="ar-SA"/>
              </w:rPr>
              <w:t>（尾数部分不足1平米按1平米计算）</w:t>
            </w:r>
            <w:r>
              <w:rPr>
                <w:rFonts w:hint="eastAsia" w:ascii="宋体" w:hAnsi="宋体" w:eastAsia="宋体" w:cs="宋体"/>
                <w:snapToGrid w:val="0"/>
                <w:color w:val="000000"/>
                <w:spacing w:val="16"/>
                <w:kern w:val="0"/>
                <w:sz w:val="21"/>
                <w:szCs w:val="21"/>
                <w:lang w:val="en-US" w:eastAsia="zh-CN" w:bidi="ar-SA"/>
              </w:rPr>
              <w:t>:太原市每平方米45元;其他设区市每平方米35元。</w:t>
            </w:r>
          </w:p>
        </w:tc>
        <w:tc>
          <w:tcPr>
            <w:tcW w:w="1730"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1.按办理公证时受益房产的市场价值为受益额计算。2.证明单方赠与或受赠的，减半收取。3.两种计价方式由申请人从低选择。4.单套居民房产办理继承、赠与、接受遗赠公证服务费用总额原则上不得超过8000元。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4" w:hRule="atLeast"/>
        </w:trPr>
        <w:tc>
          <w:tcPr>
            <w:tcW w:w="203"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2</w:t>
            </w:r>
          </w:p>
        </w:tc>
        <w:tc>
          <w:tcPr>
            <w:tcW w:w="348" w:type="pct"/>
            <w:vMerge w:val="continue"/>
            <w:tcBorders>
              <w:top w:val="nil"/>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tc>
        <w:tc>
          <w:tcPr>
            <w:tcW w:w="794" w:type="pct"/>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证明商事合同（协议）</w:t>
            </w:r>
          </w:p>
        </w:tc>
        <w:tc>
          <w:tcPr>
            <w:tcW w:w="1923"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按标的额比例分段累加计价:</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500万元（含500万元）以下的部分，按0.2%收取，按比例不足300元的按300元收取;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500万元至5000万元（含5000万元）的部分，按0.1%收取;</w:t>
            </w:r>
          </w:p>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r>
              <w:rPr>
                <w:rFonts w:hint="eastAsia" w:ascii="宋体" w:hAnsi="宋体" w:eastAsia="宋体" w:cs="宋体"/>
                <w:snapToGrid w:val="0"/>
                <w:color w:val="000000"/>
                <w:spacing w:val="16"/>
                <w:kern w:val="0"/>
                <w:sz w:val="21"/>
                <w:szCs w:val="21"/>
                <w:lang w:val="en-US" w:eastAsia="zh-CN" w:bidi="ar-SA"/>
              </w:rPr>
              <w:t>5000万元至1亿元（含1亿元）的部分，按0.06%收取;超过1亿元的部分，按0.01%收取。</w:t>
            </w:r>
          </w:p>
        </w:tc>
        <w:tc>
          <w:tcPr>
            <w:tcW w:w="1730" w:type="pct"/>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spacing w:val="16"/>
                <w:kern w:val="0"/>
                <w:sz w:val="21"/>
                <w:szCs w:val="21"/>
                <w:lang w:val="en-US" w:eastAsia="zh-CN" w:bidi="ar-SA"/>
              </w:rPr>
            </w:pPr>
          </w:p>
        </w:tc>
      </w:tr>
    </w:tbl>
    <w:p>
      <w:pPr>
        <w:spacing w:line="259" w:lineRule="auto"/>
        <w:rPr>
          <w:rFonts w:ascii="Arial"/>
          <w:sz w:val="21"/>
        </w:rPr>
      </w:pPr>
      <w:r>
        <w:rPr>
          <w:rFonts w:ascii="Arial"/>
          <w:sz w:val="21"/>
        </w:rPr>
        <w:br w:type="column"/>
      </w:r>
    </w:p>
    <w:tbl>
      <w:tblPr>
        <w:tblStyle w:val="6"/>
        <w:tblW w:w="15823" w:type="dxa"/>
        <w:tblInd w:w="-5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59"/>
        <w:gridCol w:w="567"/>
        <w:gridCol w:w="133"/>
        <w:gridCol w:w="626"/>
        <w:gridCol w:w="3039"/>
        <w:gridCol w:w="626"/>
        <w:gridCol w:w="5675"/>
        <w:gridCol w:w="626"/>
        <w:gridCol w:w="3279"/>
        <w:gridCol w:w="6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75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rPr>
            </w:pPr>
            <w:r>
              <w:rPr>
                <w:rFonts w:hint="eastAsia" w:ascii="宋体" w:hAnsi="宋体" w:eastAsia="宋体" w:cs="宋体"/>
                <w:snapToGrid w:val="0"/>
                <w:color w:val="000000"/>
                <w:spacing w:val="7"/>
                <w:kern w:val="0"/>
                <w:sz w:val="25"/>
                <w:szCs w:val="25"/>
              </w:rPr>
              <w:t>序号</w:t>
            </w:r>
          </w:p>
        </w:tc>
        <w:tc>
          <w:tcPr>
            <w:tcW w:w="4424" w:type="dxa"/>
            <w:gridSpan w:val="4"/>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rPr>
            </w:pPr>
            <w:r>
              <w:rPr>
                <w:rFonts w:hint="eastAsia" w:ascii="宋体" w:hAnsi="宋体" w:eastAsia="宋体" w:cs="宋体"/>
                <w:snapToGrid w:val="0"/>
                <w:color w:val="000000"/>
                <w:spacing w:val="7"/>
                <w:kern w:val="0"/>
                <w:sz w:val="25"/>
                <w:szCs w:val="25"/>
              </w:rPr>
              <w:t>公证服务项目</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rPr>
            </w:pPr>
            <w:r>
              <w:rPr>
                <w:rFonts w:hint="eastAsia" w:ascii="宋体" w:hAnsi="宋体" w:eastAsia="宋体" w:cs="宋体"/>
                <w:snapToGrid w:val="0"/>
                <w:color w:val="000000"/>
                <w:spacing w:val="7"/>
                <w:kern w:val="0"/>
                <w:sz w:val="25"/>
                <w:szCs w:val="25"/>
              </w:rPr>
              <w:t>上限价格标准</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rPr>
            </w:pPr>
            <w:r>
              <w:rPr>
                <w:rFonts w:hint="eastAsia" w:ascii="宋体" w:hAnsi="宋体" w:eastAsia="宋体" w:cs="宋体"/>
                <w:snapToGrid w:val="0"/>
                <w:color w:val="000000"/>
                <w:spacing w:val="7"/>
                <w:kern w:val="0"/>
                <w:sz w:val="25"/>
                <w:szCs w:val="25"/>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154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line="314"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314"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9" w:line="183" w:lineRule="auto"/>
              <w:ind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3</w:t>
            </w:r>
          </w:p>
        </w:tc>
        <w:tc>
          <w:tcPr>
            <w:tcW w:w="759" w:type="dxa"/>
            <w:gridSpan w:val="2"/>
            <w:vMerge w:val="restart"/>
            <w:tcBorders>
              <w:top w:val="single" w:color="000000" w:sz="2" w:space="0"/>
              <w:bottom w:val="nil"/>
            </w:tcBorders>
            <w:vAlign w:val="top"/>
          </w:tcPr>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233" w:lineRule="auto"/>
              <w:ind w:left="20" w:right="59" w:firstLine="20"/>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rPr>
              <w:t>一、证</w:t>
            </w:r>
            <w:r>
              <w:rPr>
                <w:rFonts w:hint="eastAsia" w:ascii="宋体" w:hAnsi="宋体" w:eastAsia="宋体" w:cs="宋体"/>
                <w:snapToGrid w:val="0"/>
                <w:color w:val="000000"/>
                <w:spacing w:val="9"/>
                <w:kern w:val="0"/>
                <w:sz w:val="21"/>
                <w:szCs w:val="21"/>
              </w:rPr>
              <w:t>明法律</w:t>
            </w:r>
            <w:r>
              <w:rPr>
                <w:rFonts w:hint="eastAsia" w:ascii="宋体" w:hAnsi="宋体" w:eastAsia="宋体" w:cs="宋体"/>
                <w:snapToGrid w:val="0"/>
                <w:color w:val="000000"/>
                <w:spacing w:val="3"/>
                <w:kern w:val="0"/>
                <w:sz w:val="21"/>
                <w:szCs w:val="21"/>
              </w:rPr>
              <w:t>事实类</w:t>
            </w:r>
            <w:r>
              <w:rPr>
                <w:rFonts w:hint="eastAsia" w:ascii="宋体" w:hAnsi="宋体" w:eastAsia="宋体" w:cs="宋体"/>
                <w:snapToGrid w:val="0"/>
                <w:color w:val="000000"/>
                <w:spacing w:val="9"/>
                <w:kern w:val="0"/>
                <w:sz w:val="21"/>
                <w:szCs w:val="21"/>
              </w:rPr>
              <w:t>公证收</w:t>
            </w:r>
            <w:r>
              <w:rPr>
                <w:rFonts w:hint="eastAsia" w:ascii="宋体" w:hAnsi="宋体" w:eastAsia="宋体" w:cs="宋体"/>
                <w:snapToGrid w:val="0"/>
                <w:color w:val="000000"/>
                <w:kern w:val="0"/>
                <w:sz w:val="21"/>
                <w:szCs w:val="21"/>
              </w:rPr>
              <w:t>费</w:t>
            </w: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9" w:line="219" w:lineRule="auto"/>
              <w:ind w:firstLine="2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赋予债权文书具有强制执行效力</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74" w:line="229" w:lineRule="auto"/>
              <w:ind w:left="37" w:right="919" w:firstLine="1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2"/>
                <w:kern w:val="0"/>
                <w:sz w:val="21"/>
                <w:szCs w:val="21"/>
              </w:rPr>
              <w:t>按标的额比例分段累加计价:500万元（含500万元）以下的部分，按0.2%收取;500万元至5000万元（含5000万元）的部分，按0.1%收取;</w:t>
            </w:r>
          </w:p>
          <w:p>
            <w:pPr>
              <w:widowControl/>
              <w:kinsoku w:val="0"/>
              <w:autoSpaceDE w:val="0"/>
              <w:autoSpaceDN w:val="0"/>
              <w:adjustRightInd w:val="0"/>
              <w:snapToGrid w:val="0"/>
              <w:spacing w:before="1" w:line="210"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2"/>
                <w:kern w:val="0"/>
                <w:sz w:val="21"/>
                <w:szCs w:val="21"/>
              </w:rPr>
              <w:t>5000万元至1亿元（含1亿元）的部分，按0.06%收取;</w:t>
            </w:r>
          </w:p>
          <w:p>
            <w:pPr>
              <w:widowControl/>
              <w:kinsoku w:val="0"/>
              <w:autoSpaceDE w:val="0"/>
              <w:autoSpaceDN w:val="0"/>
              <w:adjustRightInd w:val="0"/>
              <w:snapToGrid w:val="0"/>
              <w:spacing w:line="219"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超过1亿元的部分，按0.015%收取。</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65" w:line="237" w:lineRule="auto"/>
              <w:ind w:left="45" w:right="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6"/>
                <w:kern w:val="0"/>
                <w:sz w:val="21"/>
                <w:szCs w:val="21"/>
              </w:rPr>
              <w:t>1、赋予债权文书具有强制执行效力合同</w:t>
            </w:r>
            <w:r>
              <w:rPr>
                <w:rFonts w:hint="eastAsia" w:ascii="宋体" w:hAnsi="宋体" w:eastAsia="宋体" w:cs="宋体"/>
                <w:snapToGrid w:val="0"/>
                <w:color w:val="000000"/>
                <w:spacing w:val="11"/>
                <w:kern w:val="0"/>
                <w:sz w:val="21"/>
                <w:szCs w:val="21"/>
              </w:rPr>
              <w:t>的按照标的额计算。</w:t>
            </w:r>
            <w:r>
              <w:rPr>
                <w:rFonts w:hint="eastAsia" w:ascii="宋体" w:hAnsi="宋体" w:eastAsia="宋体" w:cs="宋体"/>
                <w:snapToGrid w:val="0"/>
                <w:color w:val="000000"/>
                <w:spacing w:val="8"/>
                <w:kern w:val="0"/>
                <w:sz w:val="21"/>
                <w:szCs w:val="21"/>
              </w:rPr>
              <w:t>2、赋予债权文书具有强制执行效力合同</w:t>
            </w:r>
            <w:r>
              <w:rPr>
                <w:rFonts w:hint="eastAsia" w:ascii="宋体" w:hAnsi="宋体" w:eastAsia="宋体" w:cs="宋体"/>
                <w:snapToGrid w:val="0"/>
                <w:color w:val="000000"/>
                <w:spacing w:val="14"/>
                <w:kern w:val="0"/>
                <w:sz w:val="21"/>
                <w:szCs w:val="21"/>
              </w:rPr>
              <w:t>需出具执行证书的，按照申请执行标的</w:t>
            </w:r>
            <w:r>
              <w:rPr>
                <w:rFonts w:hint="eastAsia" w:ascii="宋体" w:hAnsi="宋体" w:eastAsia="宋体" w:cs="宋体"/>
                <w:snapToGrid w:val="0"/>
                <w:color w:val="000000"/>
                <w:spacing w:val="22"/>
                <w:w w:val="102"/>
                <w:kern w:val="0"/>
                <w:sz w:val="21"/>
                <w:szCs w:val="21"/>
              </w:rPr>
              <w:t>额计算。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1084" w:hRule="atLeast"/>
        </w:trPr>
        <w:tc>
          <w:tcPr>
            <w:tcW w:w="567" w:type="dxa"/>
            <w:vMerge w:val="restart"/>
            <w:tcBorders>
              <w:top w:val="single" w:color="000000" w:sz="2" w:space="0"/>
              <w:bottom w:val="nil"/>
            </w:tcBorders>
            <w:vAlign w:val="top"/>
          </w:tcPr>
          <w:p>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lang w:val="en-US" w:eastAsia="zh-CN"/>
              </w:rPr>
            </w:pPr>
          </w:p>
          <w:p>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lang w:val="en-US" w:eastAsia="zh-CN"/>
              </w:rPr>
            </w:pPr>
          </w:p>
          <w:p>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lang w:val="en-US" w:eastAsia="zh-CN"/>
              </w:rPr>
            </w:pPr>
          </w:p>
          <w:p>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w:t>
            </w:r>
          </w:p>
        </w:tc>
        <w:tc>
          <w:tcPr>
            <w:tcW w:w="759" w:type="dxa"/>
            <w:gridSpan w:val="2"/>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vMerge w:val="restart"/>
            <w:tcBorders>
              <w:top w:val="single" w:color="000000" w:sz="2" w:space="0"/>
              <w:bottom w:val="nil"/>
            </w:tcBorders>
            <w:vAlign w:val="top"/>
          </w:tcPr>
          <w:p>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219" w:lineRule="auto"/>
              <w:ind w:firstLine="2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2"/>
                <w:kern w:val="0"/>
                <w:sz w:val="21"/>
                <w:szCs w:val="21"/>
              </w:rPr>
              <w:t>证明民事协议</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78" w:line="232" w:lineRule="auto"/>
              <w:ind w:left="37" w:firstLine="20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5"/>
                <w:kern w:val="0"/>
                <w:sz w:val="21"/>
                <w:szCs w:val="21"/>
              </w:rPr>
              <w:t>证明夫妻（婚前）财产约定、涉及财产分割的离婚协议、遗产分割协议、共有财产约定和分割协议以及其他涉及财产关系的民事协议，按照证明商事合同（协议）价格标准减半收取，按比例不足300元的，按300元收取。</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834" w:hRule="atLeast"/>
        </w:trPr>
        <w:tc>
          <w:tcPr>
            <w:tcW w:w="567"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759" w:type="dxa"/>
            <w:gridSpan w:val="2"/>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79" w:line="221" w:lineRule="auto"/>
              <w:ind w:left="37" w:right="3" w:firstLine="20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5"/>
                <w:kern w:val="0"/>
                <w:sz w:val="21"/>
                <w:szCs w:val="21"/>
              </w:rPr>
              <w:t>证明离婚、抚养、赡养、监护、劳动（劳务）、寄养、遗赠扶养</w:t>
            </w:r>
            <w:r>
              <w:rPr>
                <w:rFonts w:hint="eastAsia" w:ascii="宋体" w:hAnsi="宋体" w:eastAsia="宋体" w:cs="宋体"/>
                <w:snapToGrid w:val="0"/>
                <w:color w:val="000000"/>
                <w:spacing w:val="3"/>
                <w:kern w:val="0"/>
                <w:sz w:val="21"/>
                <w:szCs w:val="21"/>
              </w:rPr>
              <w:t>、解除收养关系、出国留学等不涉及财产关系的民事协议，每件收</w:t>
            </w:r>
            <w:r>
              <w:rPr>
                <w:rFonts w:hint="eastAsia" w:ascii="宋体" w:hAnsi="宋体" w:eastAsia="宋体" w:cs="宋体"/>
                <w:snapToGrid w:val="0"/>
                <w:color w:val="000000"/>
                <w:kern w:val="0"/>
                <w:sz w:val="21"/>
                <w:szCs w:val="21"/>
              </w:rPr>
              <w:t>取300元。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192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line="274"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74"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75"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181" w:lineRule="auto"/>
              <w:ind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5</w:t>
            </w:r>
          </w:p>
        </w:tc>
        <w:tc>
          <w:tcPr>
            <w:tcW w:w="759" w:type="dxa"/>
            <w:gridSpan w:val="2"/>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219" w:lineRule="auto"/>
              <w:ind w:firstLine="2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3"/>
                <w:kern w:val="0"/>
                <w:sz w:val="21"/>
                <w:szCs w:val="21"/>
              </w:rPr>
              <w:t>证明遗嘱</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219"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5"/>
                <w:kern w:val="0"/>
                <w:sz w:val="21"/>
                <w:szCs w:val="21"/>
              </w:rPr>
              <w:t>每件收取600元。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18" w:line="229" w:lineRule="auto"/>
              <w:ind w:left="45" w:right="2"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6"/>
                <w:kern w:val="0"/>
                <w:sz w:val="21"/>
                <w:szCs w:val="21"/>
              </w:rPr>
              <w:t>包括录音、摄像、刻录光盘、冲印照片的费用。</w:t>
            </w:r>
          </w:p>
          <w:p>
            <w:pPr>
              <w:widowControl/>
              <w:kinsoku w:val="0"/>
              <w:autoSpaceDE w:val="0"/>
              <w:autoSpaceDN w:val="0"/>
              <w:adjustRightInd w:val="0"/>
              <w:snapToGrid w:val="0"/>
              <w:spacing w:before="5" w:line="225" w:lineRule="auto"/>
              <w:ind w:left="45" w:right="8" w:firstLine="23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4"/>
                <w:kern w:val="0"/>
                <w:sz w:val="21"/>
                <w:szCs w:val="21"/>
              </w:rPr>
              <w:t>复杂的遗嘱公证可以进行协商收费，</w:t>
            </w:r>
            <w:r>
              <w:rPr>
                <w:rFonts w:hint="eastAsia" w:ascii="宋体" w:hAnsi="宋体" w:eastAsia="宋体" w:cs="宋体"/>
                <w:snapToGrid w:val="0"/>
                <w:color w:val="000000"/>
                <w:spacing w:val="10"/>
                <w:w w:val="105"/>
                <w:kern w:val="0"/>
                <w:sz w:val="21"/>
                <w:szCs w:val="21"/>
              </w:rPr>
              <w:t>包括:办理时间超过半天、在公证机构</w:t>
            </w:r>
            <w:r>
              <w:rPr>
                <w:rFonts w:hint="eastAsia" w:ascii="宋体" w:hAnsi="宋体" w:eastAsia="宋体" w:cs="宋体"/>
                <w:snapToGrid w:val="0"/>
                <w:color w:val="000000"/>
                <w:spacing w:val="15"/>
                <w:kern w:val="0"/>
                <w:sz w:val="21"/>
                <w:szCs w:val="21"/>
              </w:rPr>
              <w:t>办公场所外办理、涉及其他行业专业技术辅助、涉及遗嘱信托或遗嘱监护内容</w:t>
            </w:r>
            <w:r>
              <w:rPr>
                <w:rFonts w:hint="eastAsia" w:ascii="宋体" w:hAnsi="宋体" w:eastAsia="宋体" w:cs="宋体"/>
                <w:snapToGrid w:val="0"/>
                <w:color w:val="000000"/>
                <w:spacing w:val="-8"/>
                <w:kern w:val="0"/>
                <w:sz w:val="21"/>
                <w:szCs w:val="21"/>
              </w:rPr>
              <w:t>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625"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45" w:line="183" w:lineRule="auto"/>
              <w:ind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6</w:t>
            </w:r>
          </w:p>
        </w:tc>
        <w:tc>
          <w:tcPr>
            <w:tcW w:w="759" w:type="dxa"/>
            <w:gridSpan w:val="2"/>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29" w:line="218" w:lineRule="auto"/>
              <w:ind w:left="21" w:right="27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证明自然人委托、声明、保证、认领</w:t>
            </w:r>
            <w:r>
              <w:rPr>
                <w:rFonts w:hint="eastAsia" w:ascii="宋体" w:hAnsi="宋体" w:eastAsia="宋体" w:cs="宋体"/>
                <w:snapToGrid w:val="0"/>
                <w:color w:val="000000"/>
                <w:kern w:val="0"/>
                <w:sz w:val="21"/>
                <w:szCs w:val="21"/>
              </w:rPr>
              <w:t>亲子等其他单方法律行为</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10" w:line="219"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每件收取200元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10" w:line="219" w:lineRule="auto"/>
              <w:ind w:firstLine="45"/>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0"/>
                <w:kern w:val="0"/>
                <w:sz w:val="21"/>
                <w:szCs w:val="21"/>
              </w:rPr>
              <w:t>涉及财产的加倍收取。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575"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17" w:line="181" w:lineRule="auto"/>
              <w:ind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7</w:t>
            </w:r>
          </w:p>
        </w:tc>
        <w:tc>
          <w:tcPr>
            <w:tcW w:w="759" w:type="dxa"/>
            <w:gridSpan w:val="2"/>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0" w:line="219" w:lineRule="auto"/>
              <w:ind w:firstLine="21"/>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证明法人或其他组织的授权委托</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0" w:line="219"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每件收取500元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2"/>
          <w:wBefore w:w="626" w:type="dxa"/>
          <w:trHeight w:val="179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8" w:line="183" w:lineRule="auto"/>
              <w:ind w:firstLine="219"/>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8</w:t>
            </w:r>
          </w:p>
        </w:tc>
        <w:tc>
          <w:tcPr>
            <w:tcW w:w="759" w:type="dxa"/>
            <w:gridSpan w:val="2"/>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77" w:line="234" w:lineRule="auto"/>
              <w:ind w:left="21" w:right="252"/>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1"/>
                <w:kern w:val="0"/>
                <w:sz w:val="21"/>
                <w:szCs w:val="21"/>
              </w:rPr>
              <w:t>证明自然人出生、生存、死亡、身份</w:t>
            </w:r>
            <w:r>
              <w:rPr>
                <w:rFonts w:hint="eastAsia" w:ascii="宋体" w:hAnsi="宋体" w:eastAsia="宋体" w:cs="宋体"/>
                <w:snapToGrid w:val="0"/>
                <w:color w:val="000000"/>
                <w:kern w:val="0"/>
                <w:sz w:val="21"/>
                <w:szCs w:val="21"/>
              </w:rPr>
              <w:t>、曾用名、住所地（居住地）、学历、学位、经历、职务（职称）、资格、有无违法犯罪记录、婚姻状况、亲</w:t>
            </w:r>
            <w:r>
              <w:rPr>
                <w:rFonts w:hint="eastAsia" w:ascii="宋体" w:hAnsi="宋体" w:eastAsia="宋体" w:cs="宋体"/>
                <w:snapToGrid w:val="0"/>
                <w:color w:val="000000"/>
                <w:spacing w:val="-1"/>
                <w:kern w:val="0"/>
                <w:sz w:val="21"/>
                <w:szCs w:val="21"/>
              </w:rPr>
              <w:t>属关系、财产权、收入状况、纳税状</w:t>
            </w:r>
            <w:r>
              <w:rPr>
                <w:rFonts w:hint="eastAsia" w:ascii="宋体" w:hAnsi="宋体" w:eastAsia="宋体" w:cs="宋体"/>
                <w:snapToGrid w:val="0"/>
                <w:color w:val="000000"/>
                <w:kern w:val="0"/>
                <w:sz w:val="21"/>
                <w:szCs w:val="21"/>
              </w:rPr>
              <w:t>况、选票、指纹等有法律意义的事实</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358"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line="359" w:lineRule="auto"/>
              <w:jc w:val="left"/>
              <w:textAlignment w:val="baseline"/>
              <w:rPr>
                <w:rFonts w:hint="eastAsia" w:ascii="宋体" w:hAnsi="宋体" w:eastAsia="宋体" w:cs="宋体"/>
                <w:snapToGrid w:val="0"/>
                <w:color w:val="000000"/>
                <w:kern w:val="0"/>
                <w:sz w:val="21"/>
                <w:szCs w:val="21"/>
              </w:rPr>
            </w:pPr>
          </w:p>
          <w:p>
            <w:pPr>
              <w:widowControl/>
              <w:kinsoku w:val="0"/>
              <w:autoSpaceDE w:val="0"/>
              <w:autoSpaceDN w:val="0"/>
              <w:adjustRightInd w:val="0"/>
              <w:snapToGrid w:val="0"/>
              <w:spacing w:before="69" w:line="219" w:lineRule="auto"/>
              <w:ind w:firstLine="37"/>
              <w:jc w:val="left"/>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spacing w:val="6"/>
                <w:kern w:val="0"/>
                <w:sz w:val="21"/>
                <w:szCs w:val="21"/>
              </w:rPr>
              <w:t>每件收取150元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74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lang w:val="en-US" w:eastAsia="zh-CN" w:bidi="ar-SA"/>
              </w:rPr>
            </w:pPr>
            <w:r>
              <w:rPr>
                <w:rFonts w:hint="eastAsia" w:ascii="宋体" w:hAnsi="宋体" w:eastAsia="宋体" w:cs="宋体"/>
                <w:snapToGrid w:val="0"/>
                <w:color w:val="000000"/>
                <w:spacing w:val="7"/>
                <w:kern w:val="0"/>
                <w:sz w:val="25"/>
                <w:szCs w:val="25"/>
                <w:lang w:val="en-US" w:eastAsia="zh-CN" w:bidi="ar-SA"/>
              </w:rPr>
              <w:t>序号</w:t>
            </w:r>
          </w:p>
        </w:tc>
        <w:tc>
          <w:tcPr>
            <w:tcW w:w="4424" w:type="dxa"/>
            <w:gridSpan w:val="5"/>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lang w:val="en-US" w:eastAsia="zh-CN" w:bidi="ar-SA"/>
              </w:rPr>
            </w:pPr>
            <w:r>
              <w:rPr>
                <w:rFonts w:hint="eastAsia" w:ascii="宋体" w:hAnsi="宋体" w:eastAsia="宋体" w:cs="宋体"/>
                <w:snapToGrid w:val="0"/>
                <w:color w:val="000000"/>
                <w:spacing w:val="7"/>
                <w:kern w:val="0"/>
                <w:sz w:val="25"/>
                <w:szCs w:val="25"/>
                <w:lang w:val="en-US" w:eastAsia="zh-CN" w:bidi="ar-SA"/>
              </w:rPr>
              <w:t>公证服务项目</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lang w:val="en-US" w:eastAsia="zh-CN" w:bidi="ar-SA"/>
              </w:rPr>
            </w:pPr>
            <w:r>
              <w:rPr>
                <w:rFonts w:hint="eastAsia" w:ascii="宋体" w:hAnsi="宋体" w:eastAsia="宋体" w:cs="宋体"/>
                <w:snapToGrid w:val="0"/>
                <w:color w:val="000000"/>
                <w:spacing w:val="7"/>
                <w:kern w:val="0"/>
                <w:sz w:val="25"/>
                <w:szCs w:val="25"/>
                <w:lang w:val="en-US" w:eastAsia="zh-CN" w:bidi="ar-SA"/>
              </w:rPr>
              <w:t>上限价格标准</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64" w:line="221" w:lineRule="auto"/>
              <w:ind w:firstLine="20"/>
              <w:jc w:val="center"/>
              <w:textAlignment w:val="baseline"/>
              <w:rPr>
                <w:rFonts w:hint="eastAsia" w:ascii="宋体" w:hAnsi="宋体" w:eastAsia="宋体" w:cs="宋体"/>
                <w:snapToGrid w:val="0"/>
                <w:color w:val="000000"/>
                <w:spacing w:val="7"/>
                <w:kern w:val="0"/>
                <w:sz w:val="25"/>
                <w:szCs w:val="25"/>
                <w:lang w:val="en-US" w:eastAsia="zh-CN" w:bidi="ar-SA"/>
              </w:rPr>
            </w:pPr>
            <w:r>
              <w:rPr>
                <w:rFonts w:hint="eastAsia" w:ascii="宋体" w:hAnsi="宋体" w:eastAsia="宋体" w:cs="宋体"/>
                <w:snapToGrid w:val="0"/>
                <w:color w:val="000000"/>
                <w:spacing w:val="7"/>
                <w:kern w:val="0"/>
                <w:sz w:val="25"/>
                <w:szCs w:val="25"/>
                <w:lang w:val="en-US" w:eastAsia="zh-CN" w:bidi="ar-SA"/>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9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21" w:line="183" w:lineRule="auto"/>
              <w:ind w:firstLine="180"/>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9</w:t>
            </w:r>
          </w:p>
        </w:tc>
        <w:tc>
          <w:tcPr>
            <w:tcW w:w="759" w:type="dxa"/>
            <w:gridSpan w:val="3"/>
            <w:vMerge w:val="restart"/>
            <w:tcBorders>
              <w:top w:val="single" w:color="000000" w:sz="2" w:space="0"/>
              <w:bottom w:val="nil"/>
            </w:tcBorders>
            <w:vAlign w:val="top"/>
          </w:tcPr>
          <w:p>
            <w:pPr>
              <w:widowControl/>
              <w:kinsoku w:val="0"/>
              <w:autoSpaceDE w:val="0"/>
              <w:autoSpaceDN w:val="0"/>
              <w:adjustRightInd w:val="0"/>
              <w:snapToGrid w:val="0"/>
              <w:spacing w:line="327" w:lineRule="auto"/>
              <w:jc w:val="left"/>
              <w:textAlignment w:val="baseline"/>
              <w:rPr>
                <w:rFonts w:hint="eastAsia" w:ascii="宋体" w:hAnsi="宋体" w:eastAsia="宋体" w:cs="宋体"/>
                <w:snapToGrid w:val="0"/>
                <w:color w:val="000000"/>
                <w:kern w:val="0"/>
                <w:sz w:val="21"/>
                <w:szCs w:val="21"/>
                <w:lang w:val="en-US" w:eastAsia="zh-CN" w:bidi="ar-SA"/>
              </w:rPr>
            </w:pPr>
          </w:p>
          <w:p>
            <w:pPr>
              <w:widowControl/>
              <w:kinsoku w:val="0"/>
              <w:autoSpaceDE w:val="0"/>
              <w:autoSpaceDN w:val="0"/>
              <w:adjustRightInd w:val="0"/>
              <w:snapToGrid w:val="0"/>
              <w:spacing w:before="69" w:line="228" w:lineRule="auto"/>
              <w:ind w:left="10" w:right="58" w:firstLine="2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3"/>
                <w:kern w:val="0"/>
                <w:sz w:val="21"/>
                <w:szCs w:val="21"/>
                <w:lang w:val="en-US" w:eastAsia="zh-CN" w:bidi="ar-SA"/>
              </w:rPr>
              <w:t>一、证</w:t>
            </w:r>
            <w:r>
              <w:rPr>
                <w:rFonts w:hint="eastAsia" w:ascii="宋体" w:hAnsi="宋体" w:eastAsia="宋体" w:cs="宋体"/>
                <w:snapToGrid w:val="0"/>
                <w:color w:val="000000"/>
                <w:spacing w:val="12"/>
                <w:kern w:val="0"/>
                <w:sz w:val="21"/>
                <w:szCs w:val="21"/>
                <w:lang w:val="en-US" w:eastAsia="zh-CN" w:bidi="ar-SA"/>
              </w:rPr>
              <w:t>明法律</w:t>
            </w:r>
            <w:r>
              <w:rPr>
                <w:rFonts w:hint="eastAsia" w:ascii="宋体" w:hAnsi="宋体" w:eastAsia="宋体" w:cs="宋体"/>
                <w:snapToGrid w:val="0"/>
                <w:color w:val="000000"/>
                <w:spacing w:val="7"/>
                <w:kern w:val="0"/>
                <w:sz w:val="21"/>
                <w:szCs w:val="21"/>
                <w:lang w:val="en-US" w:eastAsia="zh-CN" w:bidi="ar-SA"/>
              </w:rPr>
              <w:t>事实类</w:t>
            </w:r>
            <w:r>
              <w:rPr>
                <w:rFonts w:hint="eastAsia" w:ascii="宋体" w:hAnsi="宋体" w:eastAsia="宋体" w:cs="宋体"/>
                <w:snapToGrid w:val="0"/>
                <w:color w:val="000000"/>
                <w:spacing w:val="12"/>
                <w:kern w:val="0"/>
                <w:sz w:val="21"/>
                <w:szCs w:val="21"/>
                <w:lang w:val="en-US" w:eastAsia="zh-CN" w:bidi="ar-SA"/>
              </w:rPr>
              <w:t>公证收</w:t>
            </w:r>
            <w:r>
              <w:rPr>
                <w:rFonts w:hint="eastAsia" w:ascii="宋体" w:hAnsi="宋体" w:eastAsia="宋体" w:cs="宋体"/>
                <w:snapToGrid w:val="0"/>
                <w:color w:val="000000"/>
                <w:kern w:val="0"/>
                <w:sz w:val="21"/>
                <w:szCs w:val="21"/>
                <w:lang w:val="en-US" w:eastAsia="zh-CN" w:bidi="ar-SA"/>
              </w:rPr>
              <w:t>费</w:t>
            </w: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6" w:line="219" w:lineRule="auto"/>
              <w:ind w:firstLine="1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证明法人及其他组织的资格、资信等</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6"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每件收取500元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82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line="272" w:lineRule="auto"/>
              <w:jc w:val="left"/>
              <w:textAlignment w:val="baseline"/>
              <w:rPr>
                <w:rFonts w:hint="eastAsia" w:ascii="宋体" w:hAnsi="宋体" w:eastAsia="宋体" w:cs="宋体"/>
                <w:snapToGrid w:val="0"/>
                <w:color w:val="000000"/>
                <w:kern w:val="0"/>
                <w:sz w:val="21"/>
                <w:szCs w:val="21"/>
                <w:lang w:val="en-US" w:eastAsia="zh-CN" w:bidi="ar-SA"/>
              </w:rPr>
            </w:pPr>
          </w:p>
          <w:p>
            <w:pPr>
              <w:widowControl/>
              <w:kinsoku w:val="0"/>
              <w:autoSpaceDE w:val="0"/>
              <w:autoSpaceDN w:val="0"/>
              <w:adjustRightInd w:val="0"/>
              <w:snapToGrid w:val="0"/>
              <w:spacing w:before="68" w:line="183"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10</w:t>
            </w:r>
          </w:p>
        </w:tc>
        <w:tc>
          <w:tcPr>
            <w:tcW w:w="759" w:type="dxa"/>
            <w:gridSpan w:val="3"/>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76" w:line="219" w:lineRule="auto"/>
              <w:ind w:left="11" w:right="253"/>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证明不可抗力、意外事件、收养关系</w:t>
            </w:r>
            <w:r>
              <w:rPr>
                <w:rFonts w:hint="eastAsia" w:ascii="宋体" w:hAnsi="宋体" w:eastAsia="宋体" w:cs="宋体"/>
                <w:snapToGrid w:val="0"/>
                <w:color w:val="000000"/>
                <w:spacing w:val="-1"/>
                <w:kern w:val="0"/>
                <w:sz w:val="21"/>
                <w:szCs w:val="21"/>
                <w:lang w:val="en-US" w:eastAsia="zh-CN" w:bidi="ar-SA"/>
              </w:rPr>
              <w:t>、抚养事实、票据拒绝、查无档案记</w:t>
            </w:r>
            <w:r>
              <w:rPr>
                <w:rFonts w:hint="eastAsia" w:ascii="宋体" w:hAnsi="宋体" w:eastAsia="宋体" w:cs="宋体"/>
                <w:snapToGrid w:val="0"/>
                <w:color w:val="000000"/>
                <w:spacing w:val="-3"/>
                <w:kern w:val="0"/>
                <w:sz w:val="21"/>
                <w:szCs w:val="21"/>
                <w:lang w:val="en-US" w:eastAsia="zh-CN" w:bidi="ar-SA"/>
              </w:rPr>
              <w:t>载等</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307"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每件收取500元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55"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02" w:line="185"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11</w:t>
            </w:r>
          </w:p>
        </w:tc>
        <w:tc>
          <w:tcPr>
            <w:tcW w:w="759" w:type="dxa"/>
            <w:gridSpan w:val="3"/>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67" w:line="219" w:lineRule="auto"/>
              <w:ind w:firstLine="1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涉及政府有关部门的现场监督类公证</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68"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每人每小时500元，不足1小时的按1小时计费。</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9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22" w:line="185"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12</w:t>
            </w:r>
          </w:p>
        </w:tc>
        <w:tc>
          <w:tcPr>
            <w:tcW w:w="759" w:type="dxa"/>
            <w:gridSpan w:val="3"/>
            <w:vMerge w:val="restart"/>
            <w:tcBorders>
              <w:top w:val="single" w:color="000000" w:sz="2" w:space="0"/>
              <w:bottom w:val="nil"/>
            </w:tcBorders>
            <w:vAlign w:val="top"/>
          </w:tcPr>
          <w:p>
            <w:pPr>
              <w:widowControl/>
              <w:kinsoku w:val="0"/>
              <w:autoSpaceDE w:val="0"/>
              <w:autoSpaceDN w:val="0"/>
              <w:adjustRightInd w:val="0"/>
              <w:snapToGrid w:val="0"/>
              <w:spacing w:line="270" w:lineRule="auto"/>
              <w:jc w:val="left"/>
              <w:textAlignment w:val="baseline"/>
              <w:rPr>
                <w:rFonts w:hint="eastAsia" w:ascii="宋体" w:hAnsi="宋体" w:eastAsia="宋体" w:cs="宋体"/>
                <w:snapToGrid w:val="0"/>
                <w:color w:val="000000"/>
                <w:kern w:val="0"/>
                <w:sz w:val="21"/>
                <w:szCs w:val="21"/>
                <w:lang w:val="en-US" w:eastAsia="zh-CN" w:bidi="ar-SA"/>
              </w:rPr>
            </w:pPr>
          </w:p>
          <w:p>
            <w:pPr>
              <w:widowControl/>
              <w:kinsoku w:val="0"/>
              <w:autoSpaceDE w:val="0"/>
              <w:autoSpaceDN w:val="0"/>
              <w:adjustRightInd w:val="0"/>
              <w:snapToGrid w:val="0"/>
              <w:spacing w:line="271" w:lineRule="auto"/>
              <w:jc w:val="left"/>
              <w:textAlignment w:val="baseline"/>
              <w:rPr>
                <w:rFonts w:hint="eastAsia" w:ascii="宋体" w:hAnsi="宋体" w:eastAsia="宋体" w:cs="宋体"/>
                <w:snapToGrid w:val="0"/>
                <w:color w:val="000000"/>
                <w:kern w:val="0"/>
                <w:sz w:val="21"/>
                <w:szCs w:val="21"/>
                <w:lang w:val="en-US" w:eastAsia="zh-CN" w:bidi="ar-SA"/>
              </w:rPr>
            </w:pPr>
          </w:p>
          <w:p>
            <w:pPr>
              <w:widowControl/>
              <w:kinsoku w:val="0"/>
              <w:autoSpaceDE w:val="0"/>
              <w:autoSpaceDN w:val="0"/>
              <w:adjustRightInd w:val="0"/>
              <w:snapToGrid w:val="0"/>
              <w:spacing w:line="271" w:lineRule="auto"/>
              <w:jc w:val="left"/>
              <w:textAlignment w:val="baseline"/>
              <w:rPr>
                <w:rFonts w:hint="eastAsia" w:ascii="宋体" w:hAnsi="宋体" w:eastAsia="宋体" w:cs="宋体"/>
                <w:snapToGrid w:val="0"/>
                <w:color w:val="000000"/>
                <w:kern w:val="0"/>
                <w:sz w:val="21"/>
                <w:szCs w:val="21"/>
                <w:lang w:val="en-US" w:eastAsia="zh-CN" w:bidi="ar-SA"/>
              </w:rPr>
            </w:pPr>
          </w:p>
          <w:p>
            <w:pPr>
              <w:widowControl/>
              <w:kinsoku w:val="0"/>
              <w:autoSpaceDE w:val="0"/>
              <w:autoSpaceDN w:val="0"/>
              <w:adjustRightInd w:val="0"/>
              <w:snapToGrid w:val="0"/>
              <w:spacing w:before="69" w:line="235" w:lineRule="auto"/>
              <w:ind w:left="21" w:right="58" w:firstLine="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3"/>
                <w:kern w:val="0"/>
                <w:sz w:val="21"/>
                <w:szCs w:val="21"/>
                <w:lang w:val="en-US" w:eastAsia="zh-CN" w:bidi="ar-SA"/>
              </w:rPr>
              <w:t>二、证</w:t>
            </w:r>
            <w:r>
              <w:rPr>
                <w:rFonts w:hint="eastAsia" w:ascii="宋体" w:hAnsi="宋体" w:eastAsia="宋体" w:cs="宋体"/>
                <w:snapToGrid w:val="0"/>
                <w:color w:val="000000"/>
                <w:spacing w:val="9"/>
                <w:kern w:val="0"/>
                <w:sz w:val="21"/>
                <w:szCs w:val="21"/>
                <w:lang w:val="en-US" w:eastAsia="zh-CN" w:bidi="ar-SA"/>
              </w:rPr>
              <w:t>明文件</w:t>
            </w:r>
            <w:r>
              <w:rPr>
                <w:rFonts w:hint="eastAsia" w:ascii="宋体" w:hAnsi="宋体" w:eastAsia="宋体" w:cs="宋体"/>
                <w:snapToGrid w:val="0"/>
                <w:color w:val="000000"/>
                <w:spacing w:val="3"/>
                <w:kern w:val="0"/>
                <w:sz w:val="21"/>
                <w:szCs w:val="21"/>
                <w:lang w:val="en-US" w:eastAsia="zh-CN" w:bidi="ar-SA"/>
              </w:rPr>
              <w:t>文书类</w:t>
            </w:r>
            <w:r>
              <w:rPr>
                <w:rFonts w:hint="eastAsia" w:ascii="宋体" w:hAnsi="宋体" w:eastAsia="宋体" w:cs="宋体"/>
                <w:snapToGrid w:val="0"/>
                <w:color w:val="000000"/>
                <w:spacing w:val="9"/>
                <w:kern w:val="0"/>
                <w:sz w:val="21"/>
                <w:szCs w:val="21"/>
                <w:lang w:val="en-US" w:eastAsia="zh-CN" w:bidi="ar-SA"/>
              </w:rPr>
              <w:t>公证服</w:t>
            </w:r>
            <w:r>
              <w:rPr>
                <w:rFonts w:hint="eastAsia" w:ascii="宋体" w:hAnsi="宋体" w:eastAsia="宋体" w:cs="宋体"/>
                <w:snapToGrid w:val="0"/>
                <w:color w:val="000000"/>
                <w:kern w:val="0"/>
                <w:sz w:val="21"/>
                <w:szCs w:val="21"/>
                <w:lang w:val="en-US" w:eastAsia="zh-CN" w:bidi="ar-SA"/>
              </w:rPr>
              <w:t>务</w:t>
            </w: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7" w:line="219" w:lineRule="auto"/>
              <w:ind w:firstLine="1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2"/>
                <w:kern w:val="0"/>
                <w:sz w:val="21"/>
                <w:szCs w:val="21"/>
                <w:lang w:val="en-US" w:eastAsia="zh-CN" w:bidi="ar-SA"/>
              </w:rPr>
              <w:t>证明证书、执照</w:t>
            </w:r>
            <w:bookmarkStart w:id="0" w:name="_GoBack"/>
            <w:bookmarkEnd w:id="0"/>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88" w:line="211"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1.自然人每件收取150元</w:t>
            </w:r>
          </w:p>
          <w:p>
            <w:pPr>
              <w:widowControl/>
              <w:kinsoku w:val="0"/>
              <w:autoSpaceDE w:val="0"/>
              <w:autoSpaceDN w:val="0"/>
              <w:adjustRightInd w:val="0"/>
              <w:snapToGrid w:val="0"/>
              <w:spacing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2.法人或非法人组织每件收取500元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75"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14" w:line="183"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13</w:t>
            </w:r>
          </w:p>
        </w:tc>
        <w:tc>
          <w:tcPr>
            <w:tcW w:w="759" w:type="dxa"/>
            <w:gridSpan w:val="3"/>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79" w:line="218" w:lineRule="auto"/>
              <w:ind w:left="11" w:right="28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证明文书的副本、影印本、节本、译</w:t>
            </w:r>
            <w:r>
              <w:rPr>
                <w:rFonts w:hint="eastAsia" w:ascii="宋体" w:hAnsi="宋体" w:eastAsia="宋体" w:cs="宋体"/>
                <w:snapToGrid w:val="0"/>
                <w:color w:val="000000"/>
                <w:spacing w:val="-2"/>
                <w:kern w:val="0"/>
                <w:sz w:val="21"/>
                <w:szCs w:val="21"/>
                <w:lang w:val="en-US" w:eastAsia="zh-CN" w:bidi="ar-SA"/>
              </w:rPr>
              <w:t>本与原本相符</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79"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每件收取150元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9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23" w:line="185"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14</w:t>
            </w:r>
          </w:p>
        </w:tc>
        <w:tc>
          <w:tcPr>
            <w:tcW w:w="759" w:type="dxa"/>
            <w:gridSpan w:val="3"/>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8" w:line="219" w:lineRule="auto"/>
              <w:ind w:firstLine="1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证明涉外公证书的译文与原文相符。</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9"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每件收取100元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595"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25" w:line="183"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15</w:t>
            </w:r>
          </w:p>
        </w:tc>
        <w:tc>
          <w:tcPr>
            <w:tcW w:w="759" w:type="dxa"/>
            <w:gridSpan w:val="3"/>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89" w:line="219" w:lineRule="auto"/>
              <w:ind w:firstLine="1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证明文书上的签名、印鉴、日期</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90"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每件收取150元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26" w:type="dxa"/>
          <w:trHeight w:val="614" w:hRule="atLeast"/>
        </w:trPr>
        <w:tc>
          <w:tcPr>
            <w:tcW w:w="567" w:type="dxa"/>
            <w:tcBorders>
              <w:top w:val="single" w:color="000000" w:sz="2" w:space="0"/>
              <w:bottom w:val="single" w:color="000000" w:sz="2" w:space="0"/>
            </w:tcBorders>
            <w:vAlign w:val="top"/>
          </w:tcPr>
          <w:p>
            <w:pPr>
              <w:widowControl/>
              <w:kinsoku w:val="0"/>
              <w:autoSpaceDE w:val="0"/>
              <w:autoSpaceDN w:val="0"/>
              <w:adjustRightInd w:val="0"/>
              <w:snapToGrid w:val="0"/>
              <w:spacing w:before="235" w:line="183" w:lineRule="auto"/>
              <w:ind w:firstLine="219"/>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16</w:t>
            </w:r>
          </w:p>
        </w:tc>
        <w:tc>
          <w:tcPr>
            <w:tcW w:w="759" w:type="dxa"/>
            <w:gridSpan w:val="3"/>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c>
          <w:tcPr>
            <w:tcW w:w="366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199" w:line="219" w:lineRule="auto"/>
              <w:ind w:firstLine="1521"/>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zh-CN" w:bidi="ar-SA"/>
              </w:rPr>
              <w:t>副本费</w:t>
            </w:r>
          </w:p>
        </w:tc>
        <w:tc>
          <w:tcPr>
            <w:tcW w:w="6301"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before="200" w:line="219" w:lineRule="auto"/>
              <w:ind w:firstLine="27"/>
              <w:jc w:val="left"/>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3"/>
                <w:kern w:val="0"/>
                <w:sz w:val="21"/>
                <w:szCs w:val="21"/>
                <w:lang w:val="en-US" w:eastAsia="zh-CN" w:bidi="ar-SA"/>
              </w:rPr>
              <w:t>每件10元</w:t>
            </w:r>
          </w:p>
        </w:tc>
        <w:tc>
          <w:tcPr>
            <w:tcW w:w="3905" w:type="dxa"/>
            <w:gridSpan w:val="2"/>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val="en-US" w:eastAsia="zh-CN" w:bidi="ar-SA"/>
              </w:rPr>
            </w:pPr>
          </w:p>
        </w:tc>
      </w:tr>
    </w:tbl>
    <w:p>
      <w:pPr>
        <w:spacing w:line="259" w:lineRule="auto"/>
        <w:rPr>
          <w:rFonts w:ascii="Arial"/>
          <w:sz w:val="21"/>
        </w:rPr>
      </w:pPr>
    </w:p>
    <w:p>
      <w:pPr>
        <w:spacing w:line="260" w:lineRule="auto"/>
        <w:rPr>
          <w:rFonts w:ascii="Arial"/>
          <w:sz w:val="21"/>
        </w:rPr>
      </w:pPr>
    </w:p>
    <w:p>
      <w:pPr>
        <w:spacing w:before="236" w:line="219" w:lineRule="auto"/>
        <w:ind w:firstLine="189"/>
        <w:rPr>
          <w:rFonts w:ascii="宋体" w:hAnsi="宋体" w:eastAsia="宋体" w:cs="宋体"/>
          <w:spacing w:val="5"/>
          <w:sz w:val="18"/>
          <w:szCs w:val="18"/>
        </w:rPr>
      </w:pPr>
      <w:r>
        <w:rPr>
          <w:rFonts w:ascii="宋体" w:hAnsi="宋体" w:eastAsia="宋体" w:cs="宋体"/>
          <w:spacing w:val="5"/>
          <w:sz w:val="18"/>
          <w:szCs w:val="18"/>
        </w:rPr>
        <w:t>说明∶</w:t>
      </w:r>
    </w:p>
    <w:p>
      <w:pPr>
        <w:spacing w:before="236" w:line="219" w:lineRule="auto"/>
        <w:ind w:firstLine="189"/>
        <w:rPr>
          <w:rFonts w:ascii="宋体" w:hAnsi="宋体" w:eastAsia="宋体" w:cs="宋体"/>
          <w:spacing w:val="5"/>
          <w:sz w:val="18"/>
          <w:szCs w:val="18"/>
        </w:rPr>
      </w:pPr>
    </w:p>
    <w:p>
      <w:pPr>
        <w:spacing w:before="19" w:line="263" w:lineRule="auto"/>
        <w:ind w:left="20" w:right="20"/>
        <w:rPr>
          <w:rFonts w:ascii="宋体" w:hAnsi="宋体" w:eastAsia="宋体" w:cs="宋体"/>
          <w:sz w:val="18"/>
          <w:szCs w:val="18"/>
        </w:rPr>
      </w:pPr>
      <w:r>
        <w:rPr>
          <w:rFonts w:hint="eastAsia" w:ascii="宋体" w:hAnsi="宋体" w:eastAsia="宋体" w:cs="宋体"/>
          <w:spacing w:val="18"/>
          <w:w w:val="108"/>
          <w:sz w:val="18"/>
          <w:szCs w:val="18"/>
          <w:lang w:val="en-US" w:eastAsia="zh-CN"/>
        </w:rPr>
        <w:t>1.</w:t>
      </w:r>
      <w:r>
        <w:rPr>
          <w:rFonts w:ascii="宋体" w:hAnsi="宋体" w:eastAsia="宋体" w:cs="宋体"/>
          <w:spacing w:val="18"/>
          <w:w w:val="108"/>
          <w:sz w:val="18"/>
          <w:szCs w:val="18"/>
        </w:rPr>
        <w:t>未列入目录管理，但符合国家法律、法规规定，或当事人自愿申请办理的其他公证事项和公证事务，实行市场调节价，公证机构应当按照公平合理、诚实信用原</w:t>
      </w:r>
      <w:r>
        <w:rPr>
          <w:rFonts w:ascii="宋体" w:hAnsi="宋体" w:eastAsia="宋体" w:cs="宋体"/>
          <w:spacing w:val="44"/>
          <w:sz w:val="18"/>
          <w:szCs w:val="18"/>
        </w:rPr>
        <w:t xml:space="preserve"> </w:t>
      </w:r>
      <w:r>
        <w:rPr>
          <w:rFonts w:ascii="宋体" w:hAnsi="宋体" w:eastAsia="宋体" w:cs="宋体"/>
          <w:spacing w:val="19"/>
          <w:w w:val="104"/>
          <w:sz w:val="18"/>
          <w:szCs w:val="18"/>
        </w:rPr>
        <w:t>则自主确定具体价格和计价方式。</w:t>
      </w:r>
    </w:p>
    <w:p>
      <w:pPr>
        <w:spacing w:before="58" w:line="319" w:lineRule="auto"/>
        <w:ind w:right="39"/>
        <w:rPr>
          <w:rFonts w:ascii="宋体" w:hAnsi="宋体" w:eastAsia="宋体" w:cs="宋体"/>
          <w:sz w:val="18"/>
          <w:szCs w:val="18"/>
        </w:rPr>
      </w:pPr>
      <w:r>
        <w:rPr>
          <w:rFonts w:ascii="宋体" w:hAnsi="宋体" w:eastAsia="宋体" w:cs="宋体"/>
          <w:spacing w:val="9"/>
          <w:w w:val="112"/>
          <w:sz w:val="18"/>
          <w:szCs w:val="18"/>
        </w:rPr>
        <w:t>2.公证机构在提供公证服务过程中，当事人委托办理鉴定、检验检测、翻译所需的费用，当事人委托公证机构指派人员到异地办理公证所需的差旅费，由当事人按</w:t>
      </w:r>
      <w:r>
        <w:rPr>
          <w:rFonts w:ascii="宋体" w:hAnsi="宋体" w:eastAsia="宋体" w:cs="宋体"/>
          <w:spacing w:val="48"/>
          <w:sz w:val="18"/>
          <w:szCs w:val="18"/>
        </w:rPr>
        <w:t xml:space="preserve"> </w:t>
      </w:r>
      <w:r>
        <w:rPr>
          <w:rFonts w:ascii="宋体" w:hAnsi="宋体" w:eastAsia="宋体" w:cs="宋体"/>
          <w:spacing w:val="19"/>
          <w:w w:val="103"/>
          <w:sz w:val="18"/>
          <w:szCs w:val="18"/>
        </w:rPr>
        <w:t>实际发生的费用另行支付。</w:t>
      </w:r>
    </w:p>
    <w:sectPr>
      <w:footerReference r:id="rId5" w:type="default"/>
      <w:pgSz w:w="16830" w:h="11900"/>
      <w:pgMar w:top="1011" w:right="719" w:bottom="1130" w:left="870" w:header="0" w:footer="10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9" w:lineRule="exact"/>
      <w:ind w:firstLine="7439"/>
      <w:textAlignment w:val="center"/>
    </w:pPr>
    <w:r>
      <w:drawing>
        <wp:inline distT="0" distB="0" distL="0" distR="0">
          <wp:extent cx="120650" cy="4381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120656" cy="444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9D0A93"/>
    <w:rsid w:val="661B0F65"/>
    <w:rsid w:val="72A51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110</TotalTime>
  <ScaleCrop>false</ScaleCrop>
  <LinksUpToDate>false</LinksUpToDate>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2021-12-08T00:48:00Z</dcterms:created>
  <dc:creator>lenovo</dc:creator>
  <cp:lastModifiedBy>晋城市晋城公证处</cp:lastModifiedBy>
  <cp:lastPrinted>2022-04-19T06:53:21Z</cp:lastPrinted>
  <dcterms:modified xsi:type="dcterms:W3CDTF">2022-04-19T08:40:26Z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2021-12-08T08:48:00Z</vt:filetime>
  </property>
  <property fmtid="{D5CDD505-2E9C-101B-9397-08002B2CF9AE}" pid="4" name="KSOProductBuildVer">
    <vt:lpwstr>2052-11.1.0.11636</vt:lpwstr>
  </property>
  <property fmtid="{D5CDD505-2E9C-101B-9397-08002B2CF9AE}" pid="5" name="ICV">
    <vt:lpwstr>AE99780373FE4934B3D6A226DC20CDD9</vt:lpwstr>
  </property>
</Properties>
</file>