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12752">
      <w:pPr>
        <w:widowControl/>
        <w:jc w:val="center"/>
        <w:rPr>
          <w:rFonts w:ascii="宋体" w:hAnsi="宋体" w:cs="宋体"/>
          <w:color w:val="auto"/>
          <w:kern w:val="0"/>
          <w:sz w:val="43"/>
          <w:szCs w:val="43"/>
        </w:rPr>
      </w:pPr>
      <w:r>
        <w:rPr>
          <w:rFonts w:ascii="宋体" w:hAnsi="宋体" w:cs="宋体"/>
          <w:color w:val="auto"/>
          <w:kern w:val="0"/>
          <w:sz w:val="43"/>
          <w:szCs w:val="43"/>
        </w:rPr>
        <w:t xml:space="preserve">  </w:t>
      </w:r>
    </w:p>
    <w:p w14:paraId="7350DA56">
      <w:pPr>
        <w:widowControl/>
        <w:jc w:val="center"/>
        <w:rPr>
          <w:rFonts w:ascii="宋体" w:hAnsi="宋体" w:cs="宋体"/>
          <w:color w:val="auto"/>
          <w:kern w:val="0"/>
          <w:sz w:val="43"/>
          <w:szCs w:val="43"/>
        </w:rPr>
      </w:pPr>
    </w:p>
    <w:p w14:paraId="7C560045">
      <w:pPr>
        <w:jc w:val="center"/>
        <w:rPr>
          <w:rFonts w:ascii="黑体" w:hAnsi="黑体" w:eastAsia="黑体" w:cs="黑体"/>
          <w:color w:val="auto"/>
          <w:kern w:val="0"/>
          <w:sz w:val="52"/>
          <w:szCs w:val="52"/>
        </w:rPr>
      </w:pPr>
      <w:r>
        <w:rPr>
          <w:rFonts w:hint="eastAsia" w:ascii="黑体" w:hAnsi="黑体" w:eastAsia="黑体" w:cs="黑体"/>
          <w:color w:val="auto"/>
          <w:kern w:val="0"/>
          <w:sz w:val="52"/>
          <w:szCs w:val="52"/>
        </w:rPr>
        <w:t>沁水县“十四五”沁河流域高质量发展及水利事业发展规划</w:t>
      </w:r>
    </w:p>
    <w:p w14:paraId="475B95E1">
      <w:pPr>
        <w:pStyle w:val="2"/>
        <w:ind w:firstLine="200"/>
        <w:rPr>
          <w:rFonts w:ascii="黑体" w:hAnsi="黑体" w:eastAsia="黑体" w:cs="黑体"/>
          <w:color w:val="auto"/>
          <w:kern w:val="0"/>
          <w:sz w:val="10"/>
          <w:szCs w:val="10"/>
        </w:rPr>
      </w:pPr>
    </w:p>
    <w:p w14:paraId="78506AC4">
      <w:pPr>
        <w:rPr>
          <w:color w:val="auto"/>
        </w:rPr>
      </w:pPr>
    </w:p>
    <w:p w14:paraId="4A7E820C">
      <w:pPr>
        <w:rPr>
          <w:color w:val="auto"/>
        </w:rPr>
      </w:pPr>
    </w:p>
    <w:p w14:paraId="52ACB093">
      <w:pPr>
        <w:rPr>
          <w:color w:val="auto"/>
        </w:rPr>
      </w:pPr>
    </w:p>
    <w:p w14:paraId="4F23AEA7">
      <w:pPr>
        <w:rPr>
          <w:color w:val="auto"/>
        </w:rPr>
      </w:pPr>
    </w:p>
    <w:p w14:paraId="08B6C07C">
      <w:pPr>
        <w:rPr>
          <w:color w:val="auto"/>
        </w:rPr>
      </w:pPr>
    </w:p>
    <w:p w14:paraId="79970D71">
      <w:pPr>
        <w:rPr>
          <w:color w:val="auto"/>
        </w:rPr>
      </w:pPr>
    </w:p>
    <w:p w14:paraId="05C4E184">
      <w:pPr>
        <w:rPr>
          <w:color w:val="auto"/>
        </w:rPr>
      </w:pPr>
    </w:p>
    <w:p w14:paraId="48C5D19B">
      <w:pPr>
        <w:rPr>
          <w:color w:val="auto"/>
        </w:rPr>
      </w:pPr>
    </w:p>
    <w:p w14:paraId="01B88576">
      <w:pPr>
        <w:rPr>
          <w:color w:val="auto"/>
        </w:rPr>
      </w:pPr>
    </w:p>
    <w:p w14:paraId="27D180F5">
      <w:pPr>
        <w:rPr>
          <w:color w:val="auto"/>
        </w:rPr>
      </w:pPr>
    </w:p>
    <w:p w14:paraId="29DB9AD2">
      <w:pPr>
        <w:rPr>
          <w:color w:val="auto"/>
        </w:rPr>
      </w:pPr>
    </w:p>
    <w:p w14:paraId="387AD776">
      <w:pPr>
        <w:rPr>
          <w:color w:val="auto"/>
        </w:rPr>
      </w:pPr>
    </w:p>
    <w:p w14:paraId="728B77AF">
      <w:pPr>
        <w:rPr>
          <w:color w:val="auto"/>
        </w:rPr>
      </w:pPr>
    </w:p>
    <w:p w14:paraId="46B50893">
      <w:pPr>
        <w:rPr>
          <w:color w:val="auto"/>
        </w:rPr>
      </w:pPr>
    </w:p>
    <w:p w14:paraId="1041B33E">
      <w:pPr>
        <w:rPr>
          <w:color w:val="auto"/>
        </w:rPr>
      </w:pPr>
    </w:p>
    <w:p w14:paraId="68F5DB35">
      <w:pPr>
        <w:rPr>
          <w:color w:val="auto"/>
        </w:rPr>
      </w:pPr>
    </w:p>
    <w:p w14:paraId="66E49905">
      <w:pPr>
        <w:pStyle w:val="2"/>
        <w:ind w:firstLine="480"/>
        <w:rPr>
          <w:color w:val="auto"/>
        </w:rPr>
      </w:pPr>
    </w:p>
    <w:p w14:paraId="392BC199">
      <w:pPr>
        <w:rPr>
          <w:color w:val="auto"/>
        </w:rPr>
      </w:pPr>
    </w:p>
    <w:p w14:paraId="1F7FE58E">
      <w:pPr>
        <w:rPr>
          <w:color w:val="auto"/>
        </w:rPr>
      </w:pPr>
    </w:p>
    <w:p w14:paraId="4AF17DA5">
      <w:pPr>
        <w:rPr>
          <w:color w:val="auto"/>
        </w:rPr>
      </w:pPr>
    </w:p>
    <w:p w14:paraId="077D7253">
      <w:pPr>
        <w:tabs>
          <w:tab w:val="left" w:pos="3484"/>
        </w:tabs>
        <w:jc w:val="left"/>
        <w:rPr>
          <w:color w:val="auto"/>
        </w:rPr>
      </w:pPr>
      <w:r>
        <w:rPr>
          <w:rFonts w:hint="eastAsia"/>
          <w:color w:val="auto"/>
        </w:rPr>
        <w:tab/>
      </w:r>
    </w:p>
    <w:p w14:paraId="1A7AEA8E">
      <w:pPr>
        <w:tabs>
          <w:tab w:val="left" w:pos="3484"/>
        </w:tabs>
        <w:jc w:val="left"/>
        <w:rPr>
          <w:color w:val="auto"/>
        </w:rPr>
      </w:pPr>
    </w:p>
    <w:p w14:paraId="45774C55">
      <w:pPr>
        <w:tabs>
          <w:tab w:val="left" w:pos="3484"/>
        </w:tabs>
        <w:jc w:val="left"/>
        <w:rPr>
          <w:color w:val="auto"/>
        </w:rPr>
      </w:pPr>
    </w:p>
    <w:p w14:paraId="3C9A0F15">
      <w:pPr>
        <w:tabs>
          <w:tab w:val="left" w:pos="3484"/>
        </w:tabs>
        <w:jc w:val="left"/>
        <w:rPr>
          <w:color w:val="auto"/>
        </w:rPr>
      </w:pPr>
    </w:p>
    <w:tbl>
      <w:tblPr>
        <w:tblStyle w:val="23"/>
        <w:tblW w:w="3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tblGrid>
      <w:tr w14:paraId="67C0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top w:val="nil"/>
              <w:left w:val="nil"/>
              <w:bottom w:val="nil"/>
              <w:right w:val="nil"/>
            </w:tcBorders>
          </w:tcPr>
          <w:p w14:paraId="71A4B7B3">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沁水县水务局</w:t>
            </w:r>
          </w:p>
        </w:tc>
      </w:tr>
      <w:tr w14:paraId="4BC9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top w:val="nil"/>
              <w:left w:val="nil"/>
              <w:bottom w:val="nil"/>
              <w:right w:val="nil"/>
            </w:tcBorders>
          </w:tcPr>
          <w:p w14:paraId="6FBC6683">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二〇二</w:t>
            </w:r>
            <w:r>
              <w:rPr>
                <w:rFonts w:hint="eastAsia" w:ascii="黑体" w:hAnsi="黑体" w:eastAsia="黑体" w:cs="黑体"/>
                <w:color w:val="auto"/>
                <w:sz w:val="36"/>
                <w:szCs w:val="36"/>
                <w:lang w:val="en-US" w:eastAsia="zh-CN"/>
              </w:rPr>
              <w:t>二</w:t>
            </w:r>
            <w:r>
              <w:rPr>
                <w:rFonts w:hint="eastAsia" w:ascii="黑体" w:hAnsi="黑体" w:eastAsia="黑体" w:cs="黑体"/>
                <w:color w:val="auto"/>
                <w:sz w:val="36"/>
                <w:szCs w:val="36"/>
              </w:rPr>
              <w:t>年八月</w:t>
            </w:r>
          </w:p>
        </w:tc>
      </w:tr>
    </w:tbl>
    <w:p w14:paraId="4150B8A3">
      <w:pPr>
        <w:pStyle w:val="6"/>
        <w:jc w:val="center"/>
        <w:rPr>
          <w:color w:val="auto"/>
        </w:rPr>
        <w:sectPr>
          <w:headerReference r:id="rId3" w:type="default"/>
          <w:footerReference r:id="rId4" w:type="default"/>
          <w:type w:val="continuous"/>
          <w:pgSz w:w="11906" w:h="16838"/>
          <w:pgMar w:top="1474" w:right="1701" w:bottom="1247" w:left="1701" w:header="850" w:footer="992" w:gutter="0"/>
          <w:pgNumType w:fmt="numberInDash" w:start="1"/>
          <w:cols w:space="0" w:num="1"/>
          <w:titlePg/>
          <w:docGrid w:type="lines" w:linePitch="312" w:charSpace="0"/>
        </w:sectPr>
      </w:pPr>
      <w:bookmarkStart w:id="0" w:name="_Toc13430"/>
      <w:bookmarkStart w:id="1" w:name="_Toc5272"/>
    </w:p>
    <w:p w14:paraId="05C46C52">
      <w:pPr>
        <w:pStyle w:val="6"/>
        <w:jc w:val="center"/>
        <w:rPr>
          <w:color w:val="auto"/>
        </w:rPr>
        <w:sectPr>
          <w:headerReference r:id="rId6" w:type="first"/>
          <w:footerReference r:id="rId7" w:type="first"/>
          <w:headerReference r:id="rId5" w:type="default"/>
          <w:pgSz w:w="11906" w:h="16838"/>
          <w:pgMar w:top="1531" w:right="1247" w:bottom="1247" w:left="1417" w:header="850" w:footer="992" w:gutter="0"/>
          <w:pgNumType w:fmt="numberInDash" w:start="1"/>
          <w:cols w:space="720" w:num="1"/>
          <w:titlePg/>
          <w:docGrid w:type="lines" w:linePitch="312" w:charSpace="0"/>
        </w:sectPr>
      </w:pPr>
    </w:p>
    <w:p w14:paraId="50E359A7">
      <w:pPr>
        <w:pStyle w:val="6"/>
        <w:keepNext/>
        <w:keepLines/>
        <w:adjustRightInd w:val="0"/>
        <w:snapToGrid w:val="0"/>
        <w:spacing w:line="360" w:lineRule="auto"/>
        <w:ind w:firstLine="3975" w:firstLineChars="900"/>
        <w:jc w:val="both"/>
        <w:rPr>
          <w:rFonts w:hint="eastAsia" w:ascii="仿宋" w:hAnsi="仿宋" w:eastAsia="仿宋" w:cs="仿宋"/>
          <w:b/>
          <w:color w:val="auto"/>
          <w:kern w:val="44"/>
          <w:sz w:val="44"/>
          <w:szCs w:val="28"/>
          <w:lang w:val="en-US" w:eastAsia="zh-CN" w:bidi="ar-SA"/>
        </w:rPr>
      </w:pPr>
      <w:bookmarkStart w:id="2" w:name="_Toc22777"/>
      <w:bookmarkStart w:id="3" w:name="_Toc11347"/>
      <w:bookmarkStart w:id="4" w:name="_Toc11292"/>
      <w:bookmarkStart w:id="5" w:name="_Toc29381"/>
      <w:bookmarkStart w:id="6" w:name="_Toc31242"/>
      <w:bookmarkStart w:id="7" w:name="_Toc8157"/>
      <w:r>
        <w:rPr>
          <w:rFonts w:hint="eastAsia"/>
          <w:b/>
          <w:bCs/>
          <w:color w:val="auto"/>
          <w:sz w:val="44"/>
          <w:szCs w:val="44"/>
        </w:rPr>
        <w:t>目  录</w:t>
      </w:r>
      <w:bookmarkEnd w:id="0"/>
      <w:bookmarkEnd w:id="1"/>
      <w:bookmarkEnd w:id="2"/>
      <w:bookmarkEnd w:id="3"/>
      <w:bookmarkEnd w:id="4"/>
      <w:bookmarkEnd w:id="5"/>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TOC \o "1-3" \h \u </w:instrText>
      </w:r>
      <w:r>
        <w:rPr>
          <w:rFonts w:hint="eastAsia" w:ascii="仿宋" w:hAnsi="仿宋" w:eastAsia="仿宋" w:cs="仿宋"/>
          <w:color w:val="auto"/>
          <w:sz w:val="28"/>
          <w:szCs w:val="28"/>
        </w:rPr>
        <w:fldChar w:fldCharType="separate"/>
      </w:r>
      <w:bookmarkEnd w:id="6"/>
      <w:bookmarkEnd w:id="7"/>
    </w:p>
    <w:p w14:paraId="142744E0">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_Toc26666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前  言</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_Toc26666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IV</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029BE634">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_Toc28685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第一章  基本情况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_Toc28685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975922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_Toc9959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  自然地理概况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_Toc9959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F9A3A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_Toc8711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1.1.1  地理位置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27A7964">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_Toc17650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1.1.2  地形地貌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8AFA0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1.1.3  气候气象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DD8FC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_Toc15206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1.1.4  河流水系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_Toc15206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B9932D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_Toc24130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1.1.5  地质与水文地质条件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_Toc24130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535ECB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  社会经济情况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6CB713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_Toc22653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1.2.1行政区域及人口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_Toc22653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E04644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_Toc3458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1.2.2国民经济发展现状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_Toc3458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48CEB19">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_Toc3092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第二章  “十三五”总结</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_Toc3092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6CD5B94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_Toc14248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   “十三五”成就</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_Toc14248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531053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_Toc32385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2.1.1  水资源节约集约利用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F89B239">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2.1.2  水生态修复与保护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D722C3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_Toc10696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2.1.3  乡村振兴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_Toc10696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42751FE">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_Toc17423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2.1.4  河库工程管理稳步推进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_Toc17423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0444598">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2.1.5  水旱灾害防御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A3BEDB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_Toc4470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2.1.6  农田水利建设稳步推进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_Toc4470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FB2EAB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_Toc7709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2.1.7  全面推行河长制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A1A178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_Toc16992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  存在问题与形势分析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_Toc16992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0BABCF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_Toc19555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2.2.1 存在问题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_Toc19555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331FB29">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_Toc2469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2.2.2 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_Toc2469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B50389F">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_Toc16620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第三章  “十四五”总体规划</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_Toc16620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- 29 -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72873DD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  指导思想和规划原则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D044C2D">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_Toc25820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3.1.1  指导思想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83E694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_Toc21834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3.1.2  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_Toc21834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32CBD6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  发展目标指标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06FDF6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_Toc13534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3.2.1 总体目标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_Toc13534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513A86F">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_Toc7574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3.2.2 规划指标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B26EA9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  规划依据及规划水平年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30A04B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3.3.1  规划依据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790D55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_Toc19139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3.3.2  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332EEB0">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_Toc9954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第四章  水资源节约集约利用</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_Toc9954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- 34 -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415E0E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 水资源评价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170486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_Toc32665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4.1.1 水资源量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_Toc32665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6A5513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_Toc20843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4.1.2 水质评价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_Toc20843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91773A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_Toc21953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4.2水资源开发利用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282E56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4.2.1 水资源开发利用现状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34C89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_Toc29996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4.2.2 水资源开发利用保护措施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_Toc29996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CC7A72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_Toc3571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  水资源供需形势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D139B8B">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4.3.1 需水预测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A36F12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_Toc32292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4.3.2 水量平衡分析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_Toc32292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162CE1">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 管网工程建设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7989EE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_Toc17236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4.4.1 管网工程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_Toc17236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E1CD14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_Toc11645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4.4.2 新建供水工程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_Toc11645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CEB9FFF">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_Toc26106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4.4.3 新建蓄水工程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_Toc26106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8147B58">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_Toc10891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第五章  水生态修复与保护</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_Toc10891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73CF53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_Toc23023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 沁河流域生态修复与保护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_Toc23023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66B9DD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_Toc16107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5.1.1 新建工程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_Toc16107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5D5C3C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_Toc14125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5.1.2 水系连通及水美乡村建设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_Toc14125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359D08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_Toc5813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5.2 汾河流域续鲁峪河(中村段)生态环境治理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_Toc5813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4FA4AD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_Toc9577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5.3 水土保持规划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_Toc9577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372BE2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.1  水土保持工程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34EC76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_Toc31132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.2  水土保持监督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_Toc31132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C9D0356">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_Toc11532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.3  动态监测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_Toc11532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7BF4304">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_Toc15544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第六章 乡村振兴水利保障能力建设</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_Toc15544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- 58 -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4AC167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_Toc28715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.1 农村供水工程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_Toc28715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AE061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_Toc19740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 农村饮用水水源保护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FF2E6D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_Toc13408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.2.1 水源地概况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0945A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_Toc6270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.2.2 水源保护措施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_Toc6270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E4B823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_Toc8660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 农村水电提升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_Toc8660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0A58C7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en-US" w:eastAsia="zh-CN"/>
        </w:rPr>
        <w:t>创建6座绿色小水电站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B0049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_Toc4546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3.2</w:t>
      </w:r>
      <w:r>
        <w:rPr>
          <w:rFonts w:hint="eastAsia" w:ascii="仿宋_GB2312" w:hAnsi="仿宋_GB2312" w:eastAsia="仿宋_GB2312" w:cs="仿宋_GB2312"/>
          <w:sz w:val="28"/>
          <w:szCs w:val="28"/>
        </w:rPr>
        <w:t xml:space="preserve"> 创建2座安全生产标准化水电站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_Toc4546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89EC2E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_Toc27542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6.3.3</w:t>
      </w:r>
      <w:r>
        <w:rPr>
          <w:rFonts w:hint="eastAsia" w:ascii="仿宋_GB2312" w:hAnsi="仿宋_GB2312" w:eastAsia="仿宋_GB2312" w:cs="仿宋_GB2312"/>
          <w:sz w:val="28"/>
          <w:szCs w:val="28"/>
        </w:rPr>
        <w:t xml:space="preserve"> 规划续建电站1处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734EA0">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_Toc13584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第七章 水旱灾害防御</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_Toc13584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A22D70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_Toc20589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 </w:t>
      </w:r>
      <w:r>
        <w:rPr>
          <w:rFonts w:hint="eastAsia" w:ascii="仿宋_GB2312" w:hAnsi="仿宋_GB2312" w:eastAsia="仿宋_GB2312" w:cs="仿宋_GB2312"/>
          <w:sz w:val="28"/>
          <w:szCs w:val="28"/>
        </w:rPr>
        <w:t>山洪灾害防治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_Toc20589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1BE837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_Toc24809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7.1.1 </w:t>
      </w:r>
      <w:r>
        <w:rPr>
          <w:rFonts w:hint="eastAsia" w:ascii="仿宋_GB2312" w:hAnsi="仿宋_GB2312" w:eastAsia="仿宋_GB2312" w:cs="仿宋_GB2312"/>
          <w:sz w:val="28"/>
          <w:szCs w:val="28"/>
        </w:rPr>
        <w:t>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B2D413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_Toc27117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7.1.2 非工程措施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_Toc27117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2D1427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_Toc14568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7.2 防御应急技能提升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_Toc14568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C1C69DC">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7.3 河道防洪能力提升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E931645">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_Toc27604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kern w:val="44"/>
          <w:sz w:val="28"/>
          <w:szCs w:val="28"/>
          <w:lang w:val="en-US" w:eastAsia="zh-CN" w:bidi="ar-SA"/>
        </w:rPr>
        <w:t>第八章 农田灌溉提升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_Toc27604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- 65 -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19F2DB2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_Toc29076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8.1 中型灌区续建配套与节水改造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217D91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_Toc7931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8.2 农业水价综合改革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E886AC5">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_Toc30080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rPr>
        <w:t>章  节水型社会提升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_Toc30080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0B21CE6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.1  农业节水规划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F1FA12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_Toc18963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.2  工业节水规划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CCB5B0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_Toc19838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.3  城镇节水规划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733C7D">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_Toc826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.4  非常规水利用规划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880794D">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_Toc3326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第十章  水利管理能力提升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_Toc3326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- 76 -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1F0D438D">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_Toc28159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.1  河长制管理能力提升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_Toc28159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29401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_Toc4737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.2  水政执法能力提升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8524561">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_Toc18200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  水库运行管理能力提升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_Toc18200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95E45E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_Toc6382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.3.1 水库清淤减淤扩容增效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_Toc6382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DC54EC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.3.2 库区周边生态治理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A9781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_Toc23668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.3.3 水库安全运行管理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26AF69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 xml:space="preserve">.4  </w:t>
      </w:r>
      <w:r>
        <w:rPr>
          <w:rFonts w:hint="eastAsia" w:ascii="仿宋_GB2312" w:hAnsi="仿宋_GB2312" w:eastAsia="仿宋_GB2312" w:cs="仿宋_GB2312"/>
          <w:kern w:val="0"/>
          <w:sz w:val="28"/>
          <w:szCs w:val="28"/>
        </w:rPr>
        <w:t>深化体制机制改革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4FC518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_Toc5646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.5  建设智慧水利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_Toc5646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C546D2E">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_Toc25323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rPr>
        <w:t>章  投资估算及资金筹措</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_Toc25323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74DE0C2">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_Toc23529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  “十四五”水利投资规划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_Toc23529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24F17E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_Toc26845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.1.1  投资匡算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_Toc26845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C7C6F6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_Toc22056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.2  投资实施计划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74DF3E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.3 资金筹措及保障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123BF0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_Toc29340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 效益评估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_Toc29340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16C53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.4.1 经济效益分析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6B7F6AE">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.4.2 社会效益分析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482146">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_Toc5038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.4.3 生态环境效益分析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2B08120">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_Toc5040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章  保障措施</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_Toc5040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- 87 -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6EDC9F8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_Toc27098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.1 前期保障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_Toc27098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15D34F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_Toc18109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.2 制度保障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_Toc18109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E177B5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_Toc11297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.3 科技保障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_Toc11297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18F439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_Toc31035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.4 人才保障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_Toc31035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A0511D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.5 资金保障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CFC233">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_Toc386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附表1</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_Toc386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4D4DB58F">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_Toc29539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附表2</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_Toc29539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632BE94">
      <w:pPr>
        <w:pStyle w:val="19"/>
        <w:tabs>
          <w:tab w:val="right" w:leader="dot" w:pos="9242"/>
        </w:tabs>
        <w:spacing w:line="360" w:lineRule="auto"/>
        <w:rPr>
          <w:b/>
          <w:bCs/>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_Toc21253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附表3</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_Toc21253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CE88FC0">
      <w:pPr>
        <w:keepNext/>
        <w:keepLines/>
        <w:adjustRightInd w:val="0"/>
        <w:snapToGrid w:val="0"/>
        <w:spacing w:line="360" w:lineRule="auto"/>
        <w:ind w:firstLine="1890" w:firstLineChars="900"/>
        <w:jc w:val="both"/>
        <w:rPr>
          <w:rFonts w:ascii="仿宋" w:hAnsi="仿宋" w:eastAsia="仿宋" w:cs="仿宋"/>
          <w:color w:val="auto"/>
          <w:szCs w:val="28"/>
        </w:rPr>
      </w:pPr>
      <w:r>
        <w:rPr>
          <w:rFonts w:hint="eastAsia" w:ascii="仿宋" w:hAnsi="仿宋" w:eastAsia="仿宋" w:cs="仿宋"/>
          <w:color w:val="auto"/>
          <w:szCs w:val="28"/>
        </w:rPr>
        <w:fldChar w:fldCharType="end"/>
      </w:r>
      <w:bookmarkStart w:id="8" w:name="_Toc9592"/>
      <w:bookmarkStart w:id="9" w:name="_Toc3393"/>
      <w:bookmarkStart w:id="10" w:name="_Toc14393"/>
      <w:bookmarkStart w:id="11" w:name="_Toc14257"/>
      <w:bookmarkStart w:id="12" w:name="_Toc32402"/>
      <w:bookmarkStart w:id="13" w:name="_Toc18885"/>
      <w:bookmarkStart w:id="14" w:name="_Toc28529"/>
      <w:bookmarkStart w:id="15" w:name="_Toc1963"/>
      <w:bookmarkStart w:id="16" w:name="_Toc10220"/>
      <w:bookmarkStart w:id="17" w:name="_Toc8647"/>
    </w:p>
    <w:bookmarkEnd w:id="8"/>
    <w:bookmarkEnd w:id="9"/>
    <w:p w14:paraId="11F9271B">
      <w:pPr>
        <w:rPr>
          <w:rStyle w:val="41"/>
          <w:b/>
          <w:color w:val="auto"/>
        </w:rPr>
      </w:pPr>
      <w:bookmarkStart w:id="18" w:name="_Toc3372"/>
      <w:bookmarkStart w:id="19" w:name="_Toc23624"/>
      <w:bookmarkStart w:id="20" w:name="_Toc18868"/>
      <w:r>
        <w:rPr>
          <w:rStyle w:val="41"/>
          <w:b/>
          <w:color w:val="auto"/>
        </w:rPr>
        <w:br w:type="page"/>
      </w:r>
    </w:p>
    <w:p w14:paraId="556E13BF">
      <w:pPr>
        <w:pStyle w:val="6"/>
        <w:spacing w:line="480" w:lineRule="auto"/>
        <w:jc w:val="center"/>
        <w:rPr>
          <w:rFonts w:eastAsia="黑体"/>
          <w:b w:val="0"/>
          <w:bCs/>
          <w:snapToGrid w:val="0"/>
          <w:color w:val="auto"/>
          <w:kern w:val="0"/>
        </w:rPr>
      </w:pPr>
      <w:bookmarkStart w:id="21" w:name="_Toc26666"/>
      <w:r>
        <w:rPr>
          <w:rStyle w:val="41"/>
          <w:b/>
          <w:color w:val="auto"/>
        </w:rPr>
        <w:t>前  言</w:t>
      </w:r>
      <w:bookmarkEnd w:id="10"/>
      <w:bookmarkEnd w:id="11"/>
      <w:bookmarkEnd w:id="12"/>
      <w:bookmarkEnd w:id="13"/>
      <w:bookmarkEnd w:id="18"/>
      <w:bookmarkEnd w:id="19"/>
      <w:bookmarkEnd w:id="20"/>
      <w:bookmarkEnd w:id="21"/>
    </w:p>
    <w:p w14:paraId="58A16EB8">
      <w:pPr>
        <w:spacing w:line="360" w:lineRule="auto"/>
        <w:ind w:firstLine="560" w:firstLineChars="200"/>
        <w:rPr>
          <w:rFonts w:eastAsia="仿宋_GB2312"/>
          <w:color w:val="auto"/>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时期是</w:t>
      </w:r>
      <w:r>
        <w:rPr>
          <w:rFonts w:hint="eastAsia" w:eastAsia="仿宋_GB2312"/>
          <w:snapToGrid w:val="0"/>
          <w:color w:val="auto"/>
          <w:kern w:val="0"/>
          <w:sz w:val="28"/>
          <w:szCs w:val="28"/>
        </w:rPr>
        <w:t>我国由全面建成小康社会向基本实现社会主义现代化迈进的关键时期，是“两个一百年”的历史交汇期，是积极应对国内社会主要矛盾转变和国际政治格局深刻变化的战略机遇期，</w:t>
      </w:r>
      <w:r>
        <w:rPr>
          <w:rFonts w:eastAsia="仿宋_GB2312"/>
          <w:snapToGrid w:val="0"/>
          <w:color w:val="auto"/>
          <w:kern w:val="0"/>
          <w:sz w:val="28"/>
          <w:szCs w:val="28"/>
        </w:rPr>
        <w:t>也是</w:t>
      </w:r>
      <w:r>
        <w:rPr>
          <w:rFonts w:hint="eastAsia" w:eastAsia="仿宋_GB2312"/>
          <w:snapToGrid w:val="0"/>
          <w:color w:val="auto"/>
          <w:kern w:val="0"/>
          <w:sz w:val="28"/>
          <w:szCs w:val="28"/>
        </w:rPr>
        <w:t>继续推进水利改革</w:t>
      </w:r>
      <w:r>
        <w:rPr>
          <w:rFonts w:eastAsia="仿宋_GB2312"/>
          <w:snapToGrid w:val="0"/>
          <w:color w:val="auto"/>
          <w:kern w:val="0"/>
          <w:sz w:val="28"/>
          <w:szCs w:val="28"/>
        </w:rPr>
        <w:t>至关重要的时期。依据</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&lt;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r>
        <w:rPr>
          <w:rFonts w:eastAsia="仿宋_GB2312"/>
          <w:snapToGrid w:val="0"/>
          <w:color w:val="auto"/>
          <w:kern w:val="0"/>
          <w:sz w:val="28"/>
          <w:szCs w:val="28"/>
        </w:rPr>
        <w:t>及</w:t>
      </w:r>
      <w:r>
        <w:rPr>
          <w:rFonts w:hint="eastAsia" w:eastAsia="仿宋_GB2312"/>
          <w:snapToGrid w:val="0"/>
          <w:color w:val="auto"/>
          <w:kern w:val="0"/>
          <w:sz w:val="28"/>
          <w:szCs w:val="28"/>
        </w:rPr>
        <w:t>习近平总书记在黄河流域生态保护和高质量发展及视察山西时的重要</w:t>
      </w:r>
      <w:r>
        <w:rPr>
          <w:rFonts w:eastAsia="仿宋_GB2312"/>
          <w:snapToGrid w:val="0"/>
          <w:color w:val="auto"/>
          <w:kern w:val="0"/>
          <w:sz w:val="28"/>
          <w:szCs w:val="28"/>
        </w:rPr>
        <w:t>讲话</w:t>
      </w:r>
      <w:r>
        <w:rPr>
          <w:rFonts w:hint="eastAsia" w:eastAsia="仿宋_GB2312"/>
          <w:snapToGrid w:val="0"/>
          <w:color w:val="auto"/>
          <w:kern w:val="0"/>
          <w:sz w:val="28"/>
          <w:szCs w:val="28"/>
        </w:rPr>
        <w:t>和重要指示</w:t>
      </w:r>
      <w:r>
        <w:rPr>
          <w:rFonts w:eastAsia="仿宋_GB2312"/>
          <w:snapToGrid w:val="0"/>
          <w:color w:val="auto"/>
          <w:kern w:val="0"/>
          <w:sz w:val="28"/>
          <w:szCs w:val="28"/>
        </w:rPr>
        <w:t>精神，</w:t>
      </w:r>
      <w:r>
        <w:rPr>
          <w:rFonts w:hint="eastAsia" w:eastAsia="仿宋_GB2312"/>
          <w:snapToGrid w:val="0"/>
          <w:color w:val="auto"/>
          <w:kern w:val="0"/>
          <w:sz w:val="28"/>
          <w:szCs w:val="28"/>
        </w:rPr>
        <w:t>以提升我县水生态环境质量我目标，</w:t>
      </w:r>
      <w:r>
        <w:rPr>
          <w:rFonts w:eastAsia="仿宋_GB2312"/>
          <w:snapToGrid w:val="0"/>
          <w:color w:val="auto"/>
          <w:kern w:val="0"/>
          <w:sz w:val="28"/>
          <w:szCs w:val="28"/>
        </w:rPr>
        <w:t>综合考虑我</w:t>
      </w:r>
      <w:r>
        <w:rPr>
          <w:rFonts w:hint="eastAsia" w:eastAsia="仿宋_GB2312"/>
          <w:snapToGrid w:val="0"/>
          <w:color w:val="auto"/>
          <w:kern w:val="0"/>
          <w:sz w:val="28"/>
          <w:szCs w:val="28"/>
        </w:rPr>
        <w:t>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时期的</w:t>
      </w:r>
      <w:r>
        <w:rPr>
          <w:rFonts w:hint="eastAsia" w:eastAsia="仿宋_GB2312"/>
          <w:snapToGrid w:val="0"/>
          <w:color w:val="auto"/>
          <w:kern w:val="0"/>
          <w:sz w:val="28"/>
          <w:szCs w:val="28"/>
        </w:rPr>
        <w:t>沁河流域高质量发展及</w:t>
      </w:r>
      <w:r>
        <w:rPr>
          <w:rFonts w:eastAsia="仿宋_GB2312"/>
          <w:snapToGrid w:val="0"/>
          <w:color w:val="auto"/>
          <w:kern w:val="0"/>
          <w:sz w:val="28"/>
          <w:szCs w:val="28"/>
        </w:rPr>
        <w:t>水利改革发展、经济社会发展目标、水安全保障能力的新形势、新要求，于</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月启动本规划编制工作。</w:t>
      </w:r>
    </w:p>
    <w:p w14:paraId="4C3EEEA1">
      <w:pPr>
        <w:spacing w:line="360" w:lineRule="auto"/>
        <w:ind w:firstLine="560" w:firstLineChars="200"/>
        <w:rPr>
          <w:rFonts w:eastAsia="仿宋_GB2312"/>
          <w:snapToGrid w:val="0"/>
          <w:color w:val="auto"/>
          <w:kern w:val="0"/>
          <w:sz w:val="28"/>
          <w:szCs w:val="28"/>
        </w:rPr>
      </w:pPr>
      <w:r>
        <w:rPr>
          <w:rFonts w:hint="eastAsia" w:ascii="仿宋" w:hAnsi="仿宋" w:eastAsia="仿宋" w:cs="仿宋"/>
          <w:color w:val="auto"/>
          <w:kern w:val="0"/>
          <w:sz w:val="28"/>
          <w:szCs w:val="28"/>
        </w:rPr>
        <w:t>“十四五”期间，我县水利改革发展将</w:t>
      </w:r>
      <w:r>
        <w:rPr>
          <w:rFonts w:ascii="仿宋" w:hAnsi="仿宋" w:eastAsia="仿宋" w:cs="仿宋"/>
          <w:color w:val="auto"/>
          <w:kern w:val="0"/>
          <w:sz w:val="28"/>
          <w:szCs w:val="28"/>
        </w:rPr>
        <w:t>以习近平新时代中国特色社会主义思想为指导，</w:t>
      </w:r>
      <w:r>
        <w:rPr>
          <w:rFonts w:hint="eastAsia" w:ascii="仿宋" w:hAnsi="仿宋" w:eastAsia="仿宋" w:cs="仿宋"/>
          <w:color w:val="auto"/>
          <w:kern w:val="0"/>
          <w:sz w:val="28"/>
          <w:szCs w:val="28"/>
        </w:rPr>
        <w:t>按照“严保护、重治理、提质量”的思路，提升水生态系统质量和稳定性，深入贯彻落实“三新”即新发展阶段、新发展理念、新发展格局对水利工作的总要求，紧扣治水主要矛盾的变化，针对水利发展不平衡不充分的问题，全面推动水源、 水权、水利、水工、水务“五水综改”，加快补齐水利基础设施短板，把保障国家水安全和满足人民群众日益增长的持续水安全、优质水资源、健康水生态、宜居水环境、先进水文化需求作为根本目的，</w:t>
      </w:r>
      <w:r>
        <w:rPr>
          <w:rFonts w:eastAsia="仿宋_GB2312"/>
          <w:snapToGrid w:val="0"/>
          <w:color w:val="auto"/>
          <w:kern w:val="0"/>
          <w:sz w:val="28"/>
          <w:szCs w:val="28"/>
        </w:rPr>
        <w:t>积极践行新时期治水思路，大力推进水利改革发展，切实提高水安全保障能力</w:t>
      </w:r>
      <w:r>
        <w:rPr>
          <w:rFonts w:hint="eastAsia" w:eastAsia="仿宋_GB2312"/>
          <w:snapToGrid w:val="0"/>
          <w:color w:val="auto"/>
          <w:kern w:val="0"/>
          <w:sz w:val="28"/>
          <w:szCs w:val="28"/>
        </w:rPr>
        <w:t>。</w:t>
      </w:r>
      <w:r>
        <w:rPr>
          <w:rFonts w:eastAsia="仿宋_GB2312"/>
          <w:snapToGrid w:val="0"/>
          <w:color w:val="auto"/>
          <w:kern w:val="0"/>
          <w:sz w:val="28"/>
          <w:szCs w:val="28"/>
        </w:rPr>
        <w:t>我</w:t>
      </w:r>
      <w:r>
        <w:rPr>
          <w:rFonts w:hint="eastAsia" w:eastAsia="仿宋_GB2312"/>
          <w:snapToGrid w:val="0"/>
          <w:color w:val="auto"/>
          <w:kern w:val="0"/>
          <w:sz w:val="28"/>
          <w:szCs w:val="28"/>
        </w:rPr>
        <w:t>县</w:t>
      </w:r>
      <w:r>
        <w:rPr>
          <w:rFonts w:eastAsia="仿宋_GB2312"/>
          <w:snapToGrid w:val="0"/>
          <w:color w:val="auto"/>
          <w:kern w:val="0"/>
          <w:sz w:val="28"/>
          <w:szCs w:val="28"/>
        </w:rPr>
        <w:t>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”沁河流域高质量发展及水利事业</w:t>
      </w:r>
      <w:r>
        <w:rPr>
          <w:rFonts w:eastAsia="仿宋_GB2312"/>
          <w:snapToGrid w:val="0"/>
          <w:color w:val="auto"/>
          <w:kern w:val="0"/>
          <w:sz w:val="28"/>
          <w:szCs w:val="28"/>
        </w:rPr>
        <w:t>发展作为全</w:t>
      </w:r>
      <w:r>
        <w:rPr>
          <w:rFonts w:hint="eastAsia" w:eastAsia="仿宋_GB2312"/>
          <w:snapToGrid w:val="0"/>
          <w:color w:val="auto"/>
          <w:kern w:val="0"/>
          <w:sz w:val="28"/>
          <w:szCs w:val="28"/>
        </w:rPr>
        <w:t>县</w:t>
      </w:r>
      <w:r>
        <w:rPr>
          <w:rFonts w:eastAsia="仿宋_GB2312"/>
          <w:snapToGrid w:val="0"/>
          <w:color w:val="auto"/>
          <w:kern w:val="0"/>
          <w:sz w:val="28"/>
          <w:szCs w:val="28"/>
        </w:rPr>
        <w:t>国民经济和社会发展的重中之重。因此，编制好我</w:t>
      </w:r>
      <w:r>
        <w:rPr>
          <w:rFonts w:hint="eastAsia" w:eastAsia="仿宋_GB2312"/>
          <w:snapToGrid w:val="0"/>
          <w:color w:val="auto"/>
          <w:kern w:val="0"/>
          <w:sz w:val="28"/>
          <w:szCs w:val="28"/>
        </w:rPr>
        <w:t>县“十四五”沁河流域高质量发展及水利事业发展规划</w:t>
      </w:r>
      <w:r>
        <w:rPr>
          <w:rFonts w:eastAsia="仿宋_GB2312"/>
          <w:snapToGrid w:val="0"/>
          <w:color w:val="auto"/>
          <w:kern w:val="0"/>
          <w:sz w:val="28"/>
          <w:szCs w:val="28"/>
        </w:rPr>
        <w:t>，对于明确今后五年水利改革发展的目标任务、主攻方向、建设布局和体制机制，确保各项水利发展目标任务符合我</w:t>
      </w:r>
      <w:r>
        <w:rPr>
          <w:rFonts w:hint="eastAsia" w:eastAsia="仿宋_GB2312"/>
          <w:snapToGrid w:val="0"/>
          <w:color w:val="auto"/>
          <w:kern w:val="0"/>
          <w:sz w:val="28"/>
          <w:szCs w:val="28"/>
        </w:rPr>
        <w:t>县</w:t>
      </w:r>
      <w:r>
        <w:rPr>
          <w:rFonts w:eastAsia="仿宋_GB2312"/>
          <w:snapToGrid w:val="0"/>
          <w:color w:val="auto"/>
          <w:kern w:val="0"/>
          <w:sz w:val="28"/>
          <w:szCs w:val="28"/>
        </w:rPr>
        <w:t>经济社会发展的新形势和转型综改试验区建设的新要求，确保深化水利改革在重要领域和关键环节取得决定性成果具有十分重要的意义。</w:t>
      </w:r>
    </w:p>
    <w:p w14:paraId="0326482E">
      <w:pPr>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为确保规划编制工作的顺利开展，</w:t>
      </w:r>
      <w:r>
        <w:rPr>
          <w:rFonts w:hint="eastAsia" w:eastAsia="仿宋_GB2312"/>
          <w:snapToGrid w:val="0"/>
          <w:color w:val="auto"/>
          <w:kern w:val="0"/>
          <w:sz w:val="28"/>
          <w:szCs w:val="28"/>
        </w:rPr>
        <w:t>沁水县发展和改革局</w:t>
      </w:r>
      <w:r>
        <w:rPr>
          <w:rFonts w:eastAsia="仿宋_GB2312"/>
          <w:snapToGrid w:val="0"/>
          <w:color w:val="auto"/>
          <w:kern w:val="0"/>
          <w:sz w:val="28"/>
          <w:szCs w:val="28"/>
        </w:rPr>
        <w:t>印发了</w:t>
      </w:r>
      <w:r>
        <w:rPr>
          <w:rFonts w:hint="eastAsia" w:eastAsia="仿宋_GB2312"/>
          <w:snapToGrid w:val="0"/>
          <w:color w:val="auto"/>
          <w:kern w:val="0"/>
          <w:sz w:val="28"/>
          <w:szCs w:val="28"/>
        </w:rPr>
        <w:t>《关于加快推进“十四五”规划编制相关工作的通知》（沁规划办函</w:t>
      </w:r>
      <w:r>
        <w:rPr>
          <w:rFonts w:hint="eastAsia" w:ascii="Times New Roman" w:hAnsi="Times New Roman" w:eastAsia="仿宋_GB2312"/>
          <w:snapToGrid w:val="0"/>
          <w:color w:val="auto"/>
          <w:kern w:val="0"/>
          <w:sz w:val="28"/>
          <w:szCs w:val="28"/>
        </w:rPr>
        <w:t>〔</w:t>
      </w:r>
      <w:r>
        <w:rPr>
          <w:rFonts w:ascii="Times New Roman" w:hAnsi="Times New Roman" w:cs="仿宋_GB2312"/>
          <w:color w:val="auto"/>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cs="仿宋_GB2312"/>
          <w:color w:val="auto"/>
          <w:sz w:val="28"/>
          <w:szCs w:val="28"/>
        </w:rPr>
        <w:t>4</w:t>
      </w:r>
      <w:r>
        <w:rPr>
          <w:rFonts w:hint="eastAsia" w:eastAsia="仿宋_GB2312"/>
          <w:snapToGrid w:val="0"/>
          <w:color w:val="auto"/>
          <w:kern w:val="0"/>
          <w:sz w:val="28"/>
          <w:szCs w:val="28"/>
        </w:rPr>
        <w:t>号）</w:t>
      </w:r>
      <w:r>
        <w:rPr>
          <w:rFonts w:eastAsia="仿宋_GB2312"/>
          <w:snapToGrid w:val="0"/>
          <w:color w:val="auto"/>
          <w:kern w:val="0"/>
          <w:sz w:val="28"/>
          <w:szCs w:val="28"/>
        </w:rPr>
        <w:t>，</w:t>
      </w:r>
      <w:r>
        <w:rPr>
          <w:rFonts w:hint="eastAsia" w:eastAsia="仿宋_GB2312"/>
          <w:snapToGrid w:val="0"/>
          <w:color w:val="auto"/>
          <w:kern w:val="0"/>
          <w:sz w:val="28"/>
          <w:szCs w:val="28"/>
        </w:rPr>
        <w:t>明确了专项规划任务</w:t>
      </w:r>
      <w:r>
        <w:rPr>
          <w:rFonts w:eastAsia="仿宋_GB2312"/>
          <w:snapToGrid w:val="0"/>
          <w:color w:val="auto"/>
          <w:kern w:val="0"/>
          <w:sz w:val="28"/>
          <w:szCs w:val="28"/>
        </w:rPr>
        <w:t>，委托晋城市水利</w:t>
      </w:r>
      <w:r>
        <w:rPr>
          <w:rFonts w:hint="eastAsia" w:eastAsia="仿宋_GB2312"/>
          <w:snapToGrid w:val="0"/>
          <w:color w:val="auto"/>
          <w:kern w:val="0"/>
          <w:sz w:val="28"/>
          <w:szCs w:val="28"/>
        </w:rPr>
        <w:t>勘测设计</w:t>
      </w:r>
      <w:r>
        <w:rPr>
          <w:rFonts w:eastAsia="仿宋_GB2312"/>
          <w:snapToGrid w:val="0"/>
          <w:color w:val="auto"/>
          <w:kern w:val="0"/>
          <w:sz w:val="28"/>
          <w:szCs w:val="28"/>
        </w:rPr>
        <w:t>院编制，在分管领导的组织协调下，经过各科室工作人员的辛勤工作和共同努力，我</w:t>
      </w:r>
      <w:r>
        <w:rPr>
          <w:rFonts w:hint="eastAsia" w:eastAsia="仿宋_GB2312"/>
          <w:snapToGrid w:val="0"/>
          <w:color w:val="auto"/>
          <w:kern w:val="0"/>
          <w:sz w:val="28"/>
          <w:szCs w:val="28"/>
        </w:rPr>
        <w:t>县“十四五”沁河流域高质量发展及水利事业</w:t>
      </w:r>
      <w:r>
        <w:rPr>
          <w:rFonts w:eastAsia="仿宋_GB2312"/>
          <w:snapToGrid w:val="0"/>
          <w:color w:val="auto"/>
          <w:kern w:val="0"/>
          <w:sz w:val="28"/>
          <w:szCs w:val="28"/>
        </w:rPr>
        <w:t>发展规划编制工作已圆满完成。有不妥之处请各位领导、</w:t>
      </w:r>
      <w:r>
        <w:rPr>
          <w:rFonts w:hint="eastAsia" w:eastAsia="仿宋_GB2312"/>
          <w:snapToGrid w:val="0"/>
          <w:color w:val="auto"/>
          <w:kern w:val="0"/>
          <w:sz w:val="28"/>
          <w:szCs w:val="28"/>
        </w:rPr>
        <w:t>专家</w:t>
      </w:r>
      <w:r>
        <w:rPr>
          <w:rFonts w:eastAsia="仿宋_GB2312"/>
          <w:snapToGrid w:val="0"/>
          <w:color w:val="auto"/>
          <w:kern w:val="0"/>
          <w:sz w:val="28"/>
          <w:szCs w:val="28"/>
        </w:rPr>
        <w:t>批评、指正</w:t>
      </w:r>
      <w:r>
        <w:rPr>
          <w:rFonts w:hint="eastAsia" w:eastAsia="仿宋_GB2312"/>
          <w:snapToGrid w:val="0"/>
          <w:color w:val="auto"/>
          <w:kern w:val="0"/>
          <w:sz w:val="28"/>
          <w:szCs w:val="28"/>
        </w:rPr>
        <w:t>。</w:t>
      </w:r>
    </w:p>
    <w:p w14:paraId="7ED028A1">
      <w:pPr>
        <w:snapToGrid w:val="0"/>
        <w:spacing w:line="560" w:lineRule="exact"/>
        <w:rPr>
          <w:b/>
          <w:color w:val="auto"/>
          <w:kern w:val="44"/>
          <w:sz w:val="44"/>
        </w:rPr>
        <w:sectPr>
          <w:footerReference r:id="rId8" w:type="default"/>
          <w:pgSz w:w="11906" w:h="16838"/>
          <w:pgMar w:top="1531" w:right="1247" w:bottom="1247" w:left="1417" w:header="850" w:footer="992" w:gutter="0"/>
          <w:pgNumType w:fmt="upperRoman" w:start="1"/>
          <w:cols w:space="720" w:num="1"/>
          <w:docGrid w:type="lines" w:linePitch="312" w:charSpace="0"/>
        </w:sectPr>
      </w:pPr>
    </w:p>
    <w:p w14:paraId="5210783D">
      <w:pPr>
        <w:pStyle w:val="6"/>
        <w:jc w:val="center"/>
        <w:rPr>
          <w:color w:val="auto"/>
        </w:rPr>
      </w:pPr>
      <w:bookmarkStart w:id="22" w:name="_Toc14006"/>
      <w:bookmarkStart w:id="23" w:name="_Toc28685"/>
      <w:bookmarkStart w:id="24" w:name="_Toc6434"/>
      <w:bookmarkStart w:id="25" w:name="_Toc13057"/>
      <w:r>
        <w:rPr>
          <w:rFonts w:hint="eastAsia"/>
          <w:color w:val="auto"/>
        </w:rPr>
        <w:t xml:space="preserve">第一章  </w:t>
      </w:r>
      <w:r>
        <w:rPr>
          <w:color w:val="auto"/>
        </w:rPr>
        <w:t>基本情况</w:t>
      </w:r>
      <w:bookmarkEnd w:id="22"/>
      <w:bookmarkEnd w:id="23"/>
      <w:bookmarkEnd w:id="24"/>
      <w:bookmarkEnd w:id="25"/>
    </w:p>
    <w:bookmarkEnd w:id="14"/>
    <w:bookmarkEnd w:id="15"/>
    <w:bookmarkEnd w:id="16"/>
    <w:bookmarkEnd w:id="17"/>
    <w:p w14:paraId="4235E0D0">
      <w:pPr>
        <w:pStyle w:val="7"/>
        <w:numPr>
          <w:ilvl w:val="1"/>
          <w:numId w:val="1"/>
        </w:numPr>
        <w:rPr>
          <w:color w:val="auto"/>
        </w:rPr>
        <w:sectPr>
          <w:footerReference r:id="rId9" w:type="default"/>
          <w:pgSz w:w="11906" w:h="16838"/>
          <w:pgMar w:top="1531" w:right="1247" w:bottom="1247" w:left="1417" w:header="850" w:footer="992" w:gutter="0"/>
          <w:pgNumType w:fmt="numberInDash" w:start="1"/>
          <w:cols w:space="720" w:num="1"/>
          <w:docGrid w:type="lines" w:linePitch="312" w:charSpace="0"/>
        </w:sectPr>
      </w:pPr>
      <w:bookmarkStart w:id="26" w:name="_Toc14830"/>
      <w:bookmarkStart w:id="27" w:name="_Toc12729"/>
      <w:bookmarkStart w:id="28" w:name="_Toc2610"/>
      <w:bookmarkStart w:id="29" w:name="_Toc32566"/>
    </w:p>
    <w:p w14:paraId="0264B00D">
      <w:pPr>
        <w:pStyle w:val="7"/>
        <w:rPr>
          <w:color w:val="auto"/>
        </w:rPr>
      </w:pPr>
      <w:bookmarkStart w:id="30" w:name="_Toc9959"/>
      <w:bookmarkStart w:id="31" w:name="_Toc19397"/>
      <w:bookmarkStart w:id="32" w:name="_Toc13062"/>
      <w:bookmarkStart w:id="33" w:name="_Toc6212"/>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color w:val="auto"/>
        </w:rPr>
        <w:t xml:space="preserve"> </w:t>
      </w:r>
      <w:r>
        <w:rPr>
          <w:rFonts w:hint="eastAsia"/>
          <w:color w:val="auto"/>
        </w:rPr>
        <w:t xml:space="preserve"> </w:t>
      </w:r>
      <w:r>
        <w:rPr>
          <w:color w:val="auto"/>
        </w:rPr>
        <w:t>自然地理概况</w:t>
      </w:r>
      <w:bookmarkEnd w:id="26"/>
      <w:bookmarkEnd w:id="27"/>
      <w:bookmarkEnd w:id="28"/>
      <w:bookmarkEnd w:id="29"/>
      <w:bookmarkEnd w:id="30"/>
      <w:bookmarkEnd w:id="31"/>
      <w:bookmarkEnd w:id="32"/>
      <w:bookmarkEnd w:id="33"/>
    </w:p>
    <w:p w14:paraId="720CCCB5">
      <w:pPr>
        <w:pStyle w:val="8"/>
        <w:rPr>
          <w:color w:val="auto"/>
        </w:rPr>
      </w:pPr>
      <w:bookmarkStart w:id="34" w:name="_Toc28619"/>
      <w:bookmarkStart w:id="35" w:name="_Toc11841"/>
      <w:bookmarkStart w:id="36" w:name="_Toc12360"/>
      <w:bookmarkStart w:id="37" w:name="_Toc6640"/>
      <w:bookmarkStart w:id="38" w:name="_Toc10432"/>
      <w:bookmarkStart w:id="39" w:name="_Toc32327"/>
      <w:bookmarkStart w:id="40" w:name="_Toc248"/>
      <w:bookmarkStart w:id="41" w:name="_Toc8711"/>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地理位置</w:t>
      </w:r>
      <w:bookmarkEnd w:id="34"/>
      <w:bookmarkEnd w:id="35"/>
      <w:bookmarkEnd w:id="36"/>
      <w:bookmarkEnd w:id="37"/>
      <w:bookmarkEnd w:id="38"/>
      <w:bookmarkEnd w:id="39"/>
      <w:bookmarkEnd w:id="40"/>
      <w:bookmarkEnd w:id="41"/>
    </w:p>
    <w:p w14:paraId="2042BA4B">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沁水县隶属于山西省晋城市，位于山西省东南部，中条山东北，</w:t>
      </w:r>
      <w:r>
        <w:rPr>
          <w:color w:val="auto"/>
        </w:rPr>
        <w:fldChar w:fldCharType="begin"/>
      </w:r>
      <w:r>
        <w:rPr>
          <w:color w:val="auto"/>
        </w:rPr>
        <w:instrText xml:space="preserve"> HYPERLINK "http://baike.baidu.com/view/154041.htm" \t "_blank" </w:instrText>
      </w:r>
      <w:r>
        <w:rPr>
          <w:color w:val="auto"/>
        </w:rPr>
        <w:fldChar w:fldCharType="separate"/>
      </w:r>
      <w:r>
        <w:rPr>
          <w:rFonts w:hint="eastAsia" w:ascii="仿宋" w:hAnsi="仿宋" w:eastAsia="仿宋" w:cs="仿宋"/>
          <w:snapToGrid w:val="0"/>
          <w:color w:val="auto"/>
          <w:kern w:val="0"/>
          <w:sz w:val="28"/>
          <w:szCs w:val="28"/>
        </w:rPr>
        <w:t>沁河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中游。</w:t>
      </w:r>
      <w:r>
        <w:rPr>
          <w:color w:val="auto"/>
        </w:rPr>
        <w:fldChar w:fldCharType="begin"/>
      </w:r>
      <w:r>
        <w:rPr>
          <w:color w:val="auto"/>
        </w:rPr>
        <w:instrText xml:space="preserve"> HYPERLINK "http://baike.baidu.com/view/115484.htm" \t "_blank" </w:instrText>
      </w:r>
      <w:r>
        <w:rPr>
          <w:color w:val="auto"/>
        </w:rPr>
        <w:fldChar w:fldCharType="separate"/>
      </w:r>
      <w:r>
        <w:rPr>
          <w:rFonts w:hint="eastAsia" w:ascii="仿宋" w:hAnsi="仿宋" w:eastAsia="仿宋" w:cs="仿宋"/>
          <w:snapToGrid w:val="0"/>
          <w:color w:val="auto"/>
          <w:kern w:val="0"/>
          <w:sz w:val="28"/>
          <w:szCs w:val="28"/>
        </w:rPr>
        <w:t>太行</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"http://baike.baidu.com/view/1312552.htm" \t "_blank" </w:instrText>
      </w:r>
      <w:r>
        <w:rPr>
          <w:color w:val="auto"/>
        </w:rPr>
        <w:fldChar w:fldCharType="separate"/>
      </w:r>
      <w:r>
        <w:rPr>
          <w:rFonts w:hint="eastAsia" w:ascii="仿宋" w:hAnsi="仿宋" w:eastAsia="仿宋" w:cs="仿宋"/>
          <w:snapToGrid w:val="0"/>
          <w:color w:val="auto"/>
          <w:kern w:val="0"/>
          <w:sz w:val="28"/>
          <w:szCs w:val="28"/>
        </w:rPr>
        <w:t>太岳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"http://baike.baidu.com/view/1447854.htm" \t "_blank" </w:instrText>
      </w:r>
      <w:r>
        <w:rPr>
          <w:color w:val="auto"/>
        </w:rPr>
        <w:fldChar w:fldCharType="separate"/>
      </w:r>
      <w:r>
        <w:rPr>
          <w:rFonts w:hint="eastAsia" w:ascii="仿宋" w:hAnsi="仿宋" w:eastAsia="仿宋" w:cs="仿宋"/>
          <w:snapToGrid w:val="0"/>
          <w:color w:val="auto"/>
          <w:kern w:val="0"/>
          <w:sz w:val="28"/>
          <w:szCs w:val="28"/>
        </w:rPr>
        <w:t>中条</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三大山系衔接处。地理坐标为北纬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县境四周环山，构成了与邻县的天然分界。东与高平、晋城以老马岭、岳神山为界；西与翼城以东坞岭为界；南邻阳城，有仙翁山为界，北接长子、安泽、浮山，有宇俊山、关爷岭、香山岭为界；西南与垣曲以历山舜王坪为界。全县东西长约</w:t>
      </w:r>
      <w:r>
        <w:rPr>
          <w:rFonts w:hint="eastAsia" w:ascii="Times New Roman" w:hAnsi="Times New Roman" w:eastAsia="仿宋" w:cs="仿宋_GB2312"/>
          <w:snapToGrid w:val="0"/>
          <w:color w:val="auto"/>
          <w:kern w:val="0"/>
          <w:sz w:val="28"/>
          <w:szCs w:val="28"/>
        </w:rPr>
        <w:t>150km</w:t>
      </w:r>
      <w:r>
        <w:rPr>
          <w:rFonts w:hint="eastAsia" w:ascii="仿宋" w:hAnsi="仿宋" w:eastAsia="仿宋" w:cs="仿宋"/>
          <w:snapToGrid w:val="0"/>
          <w:color w:val="auto"/>
          <w:kern w:val="0"/>
          <w:sz w:val="28"/>
          <w:szCs w:val="28"/>
        </w:rPr>
        <w:t>，南北宽约</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，总面积</w:t>
      </w:r>
      <w:r>
        <w:rPr>
          <w:rFonts w:hint="eastAsia" w:ascii="Times New Roman" w:hAnsi="Times New Roman" w:eastAsia="仿宋" w:cs="仿宋_GB2312"/>
          <w:snapToGrid w:val="0"/>
          <w:color w:val="auto"/>
          <w:kern w:val="0"/>
          <w:sz w:val="28"/>
          <w:szCs w:val="28"/>
        </w:rPr>
        <w:t>2677</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。县城距省会太原</w:t>
      </w:r>
      <w:r>
        <w:rPr>
          <w:rFonts w:hint="eastAsia" w:ascii="Times New Roman" w:hAnsi="Times New Roman" w:eastAsia="仿宋" w:cs="仿宋_GB2312"/>
          <w:snapToGrid w:val="0"/>
          <w:color w:val="auto"/>
          <w:kern w:val="0"/>
          <w:sz w:val="28"/>
          <w:szCs w:val="28"/>
        </w:rPr>
        <w:t>350</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，距晋城市</w:t>
      </w:r>
      <w:r>
        <w:rPr>
          <w:rFonts w:hint="eastAsia" w:ascii="Times New Roman" w:hAnsi="Times New Roman" w:eastAsia="仿宋" w:cs="仿宋_GB2312"/>
          <w:snapToGrid w:val="0"/>
          <w:color w:val="auto"/>
          <w:kern w:val="0"/>
          <w:sz w:val="28"/>
          <w:szCs w:val="28"/>
        </w:rPr>
        <w:t>90</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。全县下辖</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镇、</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乡，共有</w:t>
      </w:r>
      <w:r>
        <w:rPr>
          <w:rFonts w:hint="eastAsia" w:ascii="Times New Roman" w:hAnsi="Times New Roman" w:eastAsia="仿宋" w:cs="仿宋_GB2312"/>
          <w:snapToGrid w:val="0"/>
          <w:color w:val="auto"/>
          <w:kern w:val="0"/>
          <w:sz w:val="28"/>
          <w:szCs w:val="28"/>
        </w:rPr>
        <w:t>184</w:t>
      </w:r>
      <w:r>
        <w:rPr>
          <w:rFonts w:hint="eastAsia" w:ascii="仿宋" w:hAnsi="仿宋" w:eastAsia="仿宋" w:cs="仿宋"/>
          <w:snapToGrid w:val="0"/>
          <w:color w:val="auto"/>
          <w:kern w:val="0"/>
          <w:sz w:val="28"/>
          <w:szCs w:val="28"/>
        </w:rPr>
        <w:t>个建制村，</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个居民委员会。</w:t>
      </w:r>
    </w:p>
    <w:p w14:paraId="7789F345">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沁河晋城市境内河长</w:t>
      </w:r>
      <w:r>
        <w:rPr>
          <w:rFonts w:hint="eastAsia" w:ascii="Times New Roman" w:hAnsi="Times New Roman" w:eastAsia="仿宋" w:cs="仿宋_GB2312"/>
          <w:snapToGrid w:val="0"/>
          <w:color w:val="auto"/>
          <w:kern w:val="0"/>
          <w:sz w:val="28"/>
          <w:szCs w:val="28"/>
        </w:rPr>
        <w:t>168km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4858km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，落差</w:t>
      </w:r>
      <w:r>
        <w:rPr>
          <w:rFonts w:hint="eastAsia" w:ascii="Times New Roman" w:hAnsi="Times New Roman" w:eastAsia="仿宋" w:cs="仿宋_GB2312"/>
          <w:snapToGrid w:val="0"/>
          <w:color w:val="auto"/>
          <w:kern w:val="0"/>
          <w:sz w:val="28"/>
          <w:szCs w:val="28"/>
        </w:rPr>
        <w:t>449m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河道坡降</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。其中沁水段</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2528km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，起点为安泽县与沁水县交界处，地理坐标为北纬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；终点为沁水县尉迟村以南，</w:t>
      </w:r>
      <w:r>
        <w:rPr>
          <w:rFonts w:hint="eastAsia" w:ascii="仿宋" w:hAnsi="仿宋" w:eastAsia="仿宋" w:cs="仿宋"/>
          <w:snapToGrid w:val="0"/>
          <w:color w:val="auto"/>
          <w:kern w:val="0"/>
          <w:sz w:val="28"/>
          <w:szCs w:val="28"/>
        </w:rPr>
        <w:t>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6858E5D9">
      <w:pPr>
        <w:pStyle w:val="8"/>
        <w:rPr>
          <w:color w:val="auto"/>
        </w:rPr>
      </w:pPr>
      <w:bookmarkStart w:id="42" w:name="_Toc32180"/>
      <w:bookmarkStart w:id="43" w:name="_Toc6880"/>
      <w:bookmarkStart w:id="44" w:name="_Toc24489"/>
      <w:bookmarkStart w:id="45" w:name="_Toc31879"/>
      <w:bookmarkStart w:id="46" w:name="_Toc10750"/>
      <w:bookmarkStart w:id="47" w:name="_Toc6051"/>
      <w:bookmarkStart w:id="48" w:name="_Toc26882"/>
      <w:bookmarkStart w:id="49" w:name="_Toc17650"/>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2</w:t>
      </w:r>
      <w:r>
        <w:rPr>
          <w:rFonts w:hint="eastAsia"/>
          <w:color w:val="auto"/>
        </w:rPr>
        <w:t xml:space="preserve">  </w:t>
      </w:r>
      <w:r>
        <w:rPr>
          <w:color w:val="auto"/>
        </w:rPr>
        <w:t>地形地貌</w:t>
      </w:r>
      <w:bookmarkEnd w:id="42"/>
      <w:bookmarkEnd w:id="43"/>
      <w:bookmarkEnd w:id="44"/>
      <w:bookmarkEnd w:id="45"/>
      <w:bookmarkEnd w:id="46"/>
      <w:bookmarkEnd w:id="47"/>
      <w:bookmarkEnd w:id="48"/>
      <w:bookmarkEnd w:id="49"/>
    </w:p>
    <w:p w14:paraId="0FFE8DD1">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沁水地形东西长，南北窄，东西长约</w:t>
      </w:r>
      <w:r>
        <w:rPr>
          <w:rFonts w:ascii="Times New Roman" w:hAnsi="Times New Roman" w:cs="仿宋_GB2312"/>
          <w:color w:val="auto"/>
          <w:sz w:val="28"/>
          <w:szCs w:val="28"/>
        </w:rPr>
        <w:t>150km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南北宽约</w:t>
      </w:r>
      <w:r>
        <w:rPr>
          <w:rFonts w:ascii="Times New Roman" w:hAnsi="Times New Roman" w:cs="仿宋_GB2312"/>
          <w:color w:val="auto"/>
          <w:sz w:val="28"/>
          <w:szCs w:val="28"/>
        </w:rPr>
        <w:t>55km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地势西高东低，最高处西南舜王坪海拔</w:t>
      </w:r>
      <w:r>
        <w:rPr>
          <w:rFonts w:ascii="Times New Roman" w:hAnsi="Times New Roman" w:cs="仿宋_GB2312"/>
          <w:color w:val="auto"/>
          <w:sz w:val="28"/>
          <w:szCs w:val="28"/>
        </w:rPr>
        <w:t>2358m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最低处东南尉迟村沁河出境处海拔</w:t>
      </w:r>
      <w:r>
        <w:rPr>
          <w:rFonts w:ascii="Times New Roman" w:hAnsi="Times New Roman" w:cs="仿宋_GB2312"/>
          <w:color w:val="auto"/>
          <w:sz w:val="28"/>
          <w:szCs w:val="28"/>
        </w:rPr>
        <w:t>520m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相差</w:t>
      </w:r>
      <w:r>
        <w:rPr>
          <w:rFonts w:ascii="Times New Roman" w:hAnsi="Times New Roman" w:cs="仿宋_GB2312"/>
          <w:color w:val="auto"/>
          <w:sz w:val="28"/>
          <w:szCs w:val="28"/>
        </w:rPr>
        <w:t>1838m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海拔</w:t>
      </w:r>
      <w:r>
        <w:rPr>
          <w:rFonts w:ascii="Times New Roman" w:hAnsi="Times New Roman" w:cs="仿宋_GB2312"/>
          <w:color w:val="auto"/>
          <w:sz w:val="28"/>
          <w:szCs w:val="28"/>
        </w:rPr>
        <w:t>1100m</w:t>
      </w:r>
      <w:r>
        <w:rPr>
          <w:rFonts w:hint="eastAsia" w:ascii="Times New Roman" w:hAnsi="Times New Roman" w:eastAsia="仿宋"/>
          <w:snapToGrid w:val="0"/>
          <w:color w:val="auto"/>
          <w:kern w:val="0"/>
          <w:sz w:val="28"/>
          <w:szCs w:val="28"/>
        </w:rPr>
        <w:t>以上的高山有历山、鹿台山、大尖山、白云山、柏尖山、仙翁山、岳神山、牛头山、宇峻山、荒山。峻岭有东坞岭、老马岭、界牌岭、夜明珠岭、秋峪岭、关门岭、夫妻岭、山中岭、香山岭、佛庙岭。被称之为“十山”、“十岭”。其中东坞岭、老马岭海拔均在</w:t>
      </w:r>
      <w:r>
        <w:rPr>
          <w:rFonts w:ascii="Times New Roman" w:hAnsi="Times New Roman" w:cs="仿宋_GB2312"/>
          <w:color w:val="auto"/>
          <w:sz w:val="28"/>
          <w:szCs w:val="28"/>
        </w:rPr>
        <w:t>1300m</w:t>
      </w:r>
      <w:r>
        <w:rPr>
          <w:rFonts w:hint="eastAsia" w:ascii="Times New Roman" w:hAnsi="Times New Roman" w:eastAsia="仿宋"/>
          <w:snapToGrid w:val="0"/>
          <w:color w:val="auto"/>
          <w:kern w:val="0"/>
          <w:sz w:val="28"/>
          <w:szCs w:val="28"/>
        </w:rPr>
        <w:t>以上。西部大山更为险峻，海拔均在</w:t>
      </w:r>
      <w:r>
        <w:rPr>
          <w:rFonts w:ascii="Times New Roman" w:hAnsi="Times New Roman" w:cs="仿宋_GB2312"/>
          <w:color w:val="auto"/>
          <w:sz w:val="28"/>
          <w:szCs w:val="28"/>
        </w:rPr>
        <w:t>1400m</w:t>
      </w:r>
      <w:r>
        <w:rPr>
          <w:rFonts w:hint="eastAsia" w:ascii="Times New Roman" w:hAnsi="Times New Roman" w:eastAsia="仿宋"/>
          <w:snapToGrid w:val="0"/>
          <w:color w:val="auto"/>
          <w:kern w:val="0"/>
          <w:sz w:val="28"/>
          <w:szCs w:val="28"/>
        </w:rPr>
        <w:t>以上，以其独特的喀斯特地貌、峡谷风光、原始森林等古野景观，被誉为“北方天然公园”、“北方最具代表性的动植物宝库”。</w:t>
      </w:r>
    </w:p>
    <w:p w14:paraId="3CDB51C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沁水地貌以山地丘陵为主，可分为山区、丘陵区、河谷平川区三种类型：（</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）山区占全县总面积的</w:t>
      </w:r>
      <w:r>
        <w:rPr>
          <w:rFonts w:ascii="Times New Roman" w:hAnsi="Times New Roman" w:cs="仿宋_GB2312"/>
          <w:color w:val="auto"/>
          <w:sz w:val="28"/>
          <w:szCs w:val="28"/>
        </w:rPr>
        <w:t>40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主要分布在中村、十里、柿庄北部和岳神山、老马岭、山中岭一线，十山、十岭均在此区，区域内多为林地或临建草地，植被条件较好，是沁水县境内主要河流的发源地。（</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）丘陵区占全县总面积的</w:t>
      </w:r>
      <w:r>
        <w:rPr>
          <w:rFonts w:ascii="Times New Roman" w:hAnsi="Times New Roman" w:cs="仿宋_GB2312"/>
          <w:color w:val="auto"/>
          <w:sz w:val="28"/>
          <w:szCs w:val="28"/>
        </w:rPr>
        <w:t>50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主要分布于龙港、土沃、张村、胡底、郑村、嘉峰、端氏、固县、郑庄的大部分地区，分低山和丘陵两种，地表分割零碎，呈波状起伏，为沁水主要粮油占地和牧坡草场。（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）河谷平川区占总面积的</w:t>
      </w:r>
      <w:r>
        <w:rPr>
          <w:rFonts w:ascii="Times New Roman" w:hAnsi="Times New Roman" w:cs="仿宋_GB2312"/>
          <w:color w:val="auto"/>
          <w:sz w:val="28"/>
          <w:szCs w:val="28"/>
        </w:rPr>
        <w:t>10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主要分布于沁河、县河等河流域两岸的山谷之间，土壤多为冲积土，是沁水粮棉油料作物高产区。山岭多属太岳和中条山脉。</w:t>
      </w:r>
    </w:p>
    <w:p w14:paraId="222B1E11">
      <w:pPr>
        <w:spacing w:line="360" w:lineRule="auto"/>
        <w:ind w:firstLine="420" w:firstLineChars="200"/>
        <w:jc w:val="left"/>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1825EA7">
      <w:pPr>
        <w:spacing w:line="360" w:lineRule="auto"/>
        <w:jc w:val="center"/>
        <w:rPr>
          <w:rFonts w:ascii="Times New Roman" w:hAnsi="Times New Roman"/>
          <w:color w:val="auto"/>
          <w:sz w:val="28"/>
          <w:szCs w:val="28"/>
        </w:rPr>
      </w:pPr>
      <w:r>
        <w:rPr>
          <w:color w:val="auto"/>
        </w:rPr>
        <w:drawing>
          <wp:inline distT="0" distB="0" distL="114300" distR="114300">
            <wp:extent cx="5270500" cy="2820670"/>
            <wp:effectExtent l="0" t="0" r="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clrChange>
                        <a:clrFrom>
                          <a:srgbClr val="FFFFFF"/>
                        </a:clrFrom>
                        <a:clrTo>
                          <a:srgbClr val="FFFFFF">
                            <a:alpha val="0"/>
                          </a:srgbClr>
                        </a:clrTo>
                      </a:clrChange>
                    </a:blip>
                    <a:stretch>
                      <a:fillRect/>
                    </a:stretch>
                  </pic:blipFill>
                  <pic:spPr>
                    <a:xfrm>
                      <a:off x="0" y="0"/>
                      <a:ext cx="5270500" cy="2820670"/>
                    </a:xfrm>
                    <a:prstGeom prst="rect">
                      <a:avLst/>
                    </a:prstGeom>
                    <a:noFill/>
                    <a:ln>
                      <a:noFill/>
                    </a:ln>
                  </pic:spPr>
                </pic:pic>
              </a:graphicData>
            </a:graphic>
          </wp:inline>
        </w:drawing>
      </w:r>
    </w:p>
    <w:p w14:paraId="37C462F6">
      <w:pPr>
        <w:spacing w:line="360" w:lineRule="auto"/>
        <w:jc w:val="center"/>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图</w:t>
      </w:r>
      <w:r>
        <w:rPr>
          <w:rFonts w:ascii="Times New Roman" w:hAnsi="Times New Roman"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1</w:t>
      </w:r>
      <w:r>
        <w:rPr>
          <w:rFonts w:hint="eastAsia" w:ascii="Times New Roman" w:hAnsi="Times New Roman"/>
          <w:color w:val="auto"/>
          <w:sz w:val="28"/>
          <w:szCs w:val="28"/>
        </w:rPr>
        <w:t xml:space="preserve">  </w:t>
      </w:r>
      <w:r>
        <w:rPr>
          <w:rFonts w:hint="eastAsia" w:ascii="Times New Roman" w:hAnsi="Times New Roman" w:eastAsia="仿宋"/>
          <w:snapToGrid w:val="0"/>
          <w:color w:val="auto"/>
          <w:kern w:val="0"/>
          <w:sz w:val="28"/>
          <w:szCs w:val="28"/>
        </w:rPr>
        <w:t>沁水县地形地貌分布图</w:t>
      </w:r>
    </w:p>
    <w:p w14:paraId="2D409EE2">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728387D">
      <w:pPr>
        <w:pStyle w:val="8"/>
        <w:rPr>
          <w:color w:val="auto"/>
        </w:rPr>
      </w:pPr>
      <w:bookmarkStart w:id="50" w:name="_Toc21098"/>
      <w:bookmarkStart w:id="51" w:name="_Toc2237"/>
      <w:bookmarkStart w:id="52" w:name="_Toc763"/>
      <w:bookmarkStart w:id="53" w:name="_Toc16586"/>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3</w:t>
      </w:r>
      <w:r>
        <w:rPr>
          <w:rFonts w:hint="eastAsia"/>
          <w:color w:val="auto"/>
        </w:rPr>
        <w:t xml:space="preserve">  气候气象</w:t>
      </w:r>
      <w:bookmarkEnd w:id="50"/>
      <w:bookmarkEnd w:id="51"/>
      <w:bookmarkEnd w:id="52"/>
      <w:bookmarkEnd w:id="53"/>
    </w:p>
    <w:p w14:paraId="2158D0F7">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沁水气候属于温带季风气候。四季分明，冬长夏短，雨热同季，季风强盛。沁水县气候因地形复杂，差异显著，西部寒冷，东部温和，年均气温</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左右，</w:t>
      </w:r>
      <w:r>
        <w:rPr>
          <w:rFonts w:ascii="Times New Roman" w:hAnsi="Times New Roman" w:eastAsia="仿宋" w:cs="仿宋_GB2312"/>
          <w:snapToGrid w:val="0"/>
          <w:color w:val="auto"/>
          <w:kern w:val="0"/>
          <w:sz w:val="28"/>
          <w:szCs w:val="28"/>
        </w:rPr>
        <w:t>1</w:t>
      </w:r>
      <w:r>
        <w:rPr>
          <w:rFonts w:hint="eastAsia" w:ascii="仿宋" w:hAnsi="仿宋" w:eastAsia="仿宋" w:cs="仿宋"/>
          <w:snapToGrid w:val="0"/>
          <w:color w:val="auto"/>
          <w:kern w:val="0"/>
          <w:sz w:val="28"/>
          <w:szCs w:val="28"/>
        </w:rPr>
        <w:t>月</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月</w:t>
      </w:r>
      <w:r>
        <w:rPr>
          <w:rFonts w:hint="eastAsia" w:ascii="Times New Roman" w:hAnsi="Times New Roman" w:eastAsia="仿宋" w:cs="仿宋_GB2312"/>
          <w:snapToGrid w:val="0"/>
          <w:color w:val="auto"/>
          <w:kern w:val="0"/>
          <w:sz w:val="28"/>
          <w:szCs w:val="28"/>
        </w:rPr>
        <w:t>23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。沁水县多年年平均降水量</w:t>
      </w:r>
      <w:r>
        <w:rPr>
          <w:rFonts w:hint="eastAsia" w:ascii="Times New Roman" w:hAnsi="Times New Roman" w:eastAsia="仿宋" w:cs="仿宋_GB2312"/>
          <w:snapToGrid w:val="0"/>
          <w:color w:val="auto"/>
          <w:kern w:val="0"/>
          <w:sz w:val="28"/>
          <w:szCs w:val="28"/>
        </w:rPr>
        <w:t>643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7mm</w:t>
      </w:r>
      <w:r>
        <w:rPr>
          <w:rFonts w:hint="eastAsia" w:ascii="仿宋" w:hAnsi="仿宋" w:eastAsia="仿宋" w:cs="仿宋"/>
          <w:snapToGrid w:val="0"/>
          <w:color w:val="auto"/>
          <w:kern w:val="0"/>
          <w:sz w:val="28"/>
          <w:szCs w:val="28"/>
        </w:rPr>
        <w:t>，降水量在年内的分配：约有</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集中降于</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三个月内。降水按四季分配大体为：春季（</w:t>
      </w:r>
      <w:r>
        <w:rPr>
          <w:rFonts w:hint="eastAsia"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月）约占全年降水量</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；夏季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；秋季（</w:t>
      </w:r>
      <w:r>
        <w:rPr>
          <w:rFonts w:hint="eastAsia" w:ascii="Times New Roman" w:hAnsi="Times New Roman" w:eastAsia="仿宋" w:cs="仿宋_GB2312"/>
          <w:snapToGrid w:val="0"/>
          <w:color w:val="auto"/>
          <w:kern w:val="0"/>
          <w:sz w:val="28"/>
          <w:szCs w:val="28"/>
        </w:rPr>
        <w:t>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；冬季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月）</w:t>
      </w:r>
      <w:r>
        <w:rPr>
          <w:rFonts w:hint="eastAsia" w:ascii="仿宋" w:hAnsi="仿宋" w:eastAsia="仿宋" w:cs="仿宋"/>
          <w:snapToGrid w:val="0"/>
          <w:color w:val="auto"/>
          <w:kern w:val="0"/>
          <w:sz w:val="28"/>
          <w:szCs w:val="28"/>
        </w:rPr>
        <w:t>约占全年降水量的</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。霜冻期为</w:t>
      </w:r>
      <w:r>
        <w:rPr>
          <w:rFonts w:hint="eastAsia" w:ascii="Times New Roman" w:hAnsi="Times New Roman" w:eastAsia="仿宋" w:cs="仿宋_GB2312"/>
          <w:snapToGrid w:val="0"/>
          <w:color w:val="auto"/>
          <w:kern w:val="0"/>
          <w:sz w:val="28"/>
          <w:szCs w:val="28"/>
        </w:rPr>
        <w:t>10</w:t>
      </w:r>
      <w:r>
        <w:rPr>
          <w:rFonts w:hint="eastAsia" w:ascii="仿宋" w:hAnsi="仿宋" w:eastAsia="仿宋" w:cs="仿宋"/>
          <w:snapToGrid w:val="0"/>
          <w:color w:val="auto"/>
          <w:kern w:val="0"/>
          <w:sz w:val="28"/>
          <w:szCs w:val="28"/>
        </w:rPr>
        <w:t>月上旬至次年</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月上旬，无霜期</w:t>
      </w:r>
      <w:r>
        <w:rPr>
          <w:rFonts w:hint="eastAsia" w:ascii="Times New Roman" w:hAnsi="Times New Roman" w:eastAsia="仿宋" w:cs="仿宋_GB2312"/>
          <w:snapToGrid w:val="0"/>
          <w:color w:val="auto"/>
          <w:kern w:val="0"/>
          <w:sz w:val="28"/>
          <w:szCs w:val="28"/>
        </w:rPr>
        <w:t>160d</w:t>
      </w:r>
      <w:r>
        <w:rPr>
          <w:rFonts w:hint="eastAsia" w:ascii="仿宋" w:hAnsi="仿宋" w:eastAsia="仿宋" w:cs="仿宋"/>
          <w:snapToGrid w:val="0"/>
          <w:color w:val="auto"/>
          <w:kern w:val="0"/>
          <w:sz w:val="28"/>
          <w:szCs w:val="28"/>
        </w:rPr>
        <w:t>。</w:t>
      </w:r>
    </w:p>
    <w:p w14:paraId="27832188">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沁水县降雨量的分布特点是山区高于河谷盆地，迎风面地区高于背风面地区。最高峰降水值</w:t>
      </w:r>
      <w:r>
        <w:rPr>
          <w:rFonts w:hint="eastAsia" w:ascii="Times New Roman" w:hAnsi="Times New Roman" w:eastAsia="仿宋"/>
          <w:snapToGrid w:val="0"/>
          <w:color w:val="auto"/>
          <w:kern w:val="0"/>
          <w:sz w:val="28"/>
          <w:szCs w:val="28"/>
        </w:rPr>
        <w:t>达</w:t>
      </w:r>
      <w:r>
        <w:rPr>
          <w:rFonts w:hint="eastAsia" w:ascii="Times New Roman" w:hAnsi="Times New Roman" w:eastAsia="仿宋" w:cs="仿宋_GB2312"/>
          <w:snapToGrid w:val="0"/>
          <w:color w:val="auto"/>
          <w:kern w:val="0"/>
          <w:sz w:val="28"/>
          <w:szCs w:val="28"/>
        </w:rPr>
        <w:t>756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4mm</w:t>
      </w:r>
      <w:r>
        <w:rPr>
          <w:rFonts w:hint="eastAsia" w:ascii="仿宋" w:hAnsi="仿宋" w:eastAsia="仿宋" w:cs="仿宋"/>
          <w:snapToGrid w:val="0"/>
          <w:color w:val="auto"/>
          <w:kern w:val="0"/>
          <w:sz w:val="28"/>
          <w:szCs w:val="28"/>
        </w:rPr>
        <w:t>（下川地带），最少降水值仅有</w:t>
      </w:r>
      <w:r>
        <w:rPr>
          <w:rFonts w:hint="eastAsia" w:ascii="Times New Roman" w:hAnsi="Times New Roman" w:eastAsia="仿宋" w:cs="仿宋_GB2312"/>
          <w:snapToGrid w:val="0"/>
          <w:color w:val="auto"/>
          <w:kern w:val="0"/>
          <w:sz w:val="28"/>
          <w:szCs w:val="28"/>
        </w:rPr>
        <w:t>561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mm</w:t>
      </w:r>
      <w:r>
        <w:rPr>
          <w:rFonts w:hint="eastAsia" w:ascii="仿宋" w:hAnsi="仿宋" w:eastAsia="仿宋" w:cs="仿宋"/>
          <w:snapToGrid w:val="0"/>
          <w:color w:val="auto"/>
          <w:kern w:val="0"/>
          <w:sz w:val="28"/>
          <w:szCs w:val="28"/>
        </w:rPr>
        <w:t>（潘庄地带）。</w:t>
      </w:r>
    </w:p>
    <w:p w14:paraId="7FD91F27">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全县的水面蒸发，采用沁水气象站</w:t>
      </w:r>
      <w:r>
        <w:rPr>
          <w:rFonts w:hint="eastAsia" w:ascii="Times New Roman" w:hAnsi="Times New Roman" w:eastAsia="仿宋" w:cs="仿宋_GB2312"/>
          <w:snapToGrid w:val="0"/>
          <w:color w:val="auto"/>
          <w:kern w:val="0"/>
          <w:sz w:val="28"/>
          <w:szCs w:val="28"/>
        </w:rPr>
        <w:t>20cm</w:t>
      </w:r>
      <w:r>
        <w:rPr>
          <w:rFonts w:hint="eastAsia" w:ascii="仿宋" w:hAnsi="仿宋" w:eastAsia="仿宋" w:cs="仿宋"/>
          <w:snapToGrid w:val="0"/>
          <w:color w:val="auto"/>
          <w:kern w:val="0"/>
          <w:sz w:val="28"/>
          <w:szCs w:val="28"/>
        </w:rPr>
        <w:t>口径蒸发皿资料进行统计，</w:t>
      </w:r>
      <w:r>
        <w:rPr>
          <w:rFonts w:hint="eastAsia" w:ascii="Times New Roman" w:hAnsi="Times New Roman" w:eastAsia="仿宋" w:cs="仿宋_GB2312"/>
          <w:snapToGrid w:val="0"/>
          <w:color w:val="auto"/>
          <w:kern w:val="0"/>
          <w:sz w:val="28"/>
          <w:szCs w:val="28"/>
        </w:rPr>
        <w:t>1964</w:t>
      </w:r>
      <w:r>
        <w:rPr>
          <w:rFonts w:hint="eastAsia" w:ascii="仿宋" w:hAnsi="仿宋" w:eastAsia="仿宋" w:cs="仿宋"/>
          <w:snapToGrid w:val="0"/>
          <w:color w:val="auto"/>
          <w:kern w:val="0"/>
          <w:sz w:val="28"/>
          <w:szCs w:val="28"/>
        </w:rPr>
        <w:t>年蒸发量最小，为</w:t>
      </w:r>
      <w:r>
        <w:rPr>
          <w:rFonts w:hint="eastAsia" w:ascii="Times New Roman" w:hAnsi="Times New Roman" w:eastAsia="仿宋" w:cs="仿宋_GB2312"/>
          <w:snapToGrid w:val="0"/>
          <w:color w:val="auto"/>
          <w:kern w:val="0"/>
          <w:sz w:val="28"/>
          <w:szCs w:val="28"/>
        </w:rPr>
        <w:t>1339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8mm</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1997</w:t>
      </w:r>
      <w:r>
        <w:rPr>
          <w:rFonts w:hint="eastAsia" w:ascii="仿宋" w:hAnsi="仿宋" w:eastAsia="仿宋" w:cs="仿宋"/>
          <w:snapToGrid w:val="0"/>
          <w:color w:val="auto"/>
          <w:kern w:val="0"/>
          <w:sz w:val="28"/>
          <w:szCs w:val="28"/>
        </w:rPr>
        <w:t>年蒸发量最大，为</w:t>
      </w:r>
      <w:r>
        <w:rPr>
          <w:rFonts w:hint="eastAsia" w:ascii="Times New Roman" w:hAnsi="Times New Roman" w:eastAsia="仿宋" w:cs="仿宋_GB2312"/>
          <w:snapToGrid w:val="0"/>
          <w:color w:val="auto"/>
          <w:kern w:val="0"/>
          <w:sz w:val="28"/>
          <w:szCs w:val="28"/>
        </w:rPr>
        <w:t>2082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6mm</w:t>
      </w:r>
      <w:r>
        <w:rPr>
          <w:rFonts w:hint="eastAsia" w:ascii="仿宋" w:hAnsi="仿宋" w:eastAsia="仿宋" w:cs="仿宋"/>
          <w:snapToGrid w:val="0"/>
          <w:color w:val="auto"/>
          <w:kern w:val="0"/>
          <w:sz w:val="28"/>
          <w:szCs w:val="28"/>
        </w:rPr>
        <w:t>。</w:t>
      </w:r>
    </w:p>
    <w:p w14:paraId="33F1CEB5">
      <w:pPr>
        <w:pStyle w:val="8"/>
        <w:rPr>
          <w:color w:val="auto"/>
        </w:rPr>
      </w:pPr>
      <w:bookmarkStart w:id="54" w:name="_Toc19657"/>
      <w:bookmarkStart w:id="55" w:name="_Toc15206"/>
      <w:bookmarkStart w:id="56" w:name="_Toc24785"/>
      <w:bookmarkStart w:id="57" w:name="_Toc17288"/>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4</w:t>
      </w:r>
      <w:r>
        <w:rPr>
          <w:rFonts w:hint="eastAsia"/>
          <w:color w:val="auto"/>
        </w:rPr>
        <w:t xml:space="preserve">  河流水系</w:t>
      </w:r>
      <w:bookmarkEnd w:id="54"/>
      <w:bookmarkEnd w:id="55"/>
      <w:bookmarkEnd w:id="56"/>
      <w:bookmarkEnd w:id="57"/>
    </w:p>
    <w:p w14:paraId="4C495B83">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 xml:space="preserve">沁水县河流众多，境内河流分属沁河和汾河两大水系，属于沁河水系的主要有苏庄河、龙渠河、樊村河、沁水县河、梅河、山泽河、端氏河、柿庄河、杨庄河、固村河、里河、胡底河、郑村河、获泽河和土沃河；属于汾河水系的为续鲁峪河（中村段）。河网密度为 </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ascii="Times New Roman" w:hAnsi="Times New Roman" w:eastAsia="仿宋"/>
          <w:snapToGrid w:val="0"/>
          <w:color w:val="auto"/>
          <w:kern w:val="0"/>
          <w:sz w:val="28"/>
          <w:szCs w:val="28"/>
        </w:rPr>
        <w:t xml:space="preserve"> / </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w:t>
      </w:r>
    </w:p>
    <w:p w14:paraId="0F67292A">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沁河是黄河的一级支流，晋城市最大的过境河流，发源于山西省沁源县西北太岳山东麓的二郎神沟，流经长治市的沁源县、临汾市的安泽县，在沁水县的冯庄村龙门口流入晋城市，经沁水县、阳城县、泽州县，在泽州县的栓驴泉流入河南省武陟县汇入黄河。流域面积</w:t>
      </w:r>
      <w:r>
        <w:rPr>
          <w:rFonts w:hint="eastAsia" w:ascii="Times New Roman" w:hAnsi="Times New Roman" w:eastAsia="仿宋" w:cs="仿宋_GB2312"/>
          <w:snapToGrid w:val="0"/>
          <w:color w:val="auto"/>
          <w:kern w:val="0"/>
          <w:sz w:val="28"/>
          <w:szCs w:val="28"/>
        </w:rPr>
        <w:t>2522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2.03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，流经郑庄镇、端氏镇和嘉峰镇。</w:t>
      </w:r>
    </w:p>
    <w:p w14:paraId="266D83CA">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获泽河的源头——涧河，位于沁水县城西南部，发源于沁水县中村镇下川小河湾，流经中村镇、土沃乡，在后马元附近与土沃河汇流，水系形态为羽毛状，地理坐标位于东经</w:t>
      </w:r>
      <w:r>
        <w:rPr>
          <w:rFonts w:hint="eastAsia"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284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22km</w:t>
      </w:r>
      <w:r>
        <w:rPr>
          <w:rFonts w:hint="eastAsia" w:ascii="仿宋" w:hAnsi="仿宋" w:eastAsia="仿宋" w:cs="仿宋"/>
          <w:snapToGrid w:val="0"/>
          <w:color w:val="auto"/>
          <w:kern w:val="0"/>
          <w:sz w:val="28"/>
          <w:szCs w:val="28"/>
        </w:rPr>
        <w:t>，相对高差</w:t>
      </w:r>
      <w:r>
        <w:rPr>
          <w:rFonts w:hint="eastAsia" w:ascii="Times New Roman" w:hAnsi="Times New Roman" w:eastAsia="仿宋" w:cs="仿宋_GB2312"/>
          <w:snapToGrid w:val="0"/>
          <w:color w:val="auto"/>
          <w:kern w:val="0"/>
          <w:sz w:val="28"/>
          <w:szCs w:val="28"/>
        </w:rPr>
        <w:t>1090m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w:t>
      </w:r>
    </w:p>
    <w:p w14:paraId="3F3AEB4A">
      <w:pPr>
        <w:snapToGrid w:val="0"/>
        <w:spacing w:line="360" w:lineRule="auto"/>
        <w:ind w:firstLine="560" w:firstLineChars="200"/>
        <w:rPr>
          <w:rFonts w:hint="eastAsia" w:ascii="仿宋" w:hAnsi="仿宋" w:eastAsia="仿宋" w:cs="仿宋"/>
          <w:snapToGrid w:val="0"/>
          <w:color w:val="auto"/>
          <w:kern w:val="0"/>
          <w:sz w:val="28"/>
          <w:szCs w:val="28"/>
          <w:lang w:val="en-US" w:eastAsia="zh-CN"/>
        </w:rPr>
      </w:pP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沁水县河为沁河的一级支流，又称县河，位于沁水县西部，地处中条山、东乌岭、关门岭、夫妻岭之间，流经龙港镇、郑庄镇。流域面积</w:t>
      </w:r>
      <w:r>
        <w:rPr>
          <w:rFonts w:hint="eastAsia" w:ascii="Times New Roman" w:hAnsi="Times New Roman" w:eastAsia="仿宋" w:cs="仿宋_GB2312"/>
          <w:snapToGrid w:val="0"/>
          <w:color w:val="auto"/>
          <w:kern w:val="0"/>
          <w:sz w:val="28"/>
          <w:szCs w:val="28"/>
        </w:rPr>
        <w:t>415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46km</w:t>
      </w:r>
      <w:r>
        <w:rPr>
          <w:rFonts w:hint="eastAsia" w:ascii="仿宋" w:hAnsi="仿宋" w:eastAsia="仿宋" w:cs="仿宋"/>
          <w:snapToGrid w:val="0"/>
          <w:color w:val="auto"/>
          <w:kern w:val="0"/>
          <w:sz w:val="28"/>
          <w:szCs w:val="28"/>
        </w:rPr>
        <w:t>，主河道平均纵坡</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，河床糙率在</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042</w:t>
      </w:r>
      <w:r>
        <w:rPr>
          <w:rFonts w:hint="eastAsia" w:ascii="仿宋" w:hAnsi="仿宋" w:eastAsia="仿宋" w:cs="仿宋"/>
          <w:snapToGrid w:val="0"/>
          <w:color w:val="auto"/>
          <w:kern w:val="0"/>
          <w:sz w:val="28"/>
          <w:szCs w:val="28"/>
        </w:rPr>
        <w:t>之间。上游有梅河一条较大支流，杏河</w:t>
      </w:r>
      <w:r>
        <w:rPr>
          <w:rFonts w:hint="eastAsia" w:ascii="仿宋" w:hAnsi="仿宋" w:eastAsia="仿宋" w:cs="仿宋"/>
          <w:snapToGrid w:val="0"/>
          <w:color w:val="auto"/>
          <w:kern w:val="0"/>
          <w:sz w:val="28"/>
          <w:szCs w:val="28"/>
          <w:lang w:val="en-US" w:eastAsia="zh-CN"/>
        </w:rPr>
        <w:t>发源于沁水县杏峪关门岭，由西向东流经杏峪、河渚、梁庄、东西石堂、杏园社区、县城。</w:t>
      </w:r>
    </w:p>
    <w:p w14:paraId="75ADB22F">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梅河为沁水县河的一级支流，沁河的二级支流，流经龙港镇，流域面积</w:t>
      </w:r>
      <w:r>
        <w:rPr>
          <w:rFonts w:hint="eastAsia" w:ascii="Times New Roman" w:hAnsi="Times New Roman" w:eastAsia="仿宋" w:cs="仿宋_GB2312"/>
          <w:snapToGrid w:val="0"/>
          <w:color w:val="auto"/>
          <w:kern w:val="0"/>
          <w:sz w:val="28"/>
          <w:szCs w:val="28"/>
        </w:rPr>
        <w:t>99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，流域中心地理坐标为东经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位于沁水县城西北部，东有青龙岭、碧峰山，北有东坞岭山东鹿，西游玉皇岭。梅河发源于沁水县王寨乡云台山北麓，由西北向东南流流经固镇、王寨、青龙至县城后与杏河汇合入县河。梅河流域属典型的季节性河流，河型属于顺直型，河床较稳定。</w:t>
      </w:r>
    </w:p>
    <w:p w14:paraId="4EED203F">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端氏河是沁河的一级支流，位于沁水县城东部，地理坐标位于东经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。发源于十里乡范庄村西老庄沟，上游为称十里河，与柿庄河在固县村北汇合后称端氏河，流经十里、固县、端氏</w:t>
      </w:r>
      <w:r>
        <w:rPr>
          <w:rFonts w:hint="eastAsia" w:ascii="Times New Roman" w:hAnsi="Times New Roman" w:eastAsia="仿宋" w:cs="仿宋_GB2312"/>
          <w:snapToGrid w:val="0"/>
          <w:color w:val="auto"/>
          <w:kern w:val="0"/>
          <w:sz w:val="28"/>
          <w:szCs w:val="28"/>
        </w:rPr>
        <w:t>3</w:t>
      </w:r>
      <w:r>
        <w:rPr>
          <w:rFonts w:hint="eastAsia" w:ascii="仿宋" w:hAnsi="仿宋" w:eastAsia="仿宋" w:cs="仿宋"/>
          <w:snapToGrid w:val="0"/>
          <w:color w:val="auto"/>
          <w:kern w:val="0"/>
          <w:sz w:val="28"/>
          <w:szCs w:val="28"/>
        </w:rPr>
        <w:t>个乡镇，在端氏镇小河西汇入沁河，水系形态为羽毛状。端氏河为顺向河，属山区季节性河流。流域面积</w:t>
      </w:r>
      <w:r>
        <w:rPr>
          <w:rFonts w:hint="eastAsia" w:ascii="Times New Roman" w:hAnsi="Times New Roman" w:eastAsia="仿宋" w:cs="仿宋_GB2312"/>
          <w:snapToGrid w:val="0"/>
          <w:color w:val="auto"/>
          <w:kern w:val="0"/>
          <w:sz w:val="28"/>
          <w:szCs w:val="28"/>
        </w:rPr>
        <w:t>740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57km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仿宋" w:hAnsi="仿宋" w:eastAsia="仿宋" w:cs="仿宋"/>
          <w:snapToGrid w:val="0"/>
          <w:color w:val="auto"/>
          <w:kern w:val="0"/>
          <w:sz w:val="28"/>
          <w:szCs w:val="28"/>
        </w:rPr>
        <w:t>左右。</w:t>
      </w:r>
    </w:p>
    <w:p w14:paraId="53C0FA93">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柿庄河为端氏河的一级支流，沁河的二级支流，位于沁水县城东部，发源于沁水县与长子县交界的大端村，从北向南流经柿庄至固县村北</w:t>
      </w:r>
      <w:r>
        <w:rPr>
          <w:rFonts w:hint="eastAsia" w:ascii="Times New Roman" w:hAnsi="Times New Roman" w:eastAsia="仿宋" w:cs="仿宋_GB2312"/>
          <w:snapToGrid w:val="0"/>
          <w:color w:val="auto"/>
          <w:kern w:val="0"/>
          <w:sz w:val="28"/>
          <w:szCs w:val="28"/>
        </w:rPr>
        <w:t>200m</w:t>
      </w:r>
      <w:r>
        <w:rPr>
          <w:rFonts w:hint="eastAsia" w:ascii="仿宋" w:hAnsi="仿宋" w:eastAsia="仿宋" w:cs="仿宋"/>
          <w:snapToGrid w:val="0"/>
          <w:color w:val="auto"/>
          <w:kern w:val="0"/>
          <w:sz w:val="28"/>
          <w:szCs w:val="28"/>
        </w:rPr>
        <w:t>与十里河汇合流入端氏河。流域面积</w:t>
      </w:r>
      <w:r>
        <w:rPr>
          <w:rFonts w:hint="eastAsia" w:ascii="Times New Roman" w:hAnsi="Times New Roman" w:eastAsia="仿宋" w:cs="仿宋_GB2312"/>
          <w:snapToGrid w:val="0"/>
          <w:color w:val="auto"/>
          <w:kern w:val="0"/>
          <w:sz w:val="28"/>
          <w:szCs w:val="28"/>
        </w:rPr>
        <w:t>257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33km</w:t>
      </w:r>
      <w:r>
        <w:rPr>
          <w:rFonts w:hint="eastAsia" w:ascii="仿宋" w:hAnsi="仿宋" w:eastAsia="仿宋" w:cs="仿宋"/>
          <w:snapToGrid w:val="0"/>
          <w:color w:val="auto"/>
          <w:kern w:val="0"/>
          <w:sz w:val="28"/>
          <w:szCs w:val="28"/>
        </w:rPr>
        <w:t>，</w:t>
      </w:r>
      <w:r>
        <w:rPr>
          <w:rFonts w:hint="eastAsia" w:ascii="仿宋" w:hAnsi="仿宋" w:eastAsia="仿宋" w:cs="仿宋"/>
          <w:snapToGrid w:val="0"/>
          <w:color w:val="auto"/>
          <w:kern w:val="0"/>
          <w:sz w:val="28"/>
          <w:szCs w:val="28"/>
          <w:lang w:val="en-US" w:eastAsia="zh-CN"/>
        </w:rPr>
        <w:t>主</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cs="仿宋_GB2312"/>
          <w:snapToGrid w:val="0"/>
          <w:color w:val="auto"/>
          <w:kern w:val="0"/>
          <w:sz w:val="28"/>
          <w:szCs w:val="28"/>
          <w:lang w:val="en-US" w:eastAsia="zh-CN"/>
        </w:rPr>
        <w:t>3.37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，属季节性河流，河流泥沙含量多，冲刷严重，河床较稳定。</w:t>
      </w:r>
    </w:p>
    <w:p w14:paraId="45E84805">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续鲁峪河（中村段）是汾河的一级支流，流域中心地理坐标东经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，发源于关门岭西麓关帝沟，向西流经张马入翼城西冶村境内汇入汾河。东与土沃相接，西与翼城相连，北以县河为界。流域面积</w:t>
      </w:r>
      <w:r>
        <w:rPr>
          <w:rFonts w:hint="eastAsia" w:ascii="Times New Roman" w:hAnsi="Times New Roman" w:eastAsia="仿宋" w:cs="仿宋_GB2312"/>
          <w:snapToGrid w:val="0"/>
          <w:color w:val="auto"/>
          <w:kern w:val="0"/>
          <w:sz w:val="28"/>
          <w:szCs w:val="28"/>
        </w:rPr>
        <w:t>89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，平均坡降为</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0ACA786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胡底河为端氏河的一级支流，沁河的二级支流，位于沁水县城东部，发源于老马岭西老坟沟内，流经胡底乡、端氏镇。流域面积</w:t>
      </w:r>
      <w:r>
        <w:rPr>
          <w:rFonts w:hint="eastAsia" w:ascii="Times New Roman" w:hAnsi="Times New Roman" w:eastAsia="仿宋" w:cs="仿宋_GB2312"/>
          <w:snapToGrid w:val="0"/>
          <w:color w:val="auto"/>
          <w:kern w:val="0"/>
          <w:sz w:val="28"/>
          <w:szCs w:val="28"/>
        </w:rPr>
        <w:t>80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20km</w:t>
      </w:r>
      <w:r>
        <w:rPr>
          <w:rFonts w:hint="eastAsia" w:ascii="仿宋" w:hAnsi="仿宋" w:eastAsia="仿宋" w:cs="仿宋"/>
          <w:snapToGrid w:val="0"/>
          <w:color w:val="auto"/>
          <w:kern w:val="0"/>
          <w:sz w:val="28"/>
          <w:szCs w:val="28"/>
        </w:rPr>
        <w:t>，河道纵坡为</w:t>
      </w: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A6EA889">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土沃河位于沁水县东南部，为沁河的二级支流，获泽河的一级支流，由西向东流经中沃泉、下沃泉、土沃至可封与涧河汇合流入阳城进入董封水库后流入获泽河，水系形态为羽毛状。流域面积</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hint="eastAsia" w:ascii="Times New Roman" w:hAnsi="Times New Roman" w:eastAsia="仿宋"/>
          <w:snapToGrid w:val="0"/>
          <w:color w:val="auto"/>
          <w:kern w:val="0"/>
          <w:sz w:val="28"/>
          <w:szCs w:val="28"/>
        </w:rPr>
        <w:t xml:space="preserve"> </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。土沃河河道较直，主河道在平面上基本呈直线型，河网密度为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57</w:t>
      </w:r>
      <w:r>
        <w:rPr>
          <w:rFonts w:hint="eastAsia" w:ascii="仿宋" w:hAnsi="仿宋" w:eastAsia="仿宋" w:cs="仿宋"/>
          <w:snapToGrid w:val="0"/>
          <w:color w:val="auto"/>
          <w:kern w:val="0"/>
          <w:sz w:val="28"/>
          <w:szCs w:val="28"/>
        </w:rPr>
        <w:t>，河流弯曲系数为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89</w:t>
      </w:r>
      <w:r>
        <w:rPr>
          <w:rFonts w:hint="eastAsia" w:ascii="仿宋" w:hAnsi="仿宋" w:eastAsia="仿宋" w:cs="仿宋"/>
          <w:snapToGrid w:val="0"/>
          <w:color w:val="auto"/>
          <w:kern w:val="0"/>
          <w:sz w:val="28"/>
          <w:szCs w:val="28"/>
        </w:rPr>
        <w:t>，属山区河流，流量小，河床稳定。</w:t>
      </w:r>
    </w:p>
    <w:p w14:paraId="204EACA9">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龙渠河是沁河的一级支流，中心所处的地理坐标为东经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上源有两支，北支流为发源于浮山县北韩乡茨沟村的山交河，南支流是发源于翼城县东北角辽寨乡的樊村河。两条支流在浮山县的谭村汇合形成龙渠河。龙渠河流经浮山、翼城县和沁水县，在沁水县郑庄镇王必汇入张峰水库。</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229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10.15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172D42F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樊村河为龙渠河的一级支流（也为龙渠河的南源），沁河的二级支流，发源于翼城县东北角持辽寨河村，经沁水县龙港镇樊村村，流入浮山县东南角，在谭村与山交河相会，汇入龙渠河。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113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15km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w:t>
      </w:r>
      <w:r>
        <w:rPr>
          <w:rFonts w:hint="eastAsia" w:ascii="Times New Roman" w:hAnsi="Times New Roman" w:eastAsia="仿宋" w:cs="Times New Roman"/>
          <w:snapToGrid w:val="0"/>
          <w:color w:val="auto"/>
          <w:kern w:val="0"/>
          <w:sz w:val="28"/>
          <w:szCs w:val="28"/>
          <w:lang w:val="en-US" w:eastAsia="zh-CN"/>
        </w:rPr>
        <w:t>3.89</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3389215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石漕河（东峪河）为沁河一级支流，为省内跨市河流，发源于沁水县十里乡，于临汾市安泽县汇入沁河，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13.34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103C354">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里河是端氏河流一级支流，发源于高平市原村乡陈山村，干流流经沁水上梁、南庄、南河底、司庄、石泉、安上，于沁水县固县附近汇入端氏河。流域面积</w:t>
      </w:r>
      <w:r>
        <w:rPr>
          <w:rFonts w:hint="eastAsia" w:ascii="Times New Roman" w:hAnsi="Times New Roman" w:eastAsia="仿宋" w:cs="仿宋_GB2312"/>
          <w:snapToGrid w:val="0"/>
          <w:color w:val="auto"/>
          <w:kern w:val="0"/>
          <w:sz w:val="28"/>
          <w:szCs w:val="28"/>
        </w:rPr>
        <w:t>51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24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65B3973B">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14</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郑村河是沁河的一级支流，也叫候村河，发源于泽州县下村镇安楼村，地理位置为东经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，流经后河、轩底、许村、郑村、夏荷、侯村等，至武安南</w:t>
      </w:r>
      <w:r>
        <w:rPr>
          <w:rFonts w:hint="eastAsia" w:ascii="Times New Roman" w:hAnsi="Times New Roman" w:eastAsia="仿宋" w:cs="仿宋_GB2312"/>
          <w:snapToGrid w:val="0"/>
          <w:color w:val="auto"/>
          <w:kern w:val="0"/>
          <w:sz w:val="28"/>
          <w:szCs w:val="28"/>
        </w:rPr>
        <w:t>500m</w:t>
      </w:r>
      <w:r>
        <w:rPr>
          <w:rFonts w:hint="eastAsia" w:ascii="仿宋" w:hAnsi="仿宋" w:eastAsia="仿宋" w:cs="仿宋"/>
          <w:snapToGrid w:val="0"/>
          <w:color w:val="auto"/>
          <w:kern w:val="0"/>
          <w:sz w:val="28"/>
          <w:szCs w:val="28"/>
        </w:rPr>
        <w:t>处流入沁河。流域面积为</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21km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040</w:t>
      </w:r>
      <w:r>
        <w:rPr>
          <w:rFonts w:hint="eastAsia" w:ascii="仿宋" w:hAnsi="仿宋" w:eastAsia="仿宋" w:cs="仿宋"/>
          <w:snapToGrid w:val="0"/>
          <w:color w:val="auto"/>
          <w:kern w:val="0"/>
          <w:sz w:val="28"/>
          <w:szCs w:val="28"/>
        </w:rPr>
        <w:t>。</w:t>
      </w:r>
    </w:p>
    <w:p w14:paraId="0D14F6ED">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芦苇河（张村河）是沁河的一级支流，《水经注》称为阳泉河，发源于沁水县张村乡芦坡鹿台山下的石沟河，于阳城县润城镇下河村汇入沁河，因发源于芦坡庄故名芦苇河。</w:t>
      </w:r>
      <w:r>
        <w:rPr>
          <w:rFonts w:hint="eastAsia" w:ascii="仿宋" w:hAnsi="仿宋" w:eastAsia="仿宋" w:cs="仿宋"/>
          <w:snapToGrid w:val="0"/>
          <w:color w:val="auto"/>
          <w:kern w:val="0"/>
          <w:sz w:val="28"/>
          <w:szCs w:val="28"/>
          <w:lang w:val="en-US" w:eastAsia="zh-CN"/>
        </w:rPr>
        <w:t>沁水县</w:t>
      </w:r>
      <w:r>
        <w:rPr>
          <w:rFonts w:hint="eastAsia" w:ascii="仿宋" w:hAnsi="仿宋" w:eastAsia="仿宋" w:cs="仿宋"/>
          <w:snapToGrid w:val="0"/>
          <w:color w:val="auto"/>
          <w:kern w:val="0"/>
          <w:sz w:val="28"/>
          <w:szCs w:val="28"/>
        </w:rPr>
        <w:t>境内流域面积</w:t>
      </w:r>
      <w:r>
        <w:rPr>
          <w:rFonts w:hint="eastAsia" w:ascii="Times New Roman" w:hAnsi="Times New Roman" w:eastAsia="仿宋" w:cs="仿宋_GB2312"/>
          <w:snapToGrid w:val="0"/>
          <w:color w:val="auto"/>
          <w:kern w:val="0"/>
          <w:sz w:val="28"/>
          <w:szCs w:val="28"/>
        </w:rPr>
        <w:t>68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，河床宽约</w:t>
      </w:r>
      <w:r>
        <w:rPr>
          <w:rFonts w:hint="eastAsia" w:ascii="Times New Roman" w:hAnsi="Times New Roman" w:eastAsia="仿宋" w:cs="仿宋_GB2312"/>
          <w:snapToGrid w:val="0"/>
          <w:color w:val="auto"/>
          <w:kern w:val="0"/>
          <w:sz w:val="28"/>
          <w:szCs w:val="28"/>
        </w:rPr>
        <w:t>50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l00m</w:t>
      </w:r>
      <w:r>
        <w:rPr>
          <w:rFonts w:hint="eastAsia" w:ascii="仿宋" w:hAnsi="仿宋" w:eastAsia="仿宋" w:cs="仿宋"/>
          <w:snapToGrid w:val="0"/>
          <w:color w:val="auto"/>
          <w:kern w:val="0"/>
          <w:sz w:val="28"/>
          <w:szCs w:val="28"/>
        </w:rPr>
        <w:t>，河道纵坡</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w:t>
      </w:r>
      <w:r>
        <w:rPr>
          <w:rFonts w:hint="eastAsia" w:ascii="Times New Roman" w:hAnsi="Times New Roman" w:eastAsia="仿宋"/>
          <w:snapToGrid w:val="0"/>
          <w:color w:val="auto"/>
          <w:kern w:val="0"/>
          <w:sz w:val="28"/>
          <w:szCs w:val="28"/>
        </w:rPr>
        <w:t>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。芦苇河属常流河，河床较为稳定。</w:t>
      </w:r>
    </w:p>
    <w:p w14:paraId="622DA0C4">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小东河是沁河的一级支流，也叫郭峪河，发源于沁水县郑村镇王街村，于阳城县润城镇河头村流入沁河。流域面积为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lang w:val="en-US" w:eastAsia="zh-CN"/>
        </w:rPr>
        <w:t>河长15</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val="en-US" w:eastAsia="zh-CN"/>
        </w:rPr>
        <w:t>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，河床较为稳定。</w:t>
      </w:r>
    </w:p>
    <w:p w14:paraId="0F4875D2">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cs="仿宋_GB2312"/>
          <w:snapToGrid w:val="0"/>
          <w:color w:val="auto"/>
          <w:kern w:val="0"/>
          <w:sz w:val="28"/>
          <w:szCs w:val="28"/>
          <w:lang w:eastAsia="zh-CN"/>
        </w:rPr>
        <w:t>、</w:t>
      </w:r>
      <w:r>
        <w:rPr>
          <w:rFonts w:hint="eastAsia" w:ascii="Times New Roman" w:hAnsi="Times New Roman" w:eastAsia="仿宋"/>
          <w:snapToGrid w:val="0"/>
          <w:color w:val="auto"/>
          <w:kern w:val="0"/>
          <w:sz w:val="28"/>
          <w:szCs w:val="28"/>
        </w:rPr>
        <w:t>上</w:t>
      </w:r>
      <w:r>
        <w:rPr>
          <w:rFonts w:hint="eastAsia" w:ascii="仿宋" w:hAnsi="仿宋" w:eastAsia="仿宋" w:cs="仿宋"/>
          <w:snapToGrid w:val="0"/>
          <w:color w:val="auto"/>
          <w:kern w:val="0"/>
          <w:sz w:val="28"/>
          <w:szCs w:val="28"/>
        </w:rPr>
        <w:t>河是获泽河一级支流，发源于沁水县中村镇山辿岩村，于阳城县董封乡临涧村汇入获泽河，流域面积</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lang w:val="en-US" w:eastAsia="zh-CN"/>
        </w:rPr>
        <w:t>17</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lang w:val="en-US" w:eastAsia="zh-CN"/>
        </w:rPr>
        <w:t>26.38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336D0728">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苏庄河是沁河的一级支流，位于沁水县东北部，东经</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，发源于十里乡柏尖山下沙庄村，于郑庄镇官亭村汇入沁河，流经十里、郑庄</w:t>
      </w:r>
      <w:r>
        <w:rPr>
          <w:rFonts w:hint="eastAsia" w:ascii="Times New Roman" w:hAnsi="Times New Roman" w:eastAsia="仿宋" w:cs="仿宋_GB2312"/>
          <w:snapToGrid w:val="0"/>
          <w:color w:val="auto"/>
          <w:kern w:val="0"/>
          <w:sz w:val="28"/>
          <w:szCs w:val="28"/>
        </w:rPr>
        <w:t>2个</w:t>
      </w:r>
      <w:r>
        <w:rPr>
          <w:rFonts w:hint="eastAsia" w:ascii="仿宋" w:hAnsi="仿宋" w:eastAsia="仿宋" w:cs="仿宋"/>
          <w:snapToGrid w:val="0"/>
          <w:color w:val="auto"/>
          <w:kern w:val="0"/>
          <w:sz w:val="28"/>
          <w:szCs w:val="28"/>
        </w:rPr>
        <w:t>乡镇，流域面积</w:t>
      </w:r>
      <w:r>
        <w:rPr>
          <w:rFonts w:hint="eastAsia" w:ascii="Times New Roman" w:hAnsi="Times New Roman" w:eastAsia="仿宋" w:cs="仿宋_GB2312"/>
          <w:snapToGrid w:val="0"/>
          <w:color w:val="auto"/>
          <w:kern w:val="0"/>
          <w:sz w:val="28"/>
          <w:szCs w:val="28"/>
        </w:rPr>
        <w:t>116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30km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AAE9E53">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山泽河是沁河的一级支流，又名必底河，位于沁水县城东部，地理坐标位于东</w:t>
      </w:r>
      <w:r>
        <w:rPr>
          <w:rFonts w:hint="eastAsia" w:ascii="Times New Roman" w:hAnsi="Times New Roman" w:eastAsia="仿宋"/>
          <w:snapToGrid w:val="0"/>
          <w:color w:val="auto"/>
          <w:kern w:val="0"/>
          <w:sz w:val="28"/>
          <w:szCs w:val="28"/>
        </w:rPr>
        <w:t>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。发源于沁水县佛庙岭东麓白云山下苇园沟，由北向南流经山泽、必底、秦庄等地，在端氏镇槐庄村林村西入沁河，水系形态为羽毛状。流域面积</w:t>
      </w:r>
      <w:r>
        <w:rPr>
          <w:rFonts w:hint="eastAsia" w:ascii="Times New Roman" w:hAnsi="Times New Roman" w:eastAsia="仿宋" w:cs="仿宋_GB2312"/>
          <w:snapToGrid w:val="0"/>
          <w:color w:val="auto"/>
          <w:kern w:val="0"/>
          <w:sz w:val="28"/>
          <w:szCs w:val="28"/>
        </w:rPr>
        <w:t>104km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29km</w:t>
      </w:r>
      <w:r>
        <w:rPr>
          <w:rFonts w:hint="eastAsia" w:ascii="仿宋" w:hAnsi="仿宋" w:eastAsia="仿宋" w:cs="仿宋"/>
          <w:snapToGrid w:val="0"/>
          <w:color w:val="auto"/>
          <w:kern w:val="0"/>
          <w:sz w:val="28"/>
          <w:szCs w:val="28"/>
        </w:rPr>
        <w:t>，高差</w:t>
      </w:r>
      <w:r>
        <w:rPr>
          <w:rFonts w:hint="eastAsia" w:ascii="Times New Roman" w:hAnsi="Times New Roman" w:eastAsia="仿宋" w:cs="仿宋_GB2312"/>
          <w:snapToGrid w:val="0"/>
          <w:color w:val="auto"/>
          <w:kern w:val="0"/>
          <w:sz w:val="28"/>
          <w:szCs w:val="28"/>
        </w:rPr>
        <w:t>439m</w:t>
      </w:r>
      <w:r>
        <w:rPr>
          <w:rFonts w:hint="eastAsia" w:ascii="仿宋" w:hAnsi="仿宋" w:eastAsia="仿宋" w:cs="仿宋"/>
          <w:snapToGrid w:val="0"/>
          <w:color w:val="auto"/>
          <w:kern w:val="0"/>
          <w:sz w:val="28"/>
          <w:szCs w:val="28"/>
        </w:rPr>
        <w:t>，平均纵坡</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066CF6C0">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杨庄河是柿庄河的一级支流，发源于沁水县柿庄镇杨庄村北沟，流经柳庄镇杨庄、下杨庄、下团里、算峪、东张村等村庄。流域面积</w:t>
      </w:r>
      <w:r>
        <w:rPr>
          <w:rFonts w:hint="eastAsia" w:ascii="Times New Roman" w:hAnsi="Times New Roman" w:eastAsia="仿宋" w:cs="仿宋_GB2312"/>
          <w:snapToGrid w:val="0"/>
          <w:color w:val="auto"/>
          <w:kern w:val="0"/>
          <w:sz w:val="28"/>
          <w:szCs w:val="28"/>
        </w:rPr>
        <w:t>52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62</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18F1BEE4">
      <w:pPr>
        <w:snapToGrid w:val="0"/>
        <w:spacing w:line="360" w:lineRule="auto"/>
        <w:ind w:firstLine="560" w:firstLineChars="200"/>
        <w:rPr>
          <w:rFonts w:hint="eastAsia" w:ascii="仿宋" w:hAnsi="仿宋" w:eastAsia="仿宋" w:cs="仿宋"/>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仿宋_GB2312"/>
          <w:snapToGrid w:val="0"/>
          <w:color w:val="auto"/>
          <w:kern w:val="0"/>
          <w:sz w:val="28"/>
          <w:szCs w:val="28"/>
        </w:rPr>
        <w:t>21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固村河是柿庄河的一级支流，发源于沁水县十里乡宋家村，流经宋家村、下泊村、柿庄村，在柿庄村附近汇入柿庄河。流域面积</w:t>
      </w:r>
      <w:r>
        <w:rPr>
          <w:rFonts w:hint="eastAsia" w:ascii="Times New Roman" w:hAnsi="Times New Roman" w:eastAsia="仿宋" w:cs="仿宋_GB2312"/>
          <w:snapToGrid w:val="0"/>
          <w:color w:val="auto"/>
          <w:kern w:val="0"/>
          <w:sz w:val="28"/>
          <w:szCs w:val="28"/>
        </w:rPr>
        <w:t>58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18km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56B4BA24">
      <w:pPr>
        <w:pStyle w:val="2"/>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96680" cy="5804535"/>
            <wp:effectExtent l="0" t="0" r="13970" b="5715"/>
            <wp:docPr id="12" name="图片 12" descr="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水系图"/>
                    <pic:cNvPicPr>
                      <a:picLocks noChangeAspect="1"/>
                    </pic:cNvPicPr>
                  </pic:nvPicPr>
                  <pic:blipFill>
                    <a:blip r:embed="rId13"/>
                    <a:stretch>
                      <a:fillRect/>
                    </a:stretch>
                  </pic:blipFill>
                  <pic:spPr>
                    <a:xfrm>
                      <a:off x="0" y="0"/>
                      <a:ext cx="8996680" cy="5804535"/>
                    </a:xfrm>
                    <a:prstGeom prst="rect">
                      <a:avLst/>
                    </a:prstGeom>
                  </pic:spPr>
                </pic:pic>
              </a:graphicData>
            </a:graphic>
          </wp:inline>
        </w:drawing>
      </w:r>
    </w:p>
    <w:p w14:paraId="246DC080">
      <w:pPr>
        <w:pStyle w:val="4"/>
        <w:rPr>
          <w:color w:val="auto"/>
        </w:rPr>
      </w:pPr>
    </w:p>
    <w:p w14:paraId="52A16DB6">
      <w:pPr>
        <w:pStyle w:val="8"/>
        <w:rPr>
          <w:color w:val="auto"/>
        </w:rPr>
      </w:pPr>
      <w:bookmarkStart w:id="58" w:name="_Toc24130"/>
      <w:bookmarkStart w:id="59" w:name="_Toc2115"/>
      <w:bookmarkStart w:id="60" w:name="_Toc24517"/>
      <w:bookmarkStart w:id="61" w:name="_Toc26514"/>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5</w:t>
      </w:r>
      <w:r>
        <w:rPr>
          <w:rFonts w:hint="eastAsia"/>
          <w:color w:val="auto"/>
        </w:rPr>
        <w:t xml:space="preserve">  </w:t>
      </w:r>
      <w:r>
        <w:rPr>
          <w:color w:val="auto"/>
        </w:rPr>
        <w:t>地质与水文地质条件</w:t>
      </w:r>
      <w:bookmarkEnd w:id="58"/>
      <w:bookmarkEnd w:id="59"/>
      <w:bookmarkEnd w:id="60"/>
      <w:bookmarkEnd w:id="61"/>
    </w:p>
    <w:p w14:paraId="583137DB">
      <w:pPr>
        <w:pStyle w:val="9"/>
        <w:bidi w:val="0"/>
        <w:rPr>
          <w:color w:val="auto"/>
        </w:rPr>
      </w:pPr>
      <w:bookmarkStart w:id="62" w:name="_Toc23805"/>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土壤地质分布</w:t>
      </w:r>
      <w:bookmarkEnd w:id="62"/>
    </w:p>
    <w:p w14:paraId="017A400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沁水县土壤有棕壤、褐土、山地草甸土、浅色草甸土四种土类，以褐土为主。共分</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color w:val="auto"/>
          <w:sz w:val="28"/>
          <w:szCs w:val="28"/>
        </w:rPr>
        <w:t>个亚类</w:t>
      </w:r>
      <w:r>
        <w:rPr>
          <w:rFonts w:hint="eastAsia" w:ascii="Times New Roman" w:hAnsi="Times New Roman" w:eastAsia="仿宋" w:cs="仿宋_GB2312"/>
          <w:snapToGrid w:val="0"/>
          <w:color w:val="auto"/>
          <w:kern w:val="0"/>
          <w:sz w:val="28"/>
          <w:szCs w:val="28"/>
        </w:rPr>
        <w:t>23</w:t>
      </w:r>
      <w:r>
        <w:rPr>
          <w:rFonts w:hint="eastAsia" w:ascii="仿宋" w:hAnsi="仿宋" w:eastAsia="仿宋" w:cs="仿宋"/>
          <w:color w:val="auto"/>
          <w:sz w:val="28"/>
          <w:szCs w:val="28"/>
        </w:rPr>
        <w:t>个土属</w:t>
      </w:r>
      <w:r>
        <w:rPr>
          <w:rFonts w:hint="eastAsia" w:ascii="Times New Roman" w:hAnsi="Times New Roman" w:eastAsia="仿宋" w:cs="仿宋_GB2312"/>
          <w:snapToGrid w:val="0"/>
          <w:color w:val="auto"/>
          <w:kern w:val="0"/>
          <w:sz w:val="28"/>
          <w:szCs w:val="28"/>
        </w:rPr>
        <w:t>40</w:t>
      </w:r>
      <w:r>
        <w:rPr>
          <w:rFonts w:hint="eastAsia" w:ascii="仿宋" w:hAnsi="仿宋" w:eastAsia="仿宋" w:cs="仿宋"/>
          <w:color w:val="auto"/>
          <w:sz w:val="28"/>
          <w:szCs w:val="28"/>
        </w:rPr>
        <w:t>个土种。</w:t>
      </w:r>
    </w:p>
    <w:p w14:paraId="06E24A0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棕壤是沁水县原始森林和高山残存林区的重要土壤，分布在舜王坪草甸土以下，淋溶褐土以上的针阔叶混交林区，在本县仅山地棕壤一个亚类。根据其母质和层次的不同，可分为一个土属，一个土种。      </w:t>
      </w:r>
    </w:p>
    <w:p w14:paraId="10298026">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褐土是沁水县分布最广、范围最大的一类地带性土壤，遍及</w:t>
      </w:r>
      <w:r>
        <w:rPr>
          <w:rFonts w:hint="eastAsia" w:ascii="Times New Roman" w:hAnsi="Times New Roman" w:eastAsia="仿宋" w:cs="仿宋_GB2312"/>
          <w:snapToGrid w:val="0"/>
          <w:color w:val="auto"/>
          <w:kern w:val="0"/>
          <w:sz w:val="28"/>
          <w:szCs w:val="28"/>
        </w:rPr>
        <w:t>12</w:t>
      </w:r>
      <w:r>
        <w:rPr>
          <w:rFonts w:hint="eastAsia" w:ascii="仿宋" w:hAnsi="仿宋" w:eastAsia="仿宋" w:cs="仿宋"/>
          <w:color w:val="auto"/>
          <w:sz w:val="28"/>
          <w:szCs w:val="28"/>
        </w:rPr>
        <w:t>个乡镇。根据褐土土类不同的成土过程，本县可分为淋溶褐土、粗骨性褐土、山地褐土、褐土性土、碳酸盐褐土</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color w:val="auto"/>
          <w:sz w:val="28"/>
          <w:szCs w:val="28"/>
        </w:rPr>
        <w:t>个亚类。</w:t>
      </w:r>
    </w:p>
    <w:p w14:paraId="154BDE7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山地草甸土是沁水县特有的亚高山牧草土壤，分布在海拔</w:t>
      </w:r>
      <w:r>
        <w:rPr>
          <w:rFonts w:hint="eastAsia" w:ascii="Times New Roman" w:hAnsi="Times New Roman" w:eastAsia="仿宋" w:cs="仿宋_GB2312"/>
          <w:snapToGrid w:val="0"/>
          <w:color w:val="auto"/>
          <w:kern w:val="0"/>
          <w:sz w:val="28"/>
          <w:szCs w:val="28"/>
        </w:rPr>
        <w:t>2200</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以上的历山舜王坪顶部的缓坡平台处，发育在黄土母质上，是当地高寒多风湿润气候和山地草原草甸植被条件下发育成的半水成土壤，在本县只有一个土类、一个亚类、一个土属、一个土种，即厚层黄土质山地草甸土。</w:t>
      </w:r>
    </w:p>
    <w:p w14:paraId="210E5D8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浅色草甸土分布于龙港、郑庄、端氏、嘉峰、十里、胡底、柿庄等乡镇的河谷地带和一级阶地上，是本县河谷地带特定地形和水文条件综合作用下形成的区域性土壤。在本县只有一个亚类，地下水较浅，在</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2m</w:t>
      </w:r>
      <w:r>
        <w:rPr>
          <w:rFonts w:hint="eastAsia" w:ascii="仿宋" w:hAnsi="仿宋" w:eastAsia="仿宋" w:cs="仿宋"/>
          <w:color w:val="auto"/>
          <w:sz w:val="28"/>
          <w:szCs w:val="28"/>
        </w:rPr>
        <w:t>之间，多为耕种土壤。</w:t>
      </w:r>
    </w:p>
    <w:p w14:paraId="1746DBA1">
      <w:pPr>
        <w:pStyle w:val="9"/>
        <w:bidi w:val="0"/>
        <w:rPr>
          <w:rFonts w:hint="eastAsia" w:ascii="Arial" w:hAnsi="Arial" w:cs="Times New Roman"/>
          <w:color w:val="auto"/>
          <w:lang w:val="en-US" w:eastAsia="zh-CN"/>
        </w:rPr>
      </w:pPr>
      <w:bookmarkStart w:id="63" w:name="_Toc447792876"/>
      <w:bookmarkStart w:id="64" w:name="_Toc14811"/>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区域地质</w:t>
      </w:r>
    </w:p>
    <w:p w14:paraId="080DFC7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w:t>
      </w:r>
      <w:r>
        <w:rPr>
          <w:rFonts w:ascii="仿宋" w:hAnsi="仿宋" w:eastAsia="仿宋" w:cs="仿宋"/>
          <w:color w:val="auto"/>
          <w:sz w:val="28"/>
          <w:szCs w:val="28"/>
        </w:rPr>
        <w:t>地表总的趋势为北高南低，最高点位于舜王坪最高山顶峰，高程</w:t>
      </w:r>
      <w:r>
        <w:rPr>
          <w:rFonts w:ascii="Times New Roman" w:hAnsi="Times New Roman" w:cs="仿宋_GB2312"/>
          <w:color w:val="auto"/>
          <w:sz w:val="28"/>
          <w:szCs w:val="28"/>
        </w:rPr>
        <w:t>2322m</w:t>
      </w:r>
      <w:r>
        <w:rPr>
          <w:rFonts w:ascii="Times New Roman" w:hAnsi="Times New Roman"/>
          <w:color w:val="auto"/>
          <w:sz w:val="28"/>
          <w:szCs w:val="28"/>
        </w:rPr>
        <w:t>，</w:t>
      </w:r>
      <w:r>
        <w:rPr>
          <w:rFonts w:ascii="仿宋" w:hAnsi="仿宋" w:eastAsia="仿宋" w:cs="仿宋"/>
          <w:color w:val="auto"/>
          <w:sz w:val="28"/>
          <w:szCs w:val="28"/>
        </w:rPr>
        <w:t>最低点位于沁河汇合处，高程</w:t>
      </w:r>
      <w:r>
        <w:rPr>
          <w:rFonts w:ascii="Times New Roman" w:hAnsi="Times New Roman" w:cs="仿宋_GB2312"/>
          <w:color w:val="auto"/>
          <w:sz w:val="28"/>
          <w:szCs w:val="28"/>
        </w:rPr>
        <w:t>560m</w:t>
      </w:r>
      <w:r>
        <w:rPr>
          <w:rFonts w:ascii="Times New Roman" w:hAnsi="Times New Roman"/>
          <w:color w:val="auto"/>
          <w:sz w:val="28"/>
          <w:szCs w:val="28"/>
        </w:rPr>
        <w:t>，</w:t>
      </w:r>
      <w:r>
        <w:rPr>
          <w:rFonts w:ascii="仿宋" w:hAnsi="仿宋" w:eastAsia="仿宋" w:cs="仿宋"/>
          <w:color w:val="auto"/>
          <w:sz w:val="28"/>
          <w:szCs w:val="28"/>
        </w:rPr>
        <w:t>相对高差</w:t>
      </w:r>
      <w:r>
        <w:rPr>
          <w:rFonts w:ascii="Times New Roman" w:hAnsi="Times New Roman" w:cs="仿宋_GB2312"/>
          <w:color w:val="auto"/>
          <w:sz w:val="28"/>
          <w:szCs w:val="28"/>
        </w:rPr>
        <w:t>1762m</w:t>
      </w:r>
      <w:r>
        <w:rPr>
          <w:rFonts w:ascii="Times New Roman" w:hAnsi="Times New Roman"/>
          <w:color w:val="auto"/>
          <w:sz w:val="28"/>
          <w:szCs w:val="28"/>
        </w:rPr>
        <w:t>，</w:t>
      </w:r>
      <w:r>
        <w:rPr>
          <w:rFonts w:ascii="仿宋" w:hAnsi="仿宋" w:eastAsia="仿宋" w:cs="仿宋"/>
          <w:color w:val="auto"/>
          <w:sz w:val="28"/>
          <w:szCs w:val="28"/>
        </w:rPr>
        <w:t>属剥蚀强烈的低山丘陵区，区内山势雄伟，沟谷纵横，多呈</w:t>
      </w:r>
      <w:r>
        <w:rPr>
          <w:rFonts w:hint="eastAsia" w:ascii="Times New Roman" w:hAnsi="Times New Roman" w:eastAsia="仿宋"/>
          <w:color w:val="auto"/>
          <w:sz w:val="28"/>
          <w:szCs w:val="28"/>
        </w:rPr>
        <w:t>“</w:t>
      </w:r>
      <w:r>
        <w:rPr>
          <w:rFonts w:ascii="Times New Roman" w:hAnsi="Times New Roman" w:cs="仿宋_GB2312"/>
          <w:color w:val="auto"/>
          <w:sz w:val="28"/>
          <w:szCs w:val="28"/>
        </w:rPr>
        <w:t>V</w:t>
      </w:r>
      <w:r>
        <w:rPr>
          <w:rFonts w:hint="eastAsia" w:ascii="Times New Roman" w:hAnsi="Times New Roman"/>
          <w:color w:val="auto"/>
          <w:sz w:val="28"/>
          <w:szCs w:val="28"/>
        </w:rPr>
        <w:t>”</w:t>
      </w:r>
      <w:r>
        <w:rPr>
          <w:rFonts w:ascii="仿宋" w:hAnsi="仿宋" w:eastAsia="仿宋" w:cs="仿宋"/>
          <w:color w:val="auto"/>
          <w:sz w:val="28"/>
          <w:szCs w:val="28"/>
        </w:rPr>
        <w:t>字型</w:t>
      </w:r>
      <w:r>
        <w:rPr>
          <w:rFonts w:ascii="Times New Roman" w:hAnsi="Times New Roman"/>
          <w:color w:val="auto"/>
          <w:sz w:val="28"/>
          <w:szCs w:val="28"/>
        </w:rPr>
        <w:t>、</w:t>
      </w:r>
      <w:r>
        <w:rPr>
          <w:rFonts w:ascii="仿宋" w:hAnsi="仿宋" w:eastAsia="仿宋" w:cs="仿宋"/>
          <w:color w:val="auto"/>
          <w:sz w:val="28"/>
          <w:szCs w:val="28"/>
        </w:rPr>
        <w:t>树枝状沟谷。</w:t>
      </w:r>
    </w:p>
    <w:p w14:paraId="5C94C11A">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根据地质调查，区域出露的地层有：元古界震旦系云梦山组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y</w:t>
      </w:r>
      <w:r>
        <w:rPr>
          <w:rFonts w:ascii="Times New Roman" w:hAnsi="Times New Roman"/>
          <w:color w:val="auto"/>
          <w:sz w:val="28"/>
          <w:szCs w:val="28"/>
        </w:rPr>
        <w:t>）、</w:t>
      </w:r>
      <w:r>
        <w:rPr>
          <w:rFonts w:ascii="仿宋" w:hAnsi="仿宋" w:eastAsia="仿宋" w:cs="仿宋"/>
          <w:color w:val="auto"/>
          <w:sz w:val="28"/>
          <w:szCs w:val="28"/>
        </w:rPr>
        <w:t>白草坪组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北大尖组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bd</w:t>
      </w:r>
      <w:r>
        <w:rPr>
          <w:rFonts w:ascii="Times New Roman" w:hAnsi="Times New Roman"/>
          <w:color w:val="auto"/>
          <w:sz w:val="28"/>
          <w:szCs w:val="28"/>
        </w:rPr>
        <w:t>），</w:t>
      </w:r>
      <w:r>
        <w:rPr>
          <w:rFonts w:ascii="仿宋" w:hAnsi="仿宋" w:eastAsia="仿宋" w:cs="仿宋"/>
          <w:color w:val="auto"/>
          <w:sz w:val="28"/>
          <w:szCs w:val="28"/>
        </w:rPr>
        <w:t>下古生界寒武系下统馒头组（</w:t>
      </w:r>
      <w:r>
        <w:rPr>
          <w:rFonts w:ascii="Times New Roman" w:hAnsi="Times New Roman"/>
          <w:color w:val="auto"/>
          <w:sz w:val="28"/>
          <w:szCs w:val="28"/>
        </w:rPr>
        <w: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m</w:t>
      </w:r>
      <w:r>
        <w:rPr>
          <w:rFonts w:ascii="Times New Roman" w:hAnsi="Times New Roman"/>
          <w:color w:val="auto"/>
          <w:sz w:val="28"/>
          <w:szCs w:val="28"/>
        </w:rPr>
        <w:t>）、</w:t>
      </w:r>
      <w:r>
        <w:rPr>
          <w:rFonts w:ascii="仿宋" w:hAnsi="仿宋" w:eastAsia="仿宋" w:cs="仿宋"/>
          <w:color w:val="auto"/>
          <w:sz w:val="28"/>
          <w:szCs w:val="28"/>
        </w:rPr>
        <w:t>中统徐庄组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和张夏组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z</w:t>
      </w:r>
      <w:r>
        <w:rPr>
          <w:rFonts w:ascii="Times New Roman" w:hAnsi="Times New Roman"/>
          <w:color w:val="auto"/>
          <w:sz w:val="28"/>
          <w:szCs w:val="28"/>
        </w:rPr>
        <w:t>）、</w:t>
      </w:r>
      <w:r>
        <w:rPr>
          <w:rFonts w:ascii="仿宋" w:hAnsi="仿宋" w:eastAsia="仿宋" w:cs="仿宋"/>
          <w:color w:val="auto"/>
          <w:sz w:val="28"/>
          <w:szCs w:val="28"/>
        </w:rPr>
        <w:t>上统三山子组</w:t>
      </w:r>
      <w:r>
        <w:rPr>
          <w:rFonts w:ascii="Times New Roman" w:hAnsi="Times New Roman"/>
          <w:color w:val="auto"/>
          <w:sz w:val="28"/>
          <w:szCs w:val="28"/>
        </w:rPr>
        <w:t>（∈</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奥陶系下统三山子组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中统下马家沟组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和上马家沟组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上古生界石炭系中统本溪组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上统太原组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t</w:t>
      </w:r>
      <w:r>
        <w:rPr>
          <w:rFonts w:ascii="Times New Roman" w:hAnsi="Times New Roman"/>
          <w:color w:val="auto"/>
          <w:sz w:val="28"/>
          <w:szCs w:val="28"/>
        </w:rPr>
        <w:t>），</w:t>
      </w:r>
      <w:r>
        <w:rPr>
          <w:rFonts w:ascii="仿宋" w:hAnsi="仿宋" w:eastAsia="仿宋" w:cs="仿宋"/>
          <w:color w:val="auto"/>
          <w:sz w:val="28"/>
          <w:szCs w:val="28"/>
        </w:rPr>
        <w:t>二叠系下统山西组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和下石盒子组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上统上石盒子组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石千峰组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sh</w:t>
      </w:r>
      <w:r>
        <w:rPr>
          <w:rFonts w:ascii="Times New Roman" w:hAnsi="Times New Roman"/>
          <w:color w:val="auto"/>
          <w:sz w:val="28"/>
          <w:szCs w:val="28"/>
        </w:rPr>
        <w:t>）；</w:t>
      </w:r>
      <w:r>
        <w:rPr>
          <w:rFonts w:ascii="仿宋" w:hAnsi="仿宋" w:eastAsia="仿宋" w:cs="仿宋"/>
          <w:color w:val="auto"/>
          <w:sz w:val="28"/>
          <w:szCs w:val="28"/>
        </w:rPr>
        <w:t>中生界三叠系下统刘家沟组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l</w:t>
      </w:r>
      <w:r>
        <w:rPr>
          <w:rFonts w:ascii="Times New Roman" w:hAnsi="Times New Roman"/>
          <w:color w:val="auto"/>
          <w:sz w:val="28"/>
          <w:szCs w:val="28"/>
        </w:rPr>
        <w:t>）</w:t>
      </w:r>
      <w:r>
        <w:rPr>
          <w:rFonts w:ascii="仿宋" w:hAnsi="仿宋" w:eastAsia="仿宋" w:cs="仿宋"/>
          <w:color w:val="auto"/>
          <w:sz w:val="28"/>
          <w:szCs w:val="28"/>
        </w:rPr>
        <w:t>和尚沟组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h</w:t>
      </w:r>
      <w:r>
        <w:rPr>
          <w:rFonts w:ascii="Times New Roman" w:hAnsi="Times New Roman"/>
          <w:color w:val="auto"/>
          <w:sz w:val="28"/>
          <w:szCs w:val="28"/>
        </w:rPr>
        <w:t>）；</w:t>
      </w:r>
      <w:r>
        <w:rPr>
          <w:rFonts w:ascii="仿宋" w:hAnsi="仿宋" w:eastAsia="仿宋" w:cs="仿宋"/>
          <w:color w:val="auto"/>
          <w:sz w:val="28"/>
          <w:szCs w:val="28"/>
        </w:rPr>
        <w:t>新生界第四系中更新统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2</w:t>
      </w:r>
      <w:r>
        <w:rPr>
          <w:rFonts w:ascii="Times New Roman" w:hAnsi="Times New Roman"/>
          <w:color w:val="auto"/>
          <w:sz w:val="28"/>
          <w:szCs w:val="28"/>
        </w:rPr>
        <w:t>）、</w:t>
      </w:r>
      <w:r>
        <w:rPr>
          <w:rFonts w:ascii="仿宋" w:hAnsi="仿宋" w:eastAsia="仿宋" w:cs="仿宋"/>
          <w:color w:val="auto"/>
          <w:sz w:val="28"/>
          <w:szCs w:val="28"/>
        </w:rPr>
        <w:t>上更新统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3</w:t>
      </w:r>
      <w:r>
        <w:rPr>
          <w:rFonts w:ascii="Times New Roman" w:hAnsi="Times New Roman"/>
          <w:color w:val="auto"/>
          <w:sz w:val="28"/>
          <w:szCs w:val="28"/>
        </w:rPr>
        <w:t>）、</w:t>
      </w:r>
      <w:r>
        <w:rPr>
          <w:rFonts w:ascii="仿宋" w:hAnsi="仿宋" w:eastAsia="仿宋" w:cs="仿宋"/>
          <w:color w:val="auto"/>
          <w:sz w:val="28"/>
          <w:szCs w:val="28"/>
        </w:rPr>
        <w:t>全新统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4</w:t>
      </w:r>
      <w:r>
        <w:rPr>
          <w:rFonts w:ascii="Times New Roman" w:hAnsi="Times New Roman"/>
          <w:color w:val="auto"/>
          <w:sz w:val="28"/>
          <w:szCs w:val="28"/>
        </w:rPr>
        <w:t>）</w:t>
      </w:r>
      <w:r>
        <w:rPr>
          <w:rFonts w:ascii="仿宋" w:hAnsi="仿宋" w:eastAsia="仿宋" w:cs="仿宋"/>
          <w:color w:val="auto"/>
          <w:sz w:val="28"/>
          <w:szCs w:val="28"/>
        </w:rPr>
        <w:t>及人工堆积物（</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S</w:t>
      </w:r>
      <w:r>
        <w:rPr>
          <w:rFonts w:ascii="Times New Roman" w:hAnsi="Times New Roman"/>
          <w:color w:val="auto"/>
          <w:sz w:val="28"/>
          <w:szCs w:val="28"/>
        </w:rPr>
        <w:t>）。</w:t>
      </w:r>
    </w:p>
    <w:p w14:paraId="47EF3684">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根据《中国地震动参数区划图》</w:t>
      </w:r>
      <w:r>
        <w:rPr>
          <w:rFonts w:ascii="Times New Roman" w:hAnsi="Times New Roman"/>
          <w:color w:val="auto"/>
          <w:sz w:val="28"/>
          <w:szCs w:val="28"/>
        </w:rPr>
        <w:t>（</w:t>
      </w:r>
      <w:r>
        <w:rPr>
          <w:rFonts w:ascii="Times New Roman" w:hAnsi="Times New Roman" w:cs="仿宋_GB2312"/>
          <w:color w:val="auto"/>
          <w:sz w:val="28"/>
          <w:szCs w:val="28"/>
        </w:rPr>
        <w:t>GB18306</w:t>
      </w:r>
      <w:r>
        <w:rPr>
          <w:rFonts w:ascii="Times New Roman" w:hAnsi="Times New Roman"/>
          <w:color w:val="auto"/>
          <w:sz w:val="28"/>
          <w:szCs w:val="28"/>
        </w:rPr>
        <w:t>-</w:t>
      </w:r>
      <w:r>
        <w:rPr>
          <w:rFonts w:ascii="Times New Roman" w:hAnsi="Times New Roman" w:cs="仿宋_GB2312"/>
          <w:color w:val="auto"/>
          <w:sz w:val="28"/>
          <w:szCs w:val="28"/>
        </w:rPr>
        <w:t>2015</w:t>
      </w:r>
      <w:r>
        <w:rPr>
          <w:rFonts w:ascii="Times New Roman" w:hAnsi="Times New Roman"/>
          <w:color w:val="auto"/>
          <w:sz w:val="28"/>
          <w:szCs w:val="28"/>
        </w:rPr>
        <w:t>）、</w:t>
      </w:r>
      <w:r>
        <w:rPr>
          <w:rFonts w:ascii="仿宋" w:hAnsi="仿宋" w:eastAsia="仿宋" w:cs="仿宋"/>
          <w:color w:val="auto"/>
          <w:sz w:val="28"/>
          <w:szCs w:val="28"/>
        </w:rPr>
        <w:t>《建筑抗震设计规范》</w:t>
      </w:r>
      <w:r>
        <w:rPr>
          <w:rFonts w:ascii="Times New Roman" w:hAnsi="Times New Roman"/>
          <w:color w:val="auto"/>
          <w:sz w:val="28"/>
          <w:szCs w:val="28"/>
        </w:rPr>
        <w:t>（</w:t>
      </w:r>
      <w:r>
        <w:rPr>
          <w:rFonts w:ascii="Times New Roman" w:hAnsi="Times New Roman" w:cs="仿宋_GB2312"/>
          <w:color w:val="auto"/>
          <w:sz w:val="28"/>
          <w:szCs w:val="28"/>
        </w:rPr>
        <w:t>GB50011</w:t>
      </w:r>
      <w:r>
        <w:rPr>
          <w:rFonts w:ascii="Times New Roman" w:hAnsi="Times New Roman"/>
          <w:color w:val="auto"/>
          <w:sz w:val="28"/>
          <w:szCs w:val="28"/>
        </w:rPr>
        <w:t>-</w:t>
      </w:r>
      <w:r>
        <w:rPr>
          <w:rFonts w:ascii="Times New Roman" w:hAnsi="Times New Roman" w:cs="仿宋_GB2312"/>
          <w:color w:val="auto"/>
          <w:sz w:val="28"/>
          <w:szCs w:val="28"/>
        </w:rPr>
        <w:t>2010</w:t>
      </w:r>
      <w:r>
        <w:rPr>
          <w:rFonts w:ascii="Times New Roman" w:hAnsi="Times New Roman"/>
          <w:color w:val="auto"/>
          <w:sz w:val="28"/>
          <w:szCs w:val="28"/>
        </w:rPr>
        <w:t>），</w:t>
      </w:r>
      <w:r>
        <w:rPr>
          <w:rFonts w:ascii="仿宋" w:hAnsi="仿宋" w:eastAsia="仿宋" w:cs="仿宋"/>
          <w:color w:val="auto"/>
          <w:sz w:val="28"/>
          <w:szCs w:val="28"/>
        </w:rPr>
        <w:t>地震动峰值加速度值</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10g</w:t>
      </w:r>
      <w:r>
        <w:rPr>
          <w:rFonts w:ascii="Times New Roman" w:hAnsi="Times New Roman"/>
          <w:color w:val="auto"/>
          <w:sz w:val="28"/>
          <w:szCs w:val="28"/>
        </w:rPr>
        <w:t>，</w:t>
      </w:r>
      <w:r>
        <w:rPr>
          <w:rFonts w:ascii="仿宋" w:hAnsi="仿宋" w:eastAsia="仿宋" w:cs="仿宋"/>
          <w:color w:val="auto"/>
          <w:sz w:val="28"/>
          <w:szCs w:val="28"/>
        </w:rPr>
        <w:t>地震动反应谱特征周期</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45s</w:t>
      </w:r>
      <w:r>
        <w:rPr>
          <w:rFonts w:ascii="Times New Roman" w:hAnsi="Times New Roman"/>
          <w:color w:val="auto"/>
          <w:sz w:val="28"/>
          <w:szCs w:val="28"/>
        </w:rPr>
        <w:t>，</w:t>
      </w:r>
      <w:r>
        <w:rPr>
          <w:rFonts w:ascii="仿宋" w:hAnsi="仿宋" w:eastAsia="仿宋" w:cs="仿宋"/>
          <w:color w:val="auto"/>
          <w:sz w:val="28"/>
          <w:szCs w:val="28"/>
        </w:rPr>
        <w:t>地震基本烈度为</w:t>
      </w:r>
      <w:r>
        <w:rPr>
          <w:rFonts w:ascii="Times New Roman" w:hAnsi="Times New Roman" w:eastAsia="仿宋"/>
          <w:color w:val="auto"/>
          <w:sz w:val="28"/>
          <w:szCs w:val="28"/>
        </w:rPr>
        <w:t>Ⅵ</w:t>
      </w:r>
      <w:r>
        <w:rPr>
          <w:rFonts w:ascii="仿宋" w:hAnsi="仿宋" w:eastAsia="仿宋" w:cs="仿宋"/>
          <w:color w:val="auto"/>
          <w:sz w:val="28"/>
          <w:szCs w:val="28"/>
        </w:rPr>
        <w:t>度</w:t>
      </w:r>
      <w:r>
        <w:rPr>
          <w:rFonts w:ascii="Times New Roman" w:hAnsi="Times New Roman"/>
          <w:color w:val="auto"/>
          <w:sz w:val="28"/>
          <w:szCs w:val="28"/>
        </w:rPr>
        <w:t>。</w:t>
      </w:r>
    </w:p>
    <w:p w14:paraId="7D801E5F">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水文地质</w:t>
      </w:r>
      <w:bookmarkEnd w:id="63"/>
      <w:bookmarkEnd w:id="64"/>
      <w:r>
        <w:rPr>
          <w:rFonts w:hint="eastAsia" w:ascii="Arial" w:hAnsi="Arial" w:cs="Times New Roman"/>
          <w:color w:val="auto"/>
          <w:lang w:val="en-US" w:eastAsia="zh-CN"/>
        </w:rPr>
        <w:t>条件</w:t>
      </w:r>
    </w:p>
    <w:p w14:paraId="007C46A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在区域地质构造上处于山西陆台东南部、沁水向斜的南缘，因受新华夏构造体系和晋东南山字型构造的控制，以及南部秦岭纬向构造带的影响，境内构造复杂，构造线走向南北，西南则发育有正东西构造和旋扭构造，县境内出露地层尚较齐全，自南向北，由老到新，分别为：元古界震旦系，下生界寒武系，奥陶系，上古生界石炭系，二迭系，中生界三迭系及新生界第四系。县境内断层与构造较发育，东部以褶皱构造为主，西（南）部断层密集，主要有樊村河至安泽唐村褶皱断裂带、复式向斜、晋东南山字型构造前孤西翼、山字型脊柱以及帚状构造五个构造。</w:t>
      </w:r>
    </w:p>
    <w:p w14:paraId="24F80D07">
      <w:pPr>
        <w:pStyle w:val="7"/>
        <w:rPr>
          <w:color w:val="auto"/>
        </w:rPr>
      </w:pPr>
      <w:bookmarkStart w:id="65" w:name="_Toc30400"/>
      <w:bookmarkStart w:id="66" w:name="_Toc11298"/>
      <w:bookmarkStart w:id="67" w:name="_Toc26202"/>
      <w:bookmarkStart w:id="68" w:name="_Toc32249"/>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社会经济情</w:t>
      </w:r>
      <w:r>
        <w:rPr>
          <w:color w:val="auto"/>
        </w:rPr>
        <w:t>况</w:t>
      </w:r>
      <w:bookmarkEnd w:id="65"/>
      <w:bookmarkEnd w:id="66"/>
      <w:bookmarkEnd w:id="67"/>
      <w:bookmarkEnd w:id="68"/>
    </w:p>
    <w:p w14:paraId="51F195BC">
      <w:pPr>
        <w:pStyle w:val="8"/>
        <w:rPr>
          <w:color w:val="auto"/>
        </w:rPr>
      </w:pPr>
      <w:bookmarkStart w:id="69" w:name="_Toc17818"/>
      <w:bookmarkStart w:id="70" w:name="_Toc22653"/>
      <w:bookmarkStart w:id="71" w:name="_Toc6847"/>
      <w:bookmarkStart w:id="72" w:name="_Toc5908"/>
      <w:bookmarkStart w:id="73" w:name="_Toc26065"/>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color w:val="auto"/>
        </w:rPr>
        <w:t>行政区域及人口</w:t>
      </w:r>
      <w:bookmarkEnd w:id="69"/>
      <w:bookmarkEnd w:id="70"/>
      <w:bookmarkEnd w:id="71"/>
      <w:bookmarkEnd w:id="72"/>
      <w:bookmarkEnd w:id="73"/>
    </w:p>
    <w:p w14:paraId="079918FC">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截止至</w:t>
      </w:r>
      <w:r>
        <w:rPr>
          <w:rFonts w:ascii="Times New Roman" w:hAnsi="Times New Roman" w:cs="仿宋_GB2312"/>
          <w:color w:val="auto"/>
          <w:sz w:val="28"/>
          <w:szCs w:val="28"/>
        </w:rPr>
        <w:t>20</w:t>
      </w:r>
      <w:r>
        <w:rPr>
          <w:rFonts w:hint="eastAsia" w:ascii="Times New Roman" w:hAnsi="Times New Roman" w:cs="仿宋_GB2312"/>
          <w:color w:val="auto"/>
          <w:sz w:val="28"/>
          <w:szCs w:val="28"/>
        </w:rPr>
        <w:t>20</w:t>
      </w:r>
      <w:r>
        <w:rPr>
          <w:rFonts w:hint="eastAsia" w:ascii="仿宋" w:hAnsi="仿宋" w:eastAsia="仿宋" w:cs="仿宋"/>
          <w:color w:val="auto"/>
          <w:sz w:val="28"/>
          <w:szCs w:val="28"/>
        </w:rPr>
        <w:t>年底，沁水县下辖龙港镇、中村镇、郑庄镇、端氏镇、嘉峰镇、郑村镇、柿庄镇</w:t>
      </w:r>
      <w:r>
        <w:rPr>
          <w:rFonts w:ascii="Times New Roman" w:hAnsi="Times New Roman" w:cs="仿宋_GB2312"/>
          <w:color w:val="auto"/>
          <w:sz w:val="28"/>
          <w:szCs w:val="28"/>
        </w:rPr>
        <w:t>7</w:t>
      </w:r>
      <w:r>
        <w:rPr>
          <w:rFonts w:hint="eastAsia" w:ascii="仿宋" w:hAnsi="仿宋" w:eastAsia="仿宋" w:cs="仿宋"/>
          <w:color w:val="auto"/>
          <w:sz w:val="28"/>
          <w:szCs w:val="28"/>
        </w:rPr>
        <w:t>个镇和土沃乡、张村乡、胡底乡、固县乡、十里乡</w:t>
      </w:r>
      <w:r>
        <w:rPr>
          <w:rFonts w:ascii="Times New Roman" w:hAnsi="Times New Roman"/>
          <w:color w:val="auto"/>
          <w:sz w:val="28"/>
          <w:szCs w:val="28"/>
        </w:rPr>
        <w:t> </w:t>
      </w:r>
      <w:r>
        <w:rPr>
          <w:rFonts w:hint="eastAsia" w:ascii="Times New Roman" w:hAnsi="Times New Roman" w:cs="仿宋_GB2312"/>
          <w:color w:val="auto"/>
          <w:sz w:val="28"/>
          <w:szCs w:val="28"/>
        </w:rPr>
        <w:t>5</w:t>
      </w:r>
      <w:r>
        <w:rPr>
          <w:rFonts w:ascii="Times New Roman" w:hAnsi="Times New Roman"/>
          <w:color w:val="auto"/>
          <w:sz w:val="28"/>
          <w:szCs w:val="28"/>
        </w:rPr>
        <w:t xml:space="preserve"> </w:t>
      </w:r>
      <w:r>
        <w:rPr>
          <w:rFonts w:hint="eastAsia" w:ascii="仿宋" w:hAnsi="仿宋" w:eastAsia="仿宋" w:cs="仿宋"/>
          <w:color w:val="auto"/>
          <w:sz w:val="28"/>
          <w:szCs w:val="28"/>
        </w:rPr>
        <w:t>个乡。下辖</w:t>
      </w:r>
      <w:r>
        <w:rPr>
          <w:rFonts w:hint="eastAsia" w:ascii="Times New Roman" w:hAnsi="Times New Roman" w:cs="仿宋_GB2312"/>
          <w:color w:val="auto"/>
          <w:sz w:val="28"/>
          <w:szCs w:val="28"/>
        </w:rPr>
        <w:t>184</w:t>
      </w:r>
      <w:r>
        <w:rPr>
          <w:rFonts w:hint="eastAsia" w:ascii="仿宋" w:hAnsi="仿宋" w:eastAsia="仿宋" w:cs="仿宋"/>
          <w:color w:val="auto"/>
          <w:sz w:val="28"/>
          <w:szCs w:val="28"/>
        </w:rPr>
        <w:t>个建制村，</w:t>
      </w:r>
      <w:r>
        <w:rPr>
          <w:rFonts w:ascii="Times New Roman" w:hAnsi="Times New Roman" w:cs="仿宋_GB2312"/>
          <w:color w:val="auto"/>
          <w:sz w:val="28"/>
          <w:szCs w:val="28"/>
        </w:rPr>
        <w:t>9</w:t>
      </w:r>
      <w:r>
        <w:rPr>
          <w:rFonts w:ascii="Times New Roman" w:hAnsi="Times New Roman"/>
          <w:color w:val="auto"/>
          <w:sz w:val="28"/>
          <w:szCs w:val="28"/>
        </w:rPr>
        <w:t>个</w:t>
      </w:r>
      <w:r>
        <w:rPr>
          <w:rFonts w:hint="eastAsia" w:ascii="仿宋" w:hAnsi="仿宋" w:eastAsia="仿宋" w:cs="仿宋"/>
          <w:color w:val="auto"/>
          <w:sz w:val="28"/>
          <w:szCs w:val="28"/>
        </w:rPr>
        <w:t>居民委员会。</w:t>
      </w:r>
    </w:p>
    <w:p w14:paraId="04EF346A">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w:t>
      </w:r>
      <w:r>
        <w:rPr>
          <w:rFonts w:ascii="Times New Roman" w:hAnsi="Times New Roman" w:cs="仿宋_GB2312"/>
          <w:color w:val="auto"/>
          <w:sz w:val="28"/>
          <w:szCs w:val="28"/>
        </w:rPr>
        <w:t>201</w:t>
      </w:r>
      <w:r>
        <w:rPr>
          <w:rFonts w:hint="eastAsia" w:ascii="Times New Roman" w:hAnsi="Times New Roman" w:cs="仿宋_GB2312"/>
          <w:color w:val="auto"/>
          <w:sz w:val="28"/>
          <w:szCs w:val="28"/>
        </w:rPr>
        <w:t>9</w:t>
      </w:r>
      <w:r>
        <w:rPr>
          <w:rFonts w:hint="eastAsia" w:ascii="仿宋" w:hAnsi="仿宋" w:eastAsia="仿宋" w:cs="仿宋"/>
          <w:color w:val="auto"/>
          <w:sz w:val="28"/>
          <w:szCs w:val="28"/>
        </w:rPr>
        <w:t>年末全县户籍人口</w:t>
      </w:r>
      <w:r>
        <w:rPr>
          <w:rFonts w:hint="eastAsia" w:ascii="Times New Roman" w:hAnsi="Times New Roman" w:cs="仿宋_GB2312"/>
          <w:color w:val="auto"/>
          <w:sz w:val="28"/>
          <w:szCs w:val="28"/>
        </w:rPr>
        <w:t>20</w:t>
      </w:r>
      <w:r>
        <w:rPr>
          <w:rFonts w:hint="eastAsia" w:ascii="Times New Roman" w:hAnsi="Times New Roman"/>
          <w:color w:val="auto"/>
          <w:sz w:val="28"/>
          <w:szCs w:val="28"/>
        </w:rPr>
        <w:t>.</w:t>
      </w:r>
      <w:r>
        <w:rPr>
          <w:rFonts w:hint="eastAsia" w:ascii="Times New Roman" w:hAnsi="Times New Roman" w:cs="仿宋_GB2312"/>
          <w:color w:val="auto"/>
          <w:sz w:val="28"/>
          <w:szCs w:val="28"/>
        </w:rPr>
        <w:t>16</w:t>
      </w:r>
      <w:r>
        <w:rPr>
          <w:rFonts w:hint="eastAsia" w:ascii="仿宋" w:hAnsi="仿宋" w:eastAsia="仿宋" w:cs="仿宋"/>
          <w:color w:val="auto"/>
          <w:sz w:val="28"/>
          <w:szCs w:val="28"/>
        </w:rPr>
        <w:t>万人，常住人口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p>
    <w:p w14:paraId="31D1FBD1">
      <w:pPr>
        <w:pStyle w:val="8"/>
        <w:rPr>
          <w:color w:val="auto"/>
        </w:rPr>
      </w:pPr>
      <w:bookmarkStart w:id="74" w:name="_Toc25579"/>
      <w:bookmarkStart w:id="75" w:name="_Toc20718"/>
      <w:bookmarkStart w:id="76" w:name="_Toc12453"/>
      <w:bookmarkStart w:id="77" w:name="_Toc28389"/>
      <w:bookmarkStart w:id="78" w:name="_Toc3458"/>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国民经济发展现状</w:t>
      </w:r>
      <w:bookmarkEnd w:id="74"/>
      <w:bookmarkEnd w:id="75"/>
      <w:bookmarkEnd w:id="76"/>
      <w:bookmarkEnd w:id="77"/>
      <w:bookmarkEnd w:id="78"/>
    </w:p>
    <w:p w14:paraId="1864EEE1">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沁水统计年鉴》，沁水县生产总值</w:t>
      </w:r>
      <w:r>
        <w:rPr>
          <w:rFonts w:hint="eastAsia" w:ascii="Times New Roman" w:hAnsi="Times New Roman" w:cs="仿宋_GB2312"/>
          <w:color w:val="auto"/>
          <w:sz w:val="28"/>
          <w:szCs w:val="28"/>
        </w:rPr>
        <w:t>221</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亿元，按可比价格计算，较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33.4</w:t>
      </w:r>
      <w:r>
        <w:rPr>
          <w:rFonts w:ascii="Times New Roman" w:hAnsi="Times New Roman"/>
          <w:color w:val="auto"/>
          <w:sz w:val="28"/>
          <w:szCs w:val="28"/>
        </w:rPr>
        <w:t>%</w:t>
      </w:r>
      <w:r>
        <w:rPr>
          <w:rFonts w:hint="eastAsia" w:ascii="Times New Roman" w:hAnsi="Times New Roman"/>
          <w:color w:val="auto"/>
          <w:sz w:val="28"/>
          <w:szCs w:val="28"/>
        </w:rPr>
        <w:t>。</w:t>
      </w:r>
      <w:r>
        <w:rPr>
          <w:rFonts w:hint="eastAsia" w:ascii="仿宋" w:hAnsi="仿宋" w:eastAsia="仿宋" w:cs="仿宋"/>
          <w:color w:val="auto"/>
          <w:sz w:val="28"/>
          <w:szCs w:val="28"/>
        </w:rPr>
        <w:t>其中：第一产业增加值完成</w:t>
      </w:r>
      <w:r>
        <w:rPr>
          <w:rFonts w:hint="eastAsia" w:ascii="Times New Roman" w:hAnsi="Times New Roman" w:eastAsia="仿宋"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58.1</w:t>
      </w:r>
      <w:r>
        <w:rPr>
          <w:rFonts w:ascii="Times New Roman" w:hAnsi="Times New Roman"/>
          <w:color w:val="auto"/>
          <w:sz w:val="28"/>
          <w:szCs w:val="28"/>
        </w:rPr>
        <w:t>%；</w:t>
      </w:r>
      <w:r>
        <w:rPr>
          <w:rFonts w:hint="eastAsia" w:ascii="仿宋" w:hAnsi="仿宋" w:eastAsia="仿宋" w:cs="仿宋"/>
          <w:color w:val="auto"/>
          <w:sz w:val="28"/>
          <w:szCs w:val="28"/>
        </w:rPr>
        <w:t>第二产业增加值完成</w:t>
      </w:r>
      <w:r>
        <w:rPr>
          <w:rFonts w:hint="eastAsia" w:ascii="Times New Roman" w:hAnsi="Times New Roman" w:cs="仿宋_GB2312"/>
          <w:color w:val="auto"/>
          <w:sz w:val="28"/>
          <w:szCs w:val="28"/>
        </w:rPr>
        <w:t>162</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39.7</w:t>
      </w:r>
      <w:r>
        <w:rPr>
          <w:rFonts w:ascii="Times New Roman" w:hAnsi="Times New Roman"/>
          <w:color w:val="auto"/>
          <w:sz w:val="28"/>
          <w:szCs w:val="28"/>
        </w:rPr>
        <w:t>%；</w:t>
      </w:r>
      <w:r>
        <w:rPr>
          <w:rFonts w:hint="eastAsia" w:ascii="仿宋" w:hAnsi="仿宋" w:eastAsia="仿宋" w:cs="仿宋"/>
          <w:color w:val="auto"/>
          <w:sz w:val="28"/>
          <w:szCs w:val="28"/>
        </w:rPr>
        <w:t>第三产业增加值</w:t>
      </w:r>
      <w:r>
        <w:rPr>
          <w:rFonts w:hint="eastAsia" w:ascii="Times New Roman" w:hAnsi="Times New Roman" w:eastAsia="仿宋" w:cs="仿宋_GB2312"/>
          <w:color w:val="auto"/>
          <w:sz w:val="28"/>
          <w:szCs w:val="28"/>
        </w:rPr>
        <w:t>48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12.32</w:t>
      </w:r>
      <w:r>
        <w:rPr>
          <w:rFonts w:ascii="Times New Roman" w:hAnsi="Times New Roman"/>
          <w:color w:val="auto"/>
          <w:sz w:val="28"/>
          <w:szCs w:val="28"/>
        </w:rPr>
        <w:t>%。</w:t>
      </w:r>
      <w:r>
        <w:rPr>
          <w:rFonts w:hint="eastAsia" w:ascii="仿宋" w:hAnsi="仿宋" w:eastAsia="仿宋" w:cs="仿宋"/>
          <w:color w:val="auto"/>
          <w:sz w:val="28"/>
          <w:szCs w:val="28"/>
        </w:rPr>
        <w:t>三次产业占</w:t>
      </w:r>
      <w:r>
        <w:rPr>
          <w:rFonts w:ascii="Times New Roman" w:hAnsi="Times New Roman" w:cs="仿宋_GB2312"/>
          <w:color w:val="auto"/>
          <w:sz w:val="28"/>
          <w:szCs w:val="28"/>
        </w:rPr>
        <w:t>GDP</w:t>
      </w:r>
      <w:r>
        <w:rPr>
          <w:rFonts w:hint="eastAsia" w:ascii="仿宋" w:hAnsi="仿宋" w:eastAsia="仿宋" w:cs="仿宋"/>
          <w:color w:val="auto"/>
          <w:sz w:val="28"/>
          <w:szCs w:val="28"/>
        </w:rPr>
        <w:t>的比重由</w:t>
      </w:r>
      <w:r>
        <w:rPr>
          <w:rFonts w:hint="eastAsia" w:ascii="Times New Roman" w:hAnsi="Times New Roman" w:eastAsia="仿宋" w:cs="仿宋"/>
          <w:color w:val="auto"/>
          <w:sz w:val="28"/>
          <w:szCs w:val="28"/>
        </w:rPr>
        <w:t>2015</w:t>
      </w:r>
      <w:r>
        <w:rPr>
          <w:rFonts w:hint="eastAsia" w:ascii="仿宋" w:hAnsi="仿宋" w:eastAsia="仿宋" w:cs="仿宋"/>
          <w:color w:val="auto"/>
          <w:sz w:val="28"/>
          <w:szCs w:val="28"/>
        </w:rPr>
        <w:t>年的</w:t>
      </w:r>
      <w:r>
        <w:rPr>
          <w:rFonts w:hint="eastAsia" w:ascii="Times New Roman" w:hAnsi="Times New Roman" w:eastAsia="仿宋" w:cs="仿宋_GB2312"/>
          <w:color w:val="auto"/>
          <w:sz w:val="28"/>
          <w:szCs w:val="28"/>
        </w:rPr>
        <w:t>3.4</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0.3</w:t>
      </w:r>
      <w:r>
        <w:rPr>
          <w:rFonts w:ascii="Times New Roman" w:hAnsi="Times New Roman"/>
          <w:color w:val="auto"/>
          <w:sz w:val="28"/>
          <w:szCs w:val="28"/>
        </w:rPr>
        <w:t>:</w:t>
      </w:r>
      <w:r>
        <w:rPr>
          <w:rFonts w:hint="eastAsia" w:ascii="Times New Roman" w:hAnsi="Times New Roman" w:cs="仿宋_GB2312"/>
          <w:color w:val="auto"/>
          <w:sz w:val="28"/>
          <w:szCs w:val="28"/>
        </w:rPr>
        <w:t>26.3</w:t>
      </w:r>
      <w:r>
        <w:rPr>
          <w:rFonts w:hint="eastAsia" w:ascii="仿宋" w:hAnsi="仿宋" w:eastAsia="仿宋" w:cs="仿宋"/>
          <w:color w:val="auto"/>
          <w:sz w:val="28"/>
          <w:szCs w:val="28"/>
        </w:rPr>
        <w:t>调整为</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3</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ascii="Times New Roman" w:hAnsi="Times New Roman"/>
          <w:color w:val="auto"/>
          <w:sz w:val="28"/>
          <w:szCs w:val="28"/>
        </w:rPr>
        <w:t>:</w:t>
      </w:r>
      <w:r>
        <w:rPr>
          <w:rFonts w:ascii="Times New Roman" w:hAnsi="Times New Roman" w:cs="仿宋_GB2312"/>
          <w:color w:val="auto"/>
          <w:sz w:val="28"/>
          <w:szCs w:val="28"/>
        </w:rPr>
        <w:t>2</w:t>
      </w:r>
      <w:r>
        <w:rPr>
          <w:rFonts w:hint="eastAsia" w:ascii="Times New Roman" w:hAnsi="Times New Roman" w:cs="仿宋_GB2312"/>
          <w:color w:val="auto"/>
          <w:sz w:val="28"/>
          <w:szCs w:val="28"/>
        </w:rPr>
        <w:t>2</w:t>
      </w:r>
      <w:r>
        <w:rPr>
          <w:rFonts w:hint="eastAsia" w:ascii="Times New Roman" w:hAnsi="Times New Roman"/>
          <w:color w:val="auto"/>
          <w:sz w:val="28"/>
          <w:szCs w:val="28"/>
        </w:rPr>
        <w:t>.</w:t>
      </w:r>
      <w:r>
        <w:rPr>
          <w:rFonts w:hint="eastAsia" w:ascii="Times New Roman" w:hAnsi="Times New Roman" w:cs="仿宋_GB2312"/>
          <w:color w:val="auto"/>
          <w:sz w:val="28"/>
          <w:szCs w:val="28"/>
        </w:rPr>
        <w:t>1</w:t>
      </w:r>
      <w:r>
        <w:rPr>
          <w:rFonts w:ascii="Times New Roman" w:hAnsi="Times New Roman"/>
          <w:color w:val="auto"/>
          <w:sz w:val="28"/>
          <w:szCs w:val="28"/>
        </w:rPr>
        <w:t>。</w:t>
      </w:r>
    </w:p>
    <w:p w14:paraId="72A42236">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供给侧结构性改革继续深化。年末规模以上工业企业资产负债率为</w:t>
      </w:r>
      <w:r>
        <w:rPr>
          <w:rFonts w:hint="eastAsia" w:ascii="Times New Roman" w:hAnsi="Times New Roman" w:eastAsia="仿宋" w:cs="仿宋_GB2312"/>
          <w:color w:val="auto"/>
          <w:sz w:val="28"/>
          <w:szCs w:val="28"/>
        </w:rPr>
        <w:t>63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%，同比下降</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个百分点。“放管服”改革持续深化，微观主体活力不断增强。全年新登记市场主体</w:t>
      </w:r>
      <w:r>
        <w:rPr>
          <w:rFonts w:hint="eastAsia" w:ascii="Times New Roman" w:hAnsi="Times New Roman" w:eastAsia="仿宋" w:cs="仿宋_GB2312"/>
          <w:color w:val="auto"/>
          <w:sz w:val="28"/>
          <w:szCs w:val="28"/>
        </w:rPr>
        <w:t>2290</w:t>
      </w:r>
      <w:r>
        <w:rPr>
          <w:rFonts w:hint="eastAsia" w:ascii="Times New Roman" w:hAnsi="Times New Roman" w:eastAsia="仿宋"/>
          <w:color w:val="auto"/>
          <w:sz w:val="28"/>
          <w:szCs w:val="28"/>
        </w:rPr>
        <w:t>户，日均分别新登记企业和个体工商户</w:t>
      </w:r>
      <w:r>
        <w:rPr>
          <w:rFonts w:hint="eastAsia" w:ascii="Times New Roman" w:hAnsi="Times New Roman" w:eastAsia="仿宋" w:cs="仿宋_GB2312"/>
          <w:color w:val="auto"/>
          <w:sz w:val="28"/>
          <w:szCs w:val="28"/>
        </w:rPr>
        <w:t>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户、</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Times New Roman" w:hAnsi="Times New Roman" w:eastAsia="仿宋"/>
          <w:color w:val="auto"/>
          <w:sz w:val="28"/>
          <w:szCs w:val="28"/>
        </w:rPr>
        <w:t>户，年末市场主体总数达</w:t>
      </w:r>
      <w:r>
        <w:rPr>
          <w:rFonts w:hint="eastAsia" w:ascii="Times New Roman" w:hAnsi="Times New Roman" w:eastAsia="仿宋" w:cs="仿宋_GB2312"/>
          <w:color w:val="auto"/>
          <w:sz w:val="28"/>
          <w:szCs w:val="28"/>
        </w:rPr>
        <w:t>13519</w:t>
      </w:r>
      <w:r>
        <w:rPr>
          <w:rFonts w:hint="eastAsia" w:ascii="Times New Roman" w:hAnsi="Times New Roman" w:eastAsia="仿宋"/>
          <w:color w:val="auto"/>
          <w:sz w:val="28"/>
          <w:szCs w:val="28"/>
        </w:rPr>
        <w:t>户。</w:t>
      </w:r>
    </w:p>
    <w:p w14:paraId="1D2E69E9">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新动能保持较快发展。全年规模以上工业中，战略性新兴产业增加值增长</w:t>
      </w:r>
      <w:r>
        <w:rPr>
          <w:rFonts w:hint="eastAsia" w:ascii="Times New Roman" w:hAnsi="Times New Roman" w:eastAsia="仿宋" w:cs="仿宋_GB2312"/>
          <w:color w:val="auto"/>
          <w:sz w:val="28"/>
          <w:szCs w:val="28"/>
        </w:rPr>
        <w:t>17</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%，占规模以上工业增加值的比重为</w:t>
      </w:r>
      <w:r>
        <w:rPr>
          <w:rFonts w:hint="eastAsia" w:ascii="Times New Roman" w:hAnsi="Times New Roman" w:eastAsia="仿宋" w:cs="仿宋_GB2312"/>
          <w:color w:val="auto"/>
          <w:sz w:val="28"/>
          <w:szCs w:val="28"/>
        </w:rPr>
        <w:t>25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%。全年煤层气行业投资</w:t>
      </w:r>
      <w:r>
        <w:rPr>
          <w:rFonts w:hint="eastAsia" w:ascii="Times New Roman" w:hAnsi="Times New Roman" w:eastAsia="仿宋" w:cs="仿宋_GB2312"/>
          <w:color w:val="auto"/>
          <w:sz w:val="28"/>
          <w:szCs w:val="28"/>
        </w:rPr>
        <w:t>18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 xml:space="preserve">亿元,增长 </w:t>
      </w:r>
      <w:r>
        <w:rPr>
          <w:rFonts w:hint="eastAsia" w:ascii="Times New Roman" w:hAnsi="Times New Roman" w:eastAsia="仿宋" w:cs="仿宋_GB2312"/>
          <w:color w:val="auto"/>
          <w:sz w:val="28"/>
          <w:szCs w:val="28"/>
        </w:rPr>
        <w:t>82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%。全年网上零售额</w:t>
      </w:r>
      <w:r>
        <w:rPr>
          <w:rFonts w:hint="eastAsia" w:ascii="Times New Roman" w:hAnsi="Times New Roman" w:eastAsia="仿宋" w:cs="仿宋_GB2312"/>
          <w:color w:val="auto"/>
          <w:sz w:val="28"/>
          <w:szCs w:val="28"/>
        </w:rPr>
        <w:t>940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Times New Roman" w:hAnsi="Times New Roman" w:eastAsia="仿宋"/>
          <w:color w:val="auto"/>
          <w:sz w:val="28"/>
          <w:szCs w:val="28"/>
        </w:rPr>
        <w:t>万元,同比增长</w:t>
      </w:r>
      <w:r>
        <w:rPr>
          <w:rFonts w:hint="eastAsia" w:ascii="Times New Roman" w:hAnsi="Times New Roman" w:eastAsia="仿宋" w:cs="仿宋_GB2312"/>
          <w:color w:val="auto"/>
          <w:sz w:val="28"/>
          <w:szCs w:val="28"/>
        </w:rPr>
        <w:t>33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p>
    <w:p w14:paraId="3859337D">
      <w:pPr>
        <w:pStyle w:val="2"/>
        <w:ind w:firstLine="560"/>
        <w:rPr>
          <w:rFonts w:hint="eastAsia" w:ascii="Calibri" w:hAnsi="Calibri"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2019</w:t>
      </w:r>
      <w:r>
        <w:rPr>
          <w:rFonts w:hint="eastAsia" w:ascii="Calibri" w:hAnsi="Calibri" w:eastAsia="仿宋_GB2312"/>
          <w:snapToGrid w:val="0"/>
          <w:color w:val="auto"/>
          <w:kern w:val="0"/>
          <w:sz w:val="28"/>
          <w:szCs w:val="28"/>
        </w:rPr>
        <w:t>年，沁水县水环境质量持续向好，稳居全县第一。国控、省控、市控地表水断面环境考核目标稳定达到地表水功能区类别标准；集中式饮用水源地水质达标率</w:t>
      </w:r>
      <w:r>
        <w:rPr>
          <w:rFonts w:hint="eastAsia" w:ascii="Times New Roman" w:hAnsi="Times New Roman" w:eastAsia="仿宋_GB2312" w:cs="仿宋_GB2312"/>
          <w:snapToGrid w:val="0"/>
          <w:color w:val="auto"/>
          <w:kern w:val="0"/>
          <w:sz w:val="28"/>
          <w:szCs w:val="28"/>
        </w:rPr>
        <w:t>100</w:t>
      </w:r>
      <w:r>
        <w:rPr>
          <w:rFonts w:hint="eastAsia" w:eastAsia="仿宋_GB2312"/>
          <w:snapToGrid w:val="0"/>
          <w:color w:val="auto"/>
          <w:kern w:val="0"/>
          <w:sz w:val="28"/>
          <w:szCs w:val="28"/>
        </w:rPr>
        <w:t>%</w:t>
      </w:r>
      <w:r>
        <w:rPr>
          <w:rFonts w:hint="eastAsia" w:ascii="Calibri" w:hAnsi="Calibri" w:eastAsia="仿宋_GB2312"/>
          <w:snapToGrid w:val="0"/>
          <w:color w:val="auto"/>
          <w:kern w:val="0"/>
          <w:sz w:val="28"/>
          <w:szCs w:val="28"/>
        </w:rPr>
        <w:t>。地表水环境质量现状排名全县第一。</w:t>
      </w:r>
    </w:p>
    <w:p w14:paraId="70627053">
      <w:pPr>
        <w:pStyle w:val="4"/>
        <w:rPr>
          <w:rFonts w:hint="eastAsia"/>
          <w:color w:val="auto"/>
        </w:rPr>
      </w:pPr>
    </w:p>
    <w:p w14:paraId="62EBC4E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594B44D7">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7874E377">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10F79A9A">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790E6BD9">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318AFC9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53A9F1FA">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435E6D36">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55920" cy="3105150"/>
            <wp:effectExtent l="0" t="0" r="1143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4"/>
                    <a:stretch>
                      <a:fillRect/>
                    </a:stretch>
                  </pic:blipFill>
                  <pic:spPr>
                    <a:xfrm>
                      <a:off x="0" y="0"/>
                      <a:ext cx="5455920" cy="3105150"/>
                    </a:xfrm>
                    <a:prstGeom prst="rect">
                      <a:avLst/>
                    </a:prstGeom>
                  </pic:spPr>
                </pic:pic>
              </a:graphicData>
            </a:graphic>
          </wp:inline>
        </w:drawing>
      </w:r>
    </w:p>
    <w:p w14:paraId="220E2A89">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p>
    <w:p w14:paraId="146C5B87">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r>
        <w:rPr>
          <w:rFonts w:hint="eastAsia" w:ascii="Times New Roman" w:hAnsi="Times New Roman" w:eastAsia="仿宋" w:cs="Times New Roman"/>
          <w:snapToGrid w:val="0"/>
          <w:color w:val="auto"/>
          <w:kern w:val="0"/>
          <w:sz w:val="28"/>
          <w:szCs w:val="28"/>
          <w:lang w:val="en-US" w:eastAsia="zh-CN" w:bidi="ar-SA"/>
        </w:rPr>
        <w:t>图1-2  2015—2019年全县生产总值及增速</w:t>
      </w:r>
    </w:p>
    <w:p w14:paraId="3FB2500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23535" cy="3382010"/>
            <wp:effectExtent l="0" t="0" r="5715" b="889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5"/>
                    <a:stretch>
                      <a:fillRect/>
                    </a:stretch>
                  </pic:blipFill>
                  <pic:spPr>
                    <a:xfrm>
                      <a:off x="0" y="0"/>
                      <a:ext cx="5423535" cy="3382010"/>
                    </a:xfrm>
                    <a:prstGeom prst="rect">
                      <a:avLst/>
                    </a:prstGeom>
                  </pic:spPr>
                </pic:pic>
              </a:graphicData>
            </a:graphic>
          </wp:inline>
        </w:drawing>
      </w:r>
    </w:p>
    <w:p w14:paraId="5B6AE2CE">
      <w:pPr>
        <w:bidi w:val="0"/>
        <w:rPr>
          <w:rFonts w:hint="eastAsia"/>
          <w:color w:val="auto"/>
          <w:lang w:eastAsia="zh-CN"/>
        </w:rPr>
      </w:pPr>
    </w:p>
    <w:p w14:paraId="54C0B7A9">
      <w:pPr>
        <w:tabs>
          <w:tab w:val="left" w:pos="806"/>
        </w:tabs>
        <w:bidi w:val="0"/>
        <w:jc w:val="center"/>
        <w:rPr>
          <w:rFonts w:hint="default"/>
          <w:color w:val="auto"/>
          <w:lang w:val="en-US" w:eastAsia="zh-CN"/>
        </w:rPr>
        <w:sectPr>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Times New Roman"/>
          <w:snapToGrid w:val="0"/>
          <w:color w:val="auto"/>
          <w:kern w:val="0"/>
          <w:sz w:val="28"/>
          <w:szCs w:val="28"/>
          <w:lang w:val="en-US" w:eastAsia="zh-CN" w:bidi="ar-SA"/>
        </w:rPr>
        <w:t>图1-3  2016—2019年一般公共预算收及增速</w:t>
      </w:r>
    </w:p>
    <w:p w14:paraId="7A58AF0F">
      <w:pPr>
        <w:pStyle w:val="6"/>
        <w:snapToGrid w:val="0"/>
        <w:spacing w:line="360" w:lineRule="auto"/>
        <w:jc w:val="center"/>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bookmarkStart w:id="79" w:name="_Toc28027"/>
      <w:bookmarkStart w:id="80" w:name="_Toc3092"/>
      <w:bookmarkStart w:id="81" w:name="_Toc18032"/>
      <w:bookmarkStart w:id="82" w:name="_Toc28064"/>
      <w:r>
        <w:rPr>
          <w:rStyle w:val="41"/>
          <w:b/>
          <w:color w:val="auto"/>
        </w:rPr>
        <w:t>第</w:t>
      </w:r>
      <w:r>
        <w:rPr>
          <w:rStyle w:val="41"/>
          <w:rFonts w:hint="eastAsia"/>
          <w:b/>
          <w:color w:val="auto"/>
        </w:rPr>
        <w:t>二</w:t>
      </w:r>
      <w:r>
        <w:rPr>
          <w:rStyle w:val="41"/>
          <w:b/>
          <w:color w:val="auto"/>
        </w:rPr>
        <w:t>章</w:t>
      </w:r>
      <w:r>
        <w:rPr>
          <w:rStyle w:val="41"/>
          <w:rFonts w:hint="eastAsia"/>
          <w:b/>
          <w:color w:val="auto"/>
        </w:rPr>
        <w:t xml:space="preserve">  “十三五”总结</w:t>
      </w:r>
      <w:bookmarkEnd w:id="79"/>
      <w:bookmarkEnd w:id="80"/>
      <w:bookmarkEnd w:id="81"/>
      <w:bookmarkEnd w:id="82"/>
    </w:p>
    <w:p w14:paraId="7F1EA667">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水利建设在上级部门的大力支持下，全县水利建设取得了较大的进步。坚持“以水定城、以水定地、以水定人、以水定产”，控制用水总量，提高利用效能，强化水资源管理，使生产力空间布局、经济结构、发展方式以及生活方式与水资源禀赋条件、水环境承载能力相适应、相协调。严把水资源开发利用控制、用水效率控制、水功能区限制纳污“三条红线”，全面提高用水效率和效益，以水资源的可持续利用支撑、保障经济社会和生态建设的可持续发展。通过不懈努力，各项水利工作均取得了较好成绩，为全县经济社会发展提供了水保障。</w:t>
      </w:r>
    </w:p>
    <w:p w14:paraId="572E8886">
      <w:pPr>
        <w:pStyle w:val="7"/>
        <w:rPr>
          <w:color w:val="auto"/>
        </w:rPr>
      </w:pPr>
      <w:bookmarkStart w:id="83" w:name="_Toc26636"/>
      <w:bookmarkStart w:id="84" w:name="_Toc21193"/>
      <w:bookmarkStart w:id="85" w:name="_Toc27815"/>
      <w:bookmarkStart w:id="86" w:name="_Toc14248"/>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w:t>
      </w:r>
      <w:r>
        <w:rPr>
          <w:color w:val="auto"/>
        </w:rPr>
        <w:t>“</w:t>
      </w:r>
      <w:r>
        <w:rPr>
          <w:rFonts w:hint="eastAsia"/>
          <w:color w:val="auto"/>
        </w:rPr>
        <w:t>十三五</w:t>
      </w:r>
      <w:r>
        <w:rPr>
          <w:color w:val="auto"/>
        </w:rPr>
        <w:t>”</w:t>
      </w:r>
      <w:r>
        <w:rPr>
          <w:rFonts w:hint="eastAsia"/>
          <w:color w:val="auto"/>
        </w:rPr>
        <w:t>成就</w:t>
      </w:r>
      <w:bookmarkEnd w:id="83"/>
      <w:bookmarkEnd w:id="84"/>
      <w:bookmarkEnd w:id="85"/>
      <w:bookmarkEnd w:id="86"/>
    </w:p>
    <w:p w14:paraId="31D968B6">
      <w:pPr>
        <w:pStyle w:val="8"/>
        <w:rPr>
          <w:color w:val="auto"/>
        </w:rPr>
      </w:pPr>
      <w:bookmarkStart w:id="87" w:name="_Toc32385"/>
      <w:bookmarkStart w:id="88" w:name="_Toc10904"/>
      <w:bookmarkStart w:id="89" w:name="_Toc23160"/>
      <w:bookmarkStart w:id="90" w:name="_Toc12760"/>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水资源节约集约利用</w:t>
      </w:r>
      <w:bookmarkEnd w:id="87"/>
    </w:p>
    <w:p w14:paraId="26AD2804">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 xml:space="preserve">水资源总量 </w:t>
      </w:r>
    </w:p>
    <w:p w14:paraId="776F6C6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 xml:space="preserve"> 年初，</w:t>
      </w:r>
      <w:r>
        <w:rPr>
          <w:rFonts w:hint="eastAsia" w:ascii="仿宋_GB2312" w:hAnsi="仿宋_GB2312" w:eastAsia="仿宋_GB2312" w:cs="仿宋_GB2312"/>
          <w:color w:val="auto"/>
          <w:sz w:val="28"/>
          <w:szCs w:val="28"/>
        </w:rPr>
        <w:t>沁水县</w:t>
      </w:r>
      <w:r>
        <w:rPr>
          <w:rFonts w:hint="eastAsia" w:ascii="仿宋_GB2312" w:hAnsi="仿宋_GB2312" w:eastAsia="仿宋_GB2312" w:cs="仿宋_GB2312"/>
          <w:color w:val="auto"/>
          <w:sz w:val="28"/>
          <w:szCs w:val="28"/>
          <w:lang w:val="zh-CN"/>
        </w:rPr>
        <w:t>水资源总量为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566</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，较上年偏少</w:t>
      </w:r>
      <w:r>
        <w:rPr>
          <w:rFonts w:hint="eastAsia" w:ascii="Times New Roman" w:hAnsi="Times New Roman" w:eastAsia="仿宋_GB2312" w:cs="仿宋_GB2312"/>
          <w:color w:val="auto"/>
          <w:sz w:val="28"/>
          <w:szCs w:val="28"/>
        </w:rPr>
        <w:t>17</w:t>
      </w:r>
      <w:r>
        <w:rPr>
          <w:rFonts w:ascii="Times New Roman" w:hAnsi="Times New Roman" w:eastAsia="仿宋_GB2312"/>
          <w:color w:val="auto"/>
          <w:sz w:val="28"/>
          <w:szCs w:val="28"/>
        </w:rPr>
        <w:t>%</w:t>
      </w:r>
      <w:r>
        <w:rPr>
          <w:rFonts w:hint="eastAsia" w:ascii="仿宋_GB2312" w:hAnsi="仿宋_GB2312" w:eastAsia="仿宋_GB2312" w:cs="仿宋_GB2312"/>
          <w:color w:val="auto"/>
          <w:sz w:val="28"/>
          <w:szCs w:val="28"/>
          <w:lang w:val="zh-CN"/>
        </w:rPr>
        <w:t>。其中地表水资源量为</w:t>
      </w:r>
      <w:r>
        <w:rPr>
          <w:rFonts w:hint="eastAsia" w:ascii="Times New Roman" w:hAnsi="Times New Roman" w:eastAsia="仿宋_GB2312" w:cs="仿宋_GB2312"/>
          <w:color w:val="auto"/>
          <w:sz w:val="28"/>
          <w:szCs w:val="28"/>
        </w:rPr>
        <w:t>1.354</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，地下水资源量为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44</w:t>
      </w:r>
      <w:r>
        <w:rPr>
          <w:rFonts w:hint="eastAsia" w:ascii="仿宋_GB2312" w:hAnsi="仿宋_GB2312" w:eastAsia="仿宋_GB2312" w:cs="仿宋_GB2312"/>
          <w:color w:val="auto"/>
          <w:sz w:val="28"/>
          <w:szCs w:val="28"/>
          <w:lang w:val="zh-CN"/>
        </w:rPr>
        <w:t xml:space="preserve">亿 </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；二者重复计算量为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228</w:t>
      </w:r>
      <w:r>
        <w:rPr>
          <w:rFonts w:hint="eastAsia" w:ascii="仿宋_GB2312" w:hAnsi="仿宋_GB2312" w:eastAsia="仿宋_GB2312" w:cs="仿宋_GB2312"/>
          <w:color w:val="auto"/>
          <w:sz w:val="28"/>
          <w:szCs w:val="28"/>
          <w:lang w:val="zh-CN"/>
        </w:rPr>
        <w:t xml:space="preserve"> 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 xml:space="preserve">。 </w:t>
      </w:r>
    </w:p>
    <w:p w14:paraId="5A4879F5">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水资源配置</w:t>
      </w:r>
    </w:p>
    <w:p w14:paraId="36059934">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在水资源开发利用上继续推进重点水源工程建设，建立健全更加完善的大水网供水网络，提高了全</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供水保障率，使水资源配置格局更加优化。</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处</w:t>
      </w:r>
      <w:r>
        <w:rPr>
          <w:rFonts w:hint="eastAsia" w:ascii="仿宋_GB2312" w:hAnsi="仿宋_GB2312" w:eastAsia="仿宋_GB2312" w:cs="仿宋_GB2312"/>
          <w:color w:val="auto"/>
          <w:sz w:val="28"/>
          <w:szCs w:val="28"/>
          <w:lang w:val="zh-CN"/>
        </w:rPr>
        <w:t>提水、蓄水在建工程。</w:t>
      </w:r>
    </w:p>
    <w:p w14:paraId="02EF7B74">
      <w:pPr>
        <w:pStyle w:val="9"/>
        <w:bidi w:val="0"/>
        <w:rPr>
          <w:rFonts w:hint="eastAsia" w:ascii="Arial" w:hAnsi="Arial" w:cs="Times New Roman"/>
          <w:color w:val="auto"/>
          <w:lang w:val="zh-CN" w:eastAsia="zh-CN"/>
        </w:rPr>
      </w:pPr>
      <w:bookmarkStart w:id="91" w:name="_Toc25509"/>
      <w:bookmarkStart w:id="92" w:name="_Toc32600"/>
      <w:bookmarkStart w:id="93" w:name="_Toc24046"/>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县</w:t>
      </w:r>
      <w:r>
        <w:rPr>
          <w:rFonts w:hint="eastAsia" w:cs="Times New Roman"/>
          <w:color w:val="auto"/>
          <w:lang w:val="en-US" w:eastAsia="zh-CN"/>
        </w:rPr>
        <w:t>域小</w:t>
      </w:r>
      <w:r>
        <w:rPr>
          <w:rFonts w:hint="eastAsia" w:ascii="Arial" w:hAnsi="Arial" w:cs="Times New Roman"/>
          <w:color w:val="auto"/>
          <w:lang w:val="zh-CN" w:eastAsia="zh-CN"/>
        </w:rPr>
        <w:t>水网工程初具雏形</w:t>
      </w:r>
      <w:bookmarkEnd w:id="91"/>
      <w:bookmarkEnd w:id="92"/>
      <w:bookmarkEnd w:id="93"/>
    </w:p>
    <w:p w14:paraId="445FE2C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按照“水网联通、优化配置、科学调度”的工作思路，通过新建一批蓄、引、提工程，着力构建县级大水网，力争形成覆盖全县的供水水系。西线建成了以张峰水库为主要水源的张峰供水工程和第三水厂覆盖县城；中线以县河为主要水源的湾则水库工程已经完成蓄水安全鉴定；东线新建的云首、下泊水库于</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lang w:val="zh-CN"/>
        </w:rPr>
        <w:t>年</w:t>
      </w:r>
      <w:r>
        <w:rPr>
          <w:rFonts w:hint="eastAsia" w:ascii="仿宋_GB2312" w:hAnsi="仿宋_GB2312" w:eastAsia="仿宋_GB2312" w:cs="仿宋_GB2312"/>
          <w:color w:val="auto"/>
          <w:sz w:val="28"/>
          <w:szCs w:val="28"/>
        </w:rPr>
        <w:t>年底</w:t>
      </w:r>
      <w:r>
        <w:rPr>
          <w:rFonts w:hint="eastAsia" w:ascii="仿宋_GB2312" w:hAnsi="仿宋_GB2312" w:eastAsia="仿宋_GB2312" w:cs="仿宋_GB2312"/>
          <w:color w:val="auto"/>
          <w:sz w:val="28"/>
          <w:szCs w:val="28"/>
          <w:lang w:val="zh-CN"/>
        </w:rPr>
        <w:t>大坝主体完工。</w:t>
      </w:r>
    </w:p>
    <w:p w14:paraId="1B0FBE7B">
      <w:pPr>
        <w:pStyle w:val="2"/>
        <w:spacing w:line="240" w:lineRule="auto"/>
        <w:ind w:firstLine="560"/>
        <w:rPr>
          <w:rFonts w:hint="eastAsia" w:eastAsia="仿宋"/>
          <w:color w:val="auto"/>
          <w:sz w:val="28"/>
          <w:szCs w:val="28"/>
        </w:rPr>
      </w:pPr>
    </w:p>
    <w:p w14:paraId="65D5FFAB">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1</w:t>
      </w:r>
      <w:r>
        <w:rPr>
          <w:rFonts w:eastAsia="仿宋"/>
          <w:color w:val="auto"/>
          <w:sz w:val="28"/>
          <w:szCs w:val="28"/>
        </w:rPr>
        <w:t xml:space="preserve">      </w:t>
      </w:r>
      <w:r>
        <w:rPr>
          <w:rFonts w:hint="eastAsia" w:eastAsia="仿宋"/>
          <w:color w:val="auto"/>
          <w:sz w:val="28"/>
          <w:szCs w:val="28"/>
        </w:rPr>
        <w:t xml:space="preserve">    </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重点水源工程统计表</w:t>
      </w:r>
    </w:p>
    <w:tbl>
      <w:tblPr>
        <w:tblStyle w:val="23"/>
        <w:tblW w:w="95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27"/>
        <w:gridCol w:w="1615"/>
        <w:gridCol w:w="1450"/>
        <w:gridCol w:w="3783"/>
        <w:gridCol w:w="1000"/>
        <w:gridCol w:w="1200"/>
      </w:tblGrid>
      <w:tr w14:paraId="0FB5C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trPr>
        <w:tc>
          <w:tcPr>
            <w:tcW w:w="527" w:type="dxa"/>
            <w:vAlign w:val="center"/>
          </w:tcPr>
          <w:p w14:paraId="0BEFE975">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序号</w:t>
            </w:r>
          </w:p>
        </w:tc>
        <w:tc>
          <w:tcPr>
            <w:tcW w:w="1615" w:type="dxa"/>
            <w:vAlign w:val="center"/>
          </w:tcPr>
          <w:p w14:paraId="443930A6">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1450" w:type="dxa"/>
            <w:vAlign w:val="center"/>
          </w:tcPr>
          <w:p w14:paraId="280E22C7">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工程地点</w:t>
            </w:r>
          </w:p>
        </w:tc>
        <w:tc>
          <w:tcPr>
            <w:tcW w:w="3783" w:type="dxa"/>
            <w:vAlign w:val="center"/>
          </w:tcPr>
          <w:p w14:paraId="65DAF240">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000" w:type="dxa"/>
            <w:vAlign w:val="center"/>
          </w:tcPr>
          <w:p w14:paraId="5DA69A19">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w:t>
            </w:r>
            <w:r>
              <w:rPr>
                <w:rFonts w:ascii="Times New Roman Regular" w:hAnsi="Times New Roman Regular" w:eastAsia="仿宋" w:cs="Times New Roman Regular"/>
                <w:color w:val="auto"/>
                <w:sz w:val="21"/>
                <w:szCs w:val="21"/>
              </w:rPr>
              <w:t>（亿元）</w:t>
            </w:r>
          </w:p>
        </w:tc>
        <w:tc>
          <w:tcPr>
            <w:tcW w:w="1200" w:type="dxa"/>
            <w:vAlign w:val="center"/>
          </w:tcPr>
          <w:p w14:paraId="118816E9">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w:t>
            </w:r>
            <w:r>
              <w:rPr>
                <w:rFonts w:ascii="Times New Roman Regular" w:hAnsi="Times New Roman Regular" w:eastAsia="仿宋" w:cs="Times New Roman Regular"/>
                <w:color w:val="auto"/>
                <w:sz w:val="21"/>
                <w:szCs w:val="21"/>
              </w:rPr>
              <w:t>（亿元）</w:t>
            </w:r>
          </w:p>
        </w:tc>
      </w:tr>
      <w:tr w14:paraId="36FE0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03E11ECE">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1</w:t>
            </w:r>
          </w:p>
        </w:tc>
        <w:tc>
          <w:tcPr>
            <w:tcW w:w="1615" w:type="dxa"/>
            <w:vAlign w:val="center"/>
          </w:tcPr>
          <w:p w14:paraId="639E1ACB">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云首水库工程</w:t>
            </w:r>
          </w:p>
        </w:tc>
        <w:tc>
          <w:tcPr>
            <w:tcW w:w="1450" w:type="dxa"/>
            <w:vAlign w:val="center"/>
          </w:tcPr>
          <w:p w14:paraId="085DB59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固县乡云首村村北</w:t>
            </w:r>
          </w:p>
        </w:tc>
        <w:tc>
          <w:tcPr>
            <w:tcW w:w="3783" w:type="dxa"/>
            <w:vAlign w:val="center"/>
          </w:tcPr>
          <w:p w14:paraId="61003A69">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水库总库容</w:t>
            </w:r>
            <w:r>
              <w:rPr>
                <w:rFonts w:hint="eastAsia" w:ascii="Times New Roman" w:hAnsi="Times New Roman" w:eastAsia="仿宋" w:cs="仿宋_GB2312"/>
                <w:color w:val="auto"/>
                <w:sz w:val="22"/>
                <w:szCs w:val="22"/>
              </w:rPr>
              <w:t>177</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，累计完成</w:t>
            </w:r>
            <w:r>
              <w:rPr>
                <w:rFonts w:hint="eastAsia" w:ascii="Times New Roman Regular" w:hAnsi="Times New Roman Regular" w:eastAsia="仿宋" w:cs="Times New Roman Regular"/>
                <w:color w:val="auto"/>
                <w:sz w:val="22"/>
                <w:szCs w:val="22"/>
                <w:lang w:val="zh-CN"/>
              </w:rPr>
              <w:t>大坝枢纽工程、输电线路工程、上坝道路工程和管理房建筑工程，</w:t>
            </w:r>
            <w:r>
              <w:rPr>
                <w:rFonts w:hint="eastAsia" w:ascii="Times New Roman Regular" w:hAnsi="Times New Roman Regular" w:eastAsia="仿宋" w:cs="Times New Roman Regular"/>
                <w:color w:val="auto"/>
                <w:sz w:val="22"/>
                <w:szCs w:val="22"/>
              </w:rPr>
              <w:t>主要工程量：土方开挖约</w:t>
            </w:r>
            <w:r>
              <w:rPr>
                <w:rFonts w:hint="eastAsia" w:ascii="Times New Roman" w:hAnsi="Times New Roman" w:eastAsia="仿宋" w:cs="仿宋_GB2312"/>
                <w:color w:val="auto"/>
                <w:sz w:val="22"/>
                <w:szCs w:val="22"/>
              </w:rPr>
              <w:t>8</w:t>
            </w:r>
            <w:r>
              <w:rPr>
                <w:rFonts w:hint="eastAsia" w:eastAsia="仿宋" w:cs="仿宋_GB2312"/>
                <w:color w:val="auto"/>
                <w:sz w:val="22"/>
                <w:szCs w:val="22"/>
              </w:rPr>
              <w:t>.</w:t>
            </w:r>
            <w:r>
              <w:rPr>
                <w:rFonts w:hint="eastAsia" w:ascii="Times New Roman" w:hAnsi="Times New Roman" w:eastAsia="仿宋" w:cs="仿宋_GB2312"/>
                <w:color w:val="auto"/>
                <w:sz w:val="22"/>
                <w:szCs w:val="22"/>
              </w:rPr>
              <w:t>795</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，石方开挖约</w:t>
            </w:r>
            <w:r>
              <w:rPr>
                <w:rFonts w:hint="eastAsia" w:ascii="Times New Roman" w:hAnsi="Times New Roman" w:eastAsia="仿宋" w:cs="仿宋_GB2312"/>
                <w:color w:val="auto"/>
                <w:sz w:val="22"/>
                <w:szCs w:val="22"/>
              </w:rPr>
              <w:t>6</w:t>
            </w:r>
            <w:r>
              <w:rPr>
                <w:rFonts w:hint="eastAsia" w:eastAsia="仿宋" w:cs="仿宋_GB2312"/>
                <w:color w:val="auto"/>
                <w:sz w:val="22"/>
                <w:szCs w:val="22"/>
              </w:rPr>
              <w:t>.</w:t>
            </w:r>
            <w:r>
              <w:rPr>
                <w:rFonts w:hint="eastAsia" w:ascii="Times New Roman" w:hAnsi="Times New Roman" w:eastAsia="仿宋" w:cs="仿宋_GB2312"/>
                <w:color w:val="auto"/>
                <w:sz w:val="22"/>
                <w:szCs w:val="22"/>
              </w:rPr>
              <w:t>221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，混凝土浇筑约</w:t>
            </w:r>
            <w:r>
              <w:rPr>
                <w:rFonts w:hint="eastAsia" w:ascii="Times New Roman" w:hAnsi="Times New Roman" w:eastAsia="仿宋" w:cs="仿宋_GB2312"/>
                <w:color w:val="auto"/>
                <w:sz w:val="22"/>
                <w:szCs w:val="22"/>
              </w:rPr>
              <w:t>7</w:t>
            </w:r>
            <w:r>
              <w:rPr>
                <w:rFonts w:hint="eastAsia" w:eastAsia="仿宋" w:cs="仿宋_GB2312"/>
                <w:color w:val="auto"/>
                <w:sz w:val="22"/>
                <w:szCs w:val="22"/>
              </w:rPr>
              <w:t>.</w:t>
            </w:r>
            <w:r>
              <w:rPr>
                <w:rFonts w:hint="eastAsia" w:ascii="Times New Roman" w:hAnsi="Times New Roman" w:eastAsia="仿宋" w:cs="仿宋_GB2312"/>
                <w:color w:val="auto"/>
                <w:sz w:val="22"/>
                <w:szCs w:val="22"/>
              </w:rPr>
              <w:t>019</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，固结灌浆约</w:t>
            </w:r>
            <w:r>
              <w:rPr>
                <w:rFonts w:hint="eastAsia" w:ascii="Times New Roman" w:hAnsi="Times New Roman" w:eastAsia="仿宋" w:cs="仿宋_GB2312"/>
                <w:color w:val="auto"/>
                <w:sz w:val="22"/>
                <w:szCs w:val="22"/>
              </w:rPr>
              <w:t>2296m</w:t>
            </w:r>
            <w:r>
              <w:rPr>
                <w:rFonts w:hint="eastAsia" w:ascii="Times New Roman Regular" w:hAnsi="Times New Roman Regular" w:eastAsia="仿宋" w:cs="Times New Roman Regular"/>
                <w:color w:val="auto"/>
                <w:sz w:val="22"/>
                <w:szCs w:val="22"/>
              </w:rPr>
              <w:t>，帷幕灌浆</w:t>
            </w:r>
            <w:r>
              <w:rPr>
                <w:rFonts w:hint="eastAsia" w:ascii="Times New Roman" w:hAnsi="Times New Roman" w:eastAsia="仿宋" w:cs="仿宋_GB2312"/>
                <w:color w:val="auto"/>
                <w:sz w:val="22"/>
                <w:szCs w:val="22"/>
              </w:rPr>
              <w:t>3000m</w:t>
            </w:r>
            <w:r>
              <w:rPr>
                <w:rFonts w:hint="eastAsia" w:ascii="Times New Roman Regular" w:hAnsi="Times New Roman Regular" w:eastAsia="仿宋" w:cs="Times New Roman Regular"/>
                <w:color w:val="auto"/>
                <w:sz w:val="22"/>
                <w:szCs w:val="22"/>
              </w:rPr>
              <w:t>，浆砌石</w:t>
            </w:r>
            <w:r>
              <w:rPr>
                <w:rFonts w:hint="eastAsia" w:ascii="Times New Roman" w:hAnsi="Times New Roman" w:eastAsia="仿宋" w:cs="Times New Roman Regular"/>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w:t>
            </w:r>
          </w:p>
        </w:tc>
        <w:tc>
          <w:tcPr>
            <w:tcW w:w="1000" w:type="dxa"/>
            <w:vAlign w:val="center"/>
          </w:tcPr>
          <w:p w14:paraId="08E0455F">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69</w:t>
            </w:r>
          </w:p>
        </w:tc>
        <w:tc>
          <w:tcPr>
            <w:tcW w:w="1200" w:type="dxa"/>
            <w:vAlign w:val="center"/>
          </w:tcPr>
          <w:p w14:paraId="5CFB6B7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57</w:t>
            </w:r>
          </w:p>
        </w:tc>
      </w:tr>
      <w:tr w14:paraId="3CCB5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1F521182">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2</w:t>
            </w:r>
          </w:p>
        </w:tc>
        <w:tc>
          <w:tcPr>
            <w:tcW w:w="1615" w:type="dxa"/>
            <w:vAlign w:val="center"/>
          </w:tcPr>
          <w:p w14:paraId="602297B4">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下泊水库工程</w:t>
            </w:r>
          </w:p>
        </w:tc>
        <w:tc>
          <w:tcPr>
            <w:tcW w:w="1450" w:type="dxa"/>
            <w:vAlign w:val="center"/>
          </w:tcPr>
          <w:p w14:paraId="5AB838B1">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柿庄镇固村河泊圪塔村北</w:t>
            </w:r>
            <w:r>
              <w:rPr>
                <w:rFonts w:ascii="Times New Roman" w:hAnsi="Times New Roman" w:eastAsia="仿宋" w:cs="仿宋_GB2312"/>
                <w:color w:val="auto"/>
                <w:sz w:val="22"/>
                <w:szCs w:val="22"/>
                <w:lang w:val="zh-CN"/>
              </w:rPr>
              <w:t>150m</w:t>
            </w:r>
            <w:r>
              <w:rPr>
                <w:rFonts w:ascii="Times New Roman Regular" w:hAnsi="Times New Roman Regular" w:eastAsia="仿宋" w:cs="Times New Roman Regular"/>
                <w:color w:val="auto"/>
                <w:sz w:val="22"/>
                <w:szCs w:val="22"/>
                <w:lang w:val="zh-CN"/>
              </w:rPr>
              <w:t>至团里村南</w:t>
            </w:r>
            <w:r>
              <w:rPr>
                <w:rFonts w:ascii="Times New Roman" w:hAnsi="Times New Roman" w:eastAsia="仿宋" w:cs="仿宋_GB2312"/>
                <w:color w:val="auto"/>
                <w:sz w:val="22"/>
                <w:szCs w:val="22"/>
                <w:lang w:val="zh-CN"/>
              </w:rPr>
              <w:t>110m</w:t>
            </w:r>
            <w:r>
              <w:rPr>
                <w:rFonts w:ascii="Times New Roman Regular" w:hAnsi="Times New Roman Regular" w:eastAsia="仿宋" w:cs="Times New Roman Regular"/>
                <w:color w:val="auto"/>
                <w:sz w:val="22"/>
                <w:szCs w:val="22"/>
                <w:lang w:val="zh-CN"/>
              </w:rPr>
              <w:t>河段</w:t>
            </w:r>
          </w:p>
        </w:tc>
        <w:tc>
          <w:tcPr>
            <w:tcW w:w="3783" w:type="dxa"/>
            <w:vAlign w:val="center"/>
          </w:tcPr>
          <w:p w14:paraId="7D385542">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水库总库容</w:t>
            </w:r>
            <w:r>
              <w:rPr>
                <w:rFonts w:ascii="Times New Roman" w:hAnsi="Times New Roman" w:eastAsia="仿宋" w:cs="仿宋_GB2312"/>
                <w:color w:val="auto"/>
                <w:sz w:val="22"/>
                <w:szCs w:val="22"/>
                <w:lang w:val="zh-CN"/>
              </w:rPr>
              <w:t>290</w:t>
            </w:r>
            <w:r>
              <w:rPr>
                <w:rFonts w:ascii="Times New Roman Regular" w:hAnsi="Times New Roman Regular" w:eastAsia="仿宋" w:cs="Times New Roman Regular"/>
                <w:color w:val="auto"/>
                <w:sz w:val="22"/>
                <w:szCs w:val="22"/>
                <w:lang w:val="zh-CN"/>
              </w:rPr>
              <w:t>万</w:t>
            </w:r>
            <w:r>
              <w:rPr>
                <w:rFonts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lang w:val="zh-CN"/>
              </w:rPr>
              <w:t>累计完成主要工程量：土石方工程</w:t>
            </w:r>
            <w:r>
              <w:rPr>
                <w:rFonts w:hint="eastAsia" w:ascii="Times New Roman" w:hAnsi="Times New Roman" w:eastAsia="仿宋" w:cs="仿宋_GB2312"/>
                <w:color w:val="auto"/>
                <w:sz w:val="22"/>
                <w:szCs w:val="22"/>
                <w:lang w:val="zh-CN"/>
              </w:rPr>
              <w:t>55</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，混凝土</w:t>
            </w:r>
            <w:r>
              <w:rPr>
                <w:rFonts w:hint="eastAsia" w:ascii="Times New Roman" w:hAnsi="Times New Roman" w:eastAsia="仿宋" w:cs="仿宋_GB2312"/>
                <w:color w:val="auto"/>
                <w:sz w:val="22"/>
                <w:szCs w:val="22"/>
                <w:lang w:val="zh-CN"/>
              </w:rPr>
              <w:t>2</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7</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，灌浆</w:t>
            </w:r>
            <w:r>
              <w:rPr>
                <w:rFonts w:hint="eastAsia" w:ascii="Times New Roman" w:hAnsi="Times New Roman" w:eastAsia="仿宋" w:cs="仿宋_GB2312"/>
                <w:color w:val="auto"/>
                <w:sz w:val="22"/>
                <w:szCs w:val="22"/>
                <w:lang w:val="zh-CN"/>
              </w:rPr>
              <w:t>13497m</w:t>
            </w:r>
            <w:r>
              <w:rPr>
                <w:rFonts w:hint="eastAsia" w:ascii="Times New Roman Regular" w:hAnsi="Times New Roman Regular" w:eastAsia="仿宋" w:cs="Times New Roman Regular"/>
                <w:color w:val="auto"/>
                <w:sz w:val="22"/>
                <w:szCs w:val="22"/>
                <w:lang w:val="zh-CN"/>
              </w:rPr>
              <w:t>，钢筋制安</w:t>
            </w:r>
            <w:r>
              <w:rPr>
                <w:rFonts w:hint="eastAsia" w:ascii="Times New Roman" w:hAnsi="Times New Roman" w:eastAsia="仿宋" w:cs="仿宋_GB2312"/>
                <w:color w:val="auto"/>
                <w:sz w:val="22"/>
                <w:szCs w:val="22"/>
                <w:lang w:val="zh-CN"/>
              </w:rPr>
              <w:t>856t</w:t>
            </w:r>
            <w:r>
              <w:rPr>
                <w:rFonts w:hint="eastAsia" w:ascii="Times New Roman Regular" w:hAnsi="Times New Roman Regular" w:eastAsia="仿宋" w:cs="Times New Roman Regular"/>
                <w:color w:val="auto"/>
                <w:sz w:val="22"/>
                <w:szCs w:val="22"/>
                <w:lang w:val="zh-CN"/>
              </w:rPr>
              <w:t>，金属结构</w:t>
            </w:r>
            <w:r>
              <w:rPr>
                <w:rFonts w:hint="eastAsia" w:ascii="Times New Roman" w:hAnsi="Times New Roman" w:eastAsia="仿宋" w:cs="仿宋_GB2312"/>
                <w:color w:val="auto"/>
                <w:sz w:val="22"/>
                <w:szCs w:val="22"/>
                <w:lang w:val="zh-CN"/>
              </w:rPr>
              <w:t>60</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8t</w:t>
            </w:r>
            <w:r>
              <w:rPr>
                <w:rFonts w:hint="eastAsia" w:ascii="Times New Roman Regular" w:hAnsi="Times New Roman Regular" w:eastAsia="仿宋" w:cs="Times New Roman Regular"/>
                <w:color w:val="auto"/>
                <w:sz w:val="22"/>
                <w:szCs w:val="22"/>
                <w:lang w:val="zh-CN"/>
              </w:rPr>
              <w:t>。</w:t>
            </w:r>
          </w:p>
        </w:tc>
        <w:tc>
          <w:tcPr>
            <w:tcW w:w="1000" w:type="dxa"/>
            <w:vAlign w:val="center"/>
          </w:tcPr>
          <w:p w14:paraId="77E54BA1">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855</w:t>
            </w:r>
          </w:p>
        </w:tc>
        <w:tc>
          <w:tcPr>
            <w:tcW w:w="1200" w:type="dxa"/>
            <w:vAlign w:val="center"/>
          </w:tcPr>
          <w:p w14:paraId="1E9F0BB8">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65</w:t>
            </w:r>
          </w:p>
        </w:tc>
      </w:tr>
      <w:tr w14:paraId="4A2E3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15C1261">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3</w:t>
            </w:r>
          </w:p>
        </w:tc>
        <w:tc>
          <w:tcPr>
            <w:tcW w:w="1615" w:type="dxa"/>
            <w:vAlign w:val="center"/>
          </w:tcPr>
          <w:p w14:paraId="30AC9B1D">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沁水县涧河供水工程</w:t>
            </w:r>
          </w:p>
        </w:tc>
        <w:tc>
          <w:tcPr>
            <w:tcW w:w="1450" w:type="dxa"/>
            <w:vAlign w:val="center"/>
          </w:tcPr>
          <w:p w14:paraId="01198A0F">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中村镇涧河村上游</w:t>
            </w:r>
          </w:p>
        </w:tc>
        <w:tc>
          <w:tcPr>
            <w:tcW w:w="3783" w:type="dxa"/>
            <w:vAlign w:val="center"/>
          </w:tcPr>
          <w:p w14:paraId="41A9D5A1">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解决中村镇、土沃乡及部分企业</w:t>
            </w: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万人的生产生活用水需求；修建截潜流水源工程一座，更换输水管道</w:t>
            </w:r>
            <w:r>
              <w:rPr>
                <w:rFonts w:hint="eastAsia" w:ascii="Times New Roman" w:hAnsi="Times New Roman" w:eastAsia="仿宋" w:cs="仿宋_GB2312"/>
                <w:color w:val="auto"/>
                <w:sz w:val="22"/>
                <w:szCs w:val="22"/>
              </w:rPr>
              <w:t>4067</w:t>
            </w:r>
            <w:r>
              <w:rPr>
                <w:rFonts w:hint="eastAsia" w:ascii="Times New Roman Regular" w:hAnsi="Times New Roman Regular" w:eastAsia="仿宋" w:cs="Times New Roman Regular"/>
                <w:color w:val="auto"/>
                <w:sz w:val="22"/>
                <w:szCs w:val="22"/>
              </w:rPr>
              <w:t>米及管道附属建筑物。</w:t>
            </w:r>
          </w:p>
        </w:tc>
        <w:tc>
          <w:tcPr>
            <w:tcW w:w="1000" w:type="dxa"/>
            <w:vAlign w:val="center"/>
          </w:tcPr>
          <w:p w14:paraId="11914BFD">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0928</w:t>
            </w:r>
          </w:p>
        </w:tc>
        <w:tc>
          <w:tcPr>
            <w:tcW w:w="1200" w:type="dxa"/>
            <w:vAlign w:val="center"/>
          </w:tcPr>
          <w:p w14:paraId="19922283">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045</w:t>
            </w:r>
          </w:p>
        </w:tc>
      </w:tr>
    </w:tbl>
    <w:p w14:paraId="2DCD7EF9">
      <w:pPr>
        <w:snapToGrid w:val="0"/>
        <w:spacing w:line="360" w:lineRule="auto"/>
        <w:ind w:firstLine="562" w:firstLineChars="200"/>
        <w:rPr>
          <w:rFonts w:ascii="仿宋_GB2312" w:hAnsi="仿宋_GB2312" w:eastAsia="仿宋_GB2312" w:cs="仿宋_GB2312"/>
          <w:b/>
          <w:bCs/>
          <w:color w:val="auto"/>
          <w:sz w:val="28"/>
          <w:szCs w:val="28"/>
          <w:lang w:val="zh-CN"/>
        </w:rPr>
      </w:pPr>
    </w:p>
    <w:p w14:paraId="6F4988D0">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 xml:space="preserve"> 强化载体建设，建立节水型社会示范体系</w:t>
      </w:r>
    </w:p>
    <w:p w14:paraId="5AA76C4D">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以提高水资源利用效率和效益为目标，在农业、工业、城镇生活等领域持续发力，示范和带动全社会节水，努力将节水贯穿于社会生活的各个领域当中。</w:t>
      </w:r>
    </w:p>
    <w:p w14:paraId="759D322B">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一</w:t>
      </w:r>
      <w:r>
        <w:rPr>
          <w:rFonts w:hint="eastAsia" w:ascii="仿宋_GB2312" w:hAnsi="仿宋_GB2312" w:eastAsia="仿宋_GB2312" w:cs="仿宋_GB2312"/>
          <w:color w:val="auto"/>
          <w:sz w:val="28"/>
          <w:szCs w:val="28"/>
        </w:rPr>
        <w:t>、在农业领域，截至</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年底，全县实灌面积</w:t>
      </w:r>
      <w:r>
        <w:rPr>
          <w:rFonts w:hint="eastAsia" w:ascii="Times New Roman" w:hAnsi="Times New Roman" w:eastAsia="仿宋_GB2312" w:cs="仿宋_GB2312"/>
          <w:color w:val="auto"/>
          <w:sz w:val="28"/>
          <w:szCs w:val="28"/>
        </w:rPr>
        <w:t>14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95</w:t>
      </w:r>
      <w:r>
        <w:rPr>
          <w:rFonts w:hint="eastAsia" w:ascii="仿宋_GB2312" w:hAnsi="仿宋_GB2312" w:eastAsia="仿宋_GB2312" w:cs="仿宋_GB2312"/>
          <w:color w:val="auto"/>
          <w:sz w:val="28"/>
          <w:szCs w:val="28"/>
        </w:rPr>
        <w:t>万亩，发展节水灌溉面积为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09</w:t>
      </w:r>
      <w:r>
        <w:rPr>
          <w:rFonts w:hint="eastAsia" w:ascii="仿宋_GB2312" w:hAnsi="仿宋_GB2312" w:eastAsia="仿宋_GB2312" w:cs="仿宋_GB2312"/>
          <w:color w:val="auto"/>
          <w:sz w:val="28"/>
          <w:szCs w:val="28"/>
        </w:rPr>
        <w:t>万亩，其中：喷灌</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605</w:t>
      </w:r>
      <w:r>
        <w:rPr>
          <w:rFonts w:hint="eastAsia" w:ascii="仿宋_GB2312" w:hAnsi="仿宋_GB2312" w:eastAsia="仿宋_GB2312" w:cs="仿宋_GB2312"/>
          <w:color w:val="auto"/>
          <w:sz w:val="28"/>
          <w:szCs w:val="28"/>
        </w:rPr>
        <w:t>万亩，微灌面积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255</w:t>
      </w:r>
      <w:r>
        <w:rPr>
          <w:rFonts w:hint="eastAsia" w:ascii="仿宋_GB2312" w:hAnsi="仿宋_GB2312" w:eastAsia="仿宋_GB2312" w:cs="仿宋_GB2312"/>
          <w:color w:val="auto"/>
          <w:sz w:val="28"/>
          <w:szCs w:val="28"/>
        </w:rPr>
        <w:t>万亩，低压管灌面积</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225</w:t>
      </w:r>
      <w:r>
        <w:rPr>
          <w:rFonts w:hint="eastAsia" w:ascii="仿宋_GB2312" w:hAnsi="仿宋_GB2312" w:eastAsia="仿宋_GB2312" w:cs="仿宋_GB2312"/>
          <w:color w:val="auto"/>
          <w:sz w:val="28"/>
          <w:szCs w:val="28"/>
        </w:rPr>
        <w:t>万亩，渠道防渗面积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96</w:t>
      </w:r>
      <w:r>
        <w:rPr>
          <w:rFonts w:hint="eastAsia" w:ascii="仿宋_GB2312" w:hAnsi="仿宋_GB2312" w:eastAsia="仿宋_GB2312" w:cs="仿宋_GB2312"/>
          <w:color w:val="auto"/>
          <w:sz w:val="28"/>
          <w:szCs w:val="28"/>
        </w:rPr>
        <w:t>万亩，其它工程节水灌溉面积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045</w:t>
      </w:r>
      <w:r>
        <w:rPr>
          <w:rFonts w:hint="eastAsia" w:ascii="仿宋_GB2312" w:hAnsi="仿宋_GB2312" w:eastAsia="仿宋_GB2312" w:cs="仿宋_GB2312"/>
          <w:color w:val="auto"/>
          <w:sz w:val="28"/>
          <w:szCs w:val="28"/>
        </w:rPr>
        <w:t>万亩。高效节水灌溉面积占到有效灌溉面积的</w:t>
      </w:r>
      <w:r>
        <w:rPr>
          <w:rFonts w:hint="eastAsia" w:ascii="Times New Roman" w:hAnsi="Times New Roman" w:eastAsia="仿宋_GB2312" w:cs="仿宋_GB2312"/>
          <w:color w:val="auto"/>
          <w:sz w:val="28"/>
          <w:szCs w:val="28"/>
        </w:rPr>
        <w:t>54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36</w:t>
      </w:r>
      <w:r>
        <w:rPr>
          <w:rFonts w:hint="eastAsia" w:ascii="仿宋_GB2312" w:hAnsi="仿宋_GB2312" w:eastAsia="仿宋_GB2312" w:cs="仿宋_GB2312"/>
          <w:color w:val="auto"/>
          <w:sz w:val="28"/>
          <w:szCs w:val="28"/>
        </w:rPr>
        <w:t>%，全县平均灌溉水有效利用系数为</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588</w:t>
      </w:r>
      <w:r>
        <w:rPr>
          <w:rFonts w:hint="eastAsia" w:ascii="仿宋_GB2312" w:hAnsi="仿宋_GB2312" w:eastAsia="仿宋_GB2312" w:cs="仿宋_GB2312"/>
          <w:color w:val="auto"/>
          <w:sz w:val="28"/>
          <w:szCs w:val="28"/>
        </w:rPr>
        <w:t>。</w:t>
      </w:r>
    </w:p>
    <w:p w14:paraId="38807F31">
      <w:pPr>
        <w:snapToGrid w:val="0"/>
        <w:spacing w:line="360" w:lineRule="auto"/>
        <w:ind w:firstLine="560" w:firstLineChars="200"/>
        <w:rPr>
          <w:rFonts w:ascii="仿宋_GB2312" w:hAnsi="仿宋_GB2312" w:eastAsia="仿宋_GB2312" w:cs="仿宋_GB2312"/>
          <w:color w:val="auto"/>
          <w:sz w:val="28"/>
          <w:szCs w:val="28"/>
        </w:rPr>
      </w:pPr>
      <w:r>
        <w:rPr>
          <w:rFonts w:hint="eastAsia" w:ascii="Times New Roman" w:hAnsi="Times New Roman" w:eastAsia="仿宋_GB2312" w:cs="仿宋_GB2312"/>
          <w:color w:val="auto"/>
          <w:sz w:val="28"/>
          <w:szCs w:val="28"/>
          <w:lang w:val="en-US" w:eastAsia="zh-CN"/>
        </w:rPr>
        <w:t>二</w:t>
      </w:r>
      <w:r>
        <w:rPr>
          <w:rFonts w:hint="eastAsia" w:ascii="仿宋_GB2312" w:hAnsi="仿宋_GB2312" w:eastAsia="仿宋_GB2312" w:cs="仿宋_GB2312"/>
          <w:color w:val="auto"/>
          <w:sz w:val="28"/>
          <w:szCs w:val="28"/>
        </w:rPr>
        <w:t>、在工业领域，坚持节流优先、治污为本、高效利用原则，积极引导企业采用先进的节水减排技术和工艺，认真落实《山西省节约用水条例》等相关法规和制度，指导工业企业开展节水技术改造，通过淘汰落后产能、改进工艺流程、加大污水处理投入力度，提高了水资源的使用效率，</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年所有煤矿均实现了矿井水回用，工业取水计量率达到了</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rPr>
        <w:t>%。</w:t>
      </w:r>
    </w:p>
    <w:p w14:paraId="38CF3A30">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三</w:t>
      </w:r>
      <w:r>
        <w:rPr>
          <w:rFonts w:hint="eastAsia" w:ascii="仿宋_GB2312" w:hAnsi="仿宋_GB2312" w:eastAsia="仿宋_GB2312" w:cs="仿宋_GB2312"/>
          <w:color w:val="auto"/>
          <w:sz w:val="28"/>
          <w:szCs w:val="28"/>
        </w:rPr>
        <w:t>、在城镇生活领域，积极开展公共供水管网改造，连续几年在县城主街道改造中同步实施自来水管网的更新改造，同时，加强管网的日常维护和检修，</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年城市公共供水漏损率控制为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rPr>
        <w:t>%。积极推广和普及生活节水器具，推动公共场所和居民小区使用节水器具和节水产品，在学校、医院、企业等推广使用</w:t>
      </w:r>
      <w:r>
        <w:rPr>
          <w:rFonts w:hint="eastAsia" w:ascii="Times New Roman" w:hAnsi="Times New Roman" w:eastAsia="仿宋_GB2312" w:cs="仿宋_GB2312"/>
          <w:color w:val="auto"/>
          <w:sz w:val="28"/>
          <w:szCs w:val="28"/>
        </w:rPr>
        <w:t>IC</w:t>
      </w:r>
      <w:r>
        <w:rPr>
          <w:rFonts w:hint="eastAsia" w:ascii="仿宋_GB2312" w:hAnsi="仿宋_GB2312" w:eastAsia="仿宋_GB2312" w:cs="仿宋_GB2312"/>
          <w:color w:val="auto"/>
          <w:sz w:val="28"/>
          <w:szCs w:val="28"/>
        </w:rPr>
        <w:t>卡智能用水系统，在中小学校沟槽式厕所推广使用智能感应式自动冲水系统，在公共场所推广感应淋浴器、节水阀等，都取得了良好的效果。</w:t>
      </w:r>
    </w:p>
    <w:p w14:paraId="51729DEA">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四</w:t>
      </w:r>
      <w:r>
        <w:rPr>
          <w:rFonts w:hint="eastAsia" w:ascii="仿宋_GB2312" w:hAnsi="仿宋_GB2312" w:eastAsia="仿宋_GB2312" w:cs="仿宋_GB2312"/>
          <w:color w:val="auto"/>
          <w:sz w:val="28"/>
          <w:szCs w:val="28"/>
        </w:rPr>
        <w:t>、在城镇再生水回用领域，加大城镇污水处理厂建设力度，实施提标改造升级，全面加强管网及扩容配套建设，提高城镇生活污水收集处理能力，基本实现污水全收集、全处理。县城污水排放总量为</w:t>
      </w:r>
      <w:r>
        <w:rPr>
          <w:rFonts w:hint="eastAsia" w:ascii="Times New Roman" w:hAnsi="Times New Roman" w:eastAsia="仿宋_GB2312" w:cs="仿宋_GB2312"/>
          <w:color w:val="auto"/>
          <w:sz w:val="28"/>
          <w:szCs w:val="28"/>
        </w:rPr>
        <w:t>383</w:t>
      </w:r>
      <w:r>
        <w:rPr>
          <w:rFonts w:hint="eastAsia" w:ascii="仿宋_GB2312" w:hAnsi="仿宋_GB2312" w:eastAsia="仿宋_GB2312" w:cs="仿宋_GB2312"/>
          <w:color w:val="auto"/>
          <w:sz w:val="28"/>
          <w:szCs w:val="28"/>
        </w:rPr>
        <w:t>万立方米/年，经污水管网全部进入县城污水处理厂处理，处理后的水用于县城景观生态补水，回用量为</w:t>
      </w:r>
      <w:r>
        <w:rPr>
          <w:rFonts w:hint="eastAsia" w:ascii="Times New Roman" w:hAnsi="Times New Roman" w:eastAsia="仿宋_GB2312" w:cs="仿宋_GB2312"/>
          <w:color w:val="auto"/>
          <w:sz w:val="28"/>
          <w:szCs w:val="28"/>
        </w:rPr>
        <w:t>80</w:t>
      </w:r>
      <w:r>
        <w:rPr>
          <w:rFonts w:hint="eastAsia" w:ascii="仿宋_GB2312" w:hAnsi="仿宋_GB2312" w:eastAsia="仿宋_GB2312" w:cs="仿宋_GB2312"/>
          <w:color w:val="auto"/>
          <w:sz w:val="28"/>
          <w:szCs w:val="28"/>
        </w:rPr>
        <w:t>万立方米/年，回用率为</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89</w:t>
      </w:r>
      <w:r>
        <w:rPr>
          <w:rFonts w:hint="eastAsia" w:ascii="仿宋_GB2312" w:hAnsi="仿宋_GB2312" w:eastAsia="仿宋_GB2312" w:cs="仿宋_GB2312"/>
          <w:color w:val="auto"/>
          <w:sz w:val="28"/>
          <w:szCs w:val="28"/>
        </w:rPr>
        <w:t>%。</w:t>
      </w:r>
    </w:p>
    <w:p w14:paraId="675ACCD0">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zh-CN"/>
        </w:rPr>
        <w:t>有序推进县域节水型社会达标建设，</w:t>
      </w:r>
      <w:r>
        <w:rPr>
          <w:rFonts w:hint="eastAsia" w:ascii="Times New Roman" w:hAnsi="Times New Roman" w:eastAsia="仿宋_GB2312" w:cs="仿宋_GB2312"/>
          <w:color w:val="auto"/>
          <w:sz w:val="28"/>
          <w:szCs w:val="28"/>
          <w:lang w:val="zh-CN"/>
        </w:rPr>
        <w:t>20</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lang w:val="zh-CN"/>
        </w:rPr>
        <w:t xml:space="preserve"> 年</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 xml:space="preserve"> 月，第</w:t>
      </w:r>
      <w:r>
        <w:rPr>
          <w:rFonts w:hint="eastAsia" w:ascii="仿宋_GB2312" w:hAnsi="仿宋_GB2312" w:eastAsia="仿宋_GB2312" w:cs="仿宋_GB2312"/>
          <w:color w:val="auto"/>
          <w:sz w:val="28"/>
          <w:szCs w:val="28"/>
        </w:rPr>
        <w:t>三</w:t>
      </w:r>
      <w:r>
        <w:rPr>
          <w:rFonts w:hint="eastAsia" w:ascii="仿宋_GB2312" w:hAnsi="仿宋_GB2312" w:eastAsia="仿宋_GB2312" w:cs="仿宋_GB2312"/>
          <w:color w:val="auto"/>
          <w:sz w:val="28"/>
          <w:szCs w:val="28"/>
          <w:lang w:val="zh-CN"/>
        </w:rPr>
        <w:t>批县域节水型社会达标建设通过了省厅评估验收，</w:t>
      </w:r>
      <w:r>
        <w:rPr>
          <w:rFonts w:hint="eastAsia" w:ascii="仿宋_GB2312" w:hAnsi="仿宋_GB2312" w:eastAsia="仿宋_GB2312" w:cs="仿宋_GB2312"/>
          <w:color w:val="auto"/>
          <w:sz w:val="28"/>
          <w:szCs w:val="28"/>
        </w:rPr>
        <w:t>报水利部核查</w:t>
      </w:r>
      <w:r>
        <w:rPr>
          <w:rFonts w:hint="eastAsia" w:ascii="仿宋_GB2312" w:hAnsi="仿宋_GB2312" w:eastAsia="仿宋_GB2312" w:cs="仿宋_GB2312"/>
          <w:color w:val="auto"/>
          <w:sz w:val="28"/>
          <w:szCs w:val="28"/>
          <w:lang w:val="zh-CN"/>
        </w:rPr>
        <w:t>。</w:t>
      </w:r>
    </w:p>
    <w:p w14:paraId="12B22573">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 xml:space="preserve"> 实行最严格水资源管理制度</w:t>
      </w:r>
    </w:p>
    <w:p w14:paraId="0F19C13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rPr>
        <w:t>出台《关于</w:t>
      </w:r>
      <w:r>
        <w:rPr>
          <w:rFonts w:hint="eastAsia" w:ascii="Times New Roman" w:hAnsi="Times New Roman" w:eastAsia="仿宋_GB2312" w:cs="仿宋_GB2312"/>
          <w:color w:val="auto"/>
          <w:sz w:val="28"/>
          <w:szCs w:val="28"/>
        </w:rPr>
        <w:t>2016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年实行最严格水资源管理制度年度目标和工作计划》、</w:t>
      </w:r>
      <w:r>
        <w:rPr>
          <w:rFonts w:hint="eastAsia" w:ascii="仿宋_GB2312" w:hAnsi="仿宋_GB2312" w:eastAsia="仿宋_GB2312" w:cs="仿宋_GB2312"/>
          <w:color w:val="auto"/>
          <w:sz w:val="28"/>
          <w:szCs w:val="28"/>
          <w:lang w:val="zh-CN"/>
        </w:rPr>
        <w:t>《沁水县“十三五”水资源消耗总量和强度双控行动方案》</w:t>
      </w:r>
      <w:r>
        <w:rPr>
          <w:rFonts w:hint="eastAsia" w:ascii="仿宋_GB2312" w:hAnsi="仿宋_GB2312" w:eastAsia="仿宋_GB2312" w:cs="仿宋_GB2312"/>
          <w:color w:val="auto"/>
          <w:sz w:val="28"/>
          <w:szCs w:val="28"/>
        </w:rPr>
        <w:t>明确了用水总量、用水效率、水功能区限制纳污三条红线的主要目标。各项指标完成情况：一是</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用水总量控制在目标值</w:t>
      </w:r>
      <w:r>
        <w:rPr>
          <w:rFonts w:hint="eastAsia" w:ascii="Times New Roman" w:hAnsi="Times New Roman" w:eastAsia="仿宋_GB2312" w:cs="仿宋_GB2312"/>
          <w:color w:val="auto"/>
          <w:sz w:val="28"/>
          <w:szCs w:val="28"/>
        </w:rPr>
        <w:t>5980</w:t>
      </w:r>
      <w:r>
        <w:rPr>
          <w:rFonts w:hint="eastAsia" w:ascii="仿宋_GB2312" w:hAnsi="仿宋_GB2312" w:eastAsia="仿宋_GB2312" w:cs="仿宋_GB2312"/>
          <w:color w:val="auto"/>
          <w:sz w:val="28"/>
          <w:szCs w:val="28"/>
          <w:lang w:val="zh-CN"/>
        </w:rPr>
        <w:t>万</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rPr>
        <w:t>以下</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二是</w:t>
      </w:r>
      <w:r>
        <w:rPr>
          <w:rFonts w:hint="eastAsia" w:ascii="仿宋_GB2312" w:hAnsi="仿宋_GB2312" w:eastAsia="仿宋_GB2312" w:cs="仿宋_GB2312"/>
          <w:color w:val="auto"/>
          <w:sz w:val="28"/>
          <w:szCs w:val="28"/>
          <w:lang w:val="zh-CN"/>
        </w:rPr>
        <w:t>万元地区生产总值用水量降幅比例为</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三是</w:t>
      </w:r>
      <w:r>
        <w:rPr>
          <w:rFonts w:hint="eastAsia" w:ascii="仿宋_GB2312" w:hAnsi="仿宋_GB2312" w:eastAsia="仿宋_GB2312" w:cs="仿宋_GB2312"/>
          <w:color w:val="auto"/>
          <w:sz w:val="28"/>
          <w:szCs w:val="28"/>
          <w:lang w:val="zh-CN"/>
        </w:rPr>
        <w:t>万元工业增加值用水量下降率为</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四是</w:t>
      </w:r>
      <w:r>
        <w:rPr>
          <w:rFonts w:hint="eastAsia" w:ascii="仿宋_GB2312" w:hAnsi="仿宋_GB2312" w:eastAsia="仿宋_GB2312" w:cs="仿宋_GB2312"/>
          <w:color w:val="auto"/>
          <w:sz w:val="28"/>
          <w:szCs w:val="28"/>
          <w:lang w:val="zh-CN"/>
        </w:rPr>
        <w:t>农田灌溉水有效利用系数为</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588</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571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五是</w:t>
      </w:r>
      <w:r>
        <w:rPr>
          <w:rFonts w:hint="eastAsia" w:ascii="仿宋_GB2312" w:hAnsi="仿宋_GB2312" w:eastAsia="仿宋_GB2312" w:cs="仿宋_GB2312"/>
          <w:color w:val="auto"/>
          <w:sz w:val="28"/>
          <w:szCs w:val="28"/>
          <w:lang w:val="zh-CN"/>
        </w:rPr>
        <w:t>重要江河湖泊水功能区水质达标率：</w:t>
      </w:r>
      <w:r>
        <w:rPr>
          <w:rFonts w:hint="eastAsia" w:ascii="Times New Roman" w:hAnsi="Times New Roman" w:eastAsia="仿宋_GB2312" w:cs="仿宋_GB2312"/>
          <w:color w:val="auto"/>
          <w:sz w:val="28"/>
          <w:szCs w:val="28"/>
          <w:lang w:val="zh-CN"/>
        </w:rPr>
        <w:t>100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lang w:val="zh-CN"/>
        </w:rPr>
        <w:t>%）。</w:t>
      </w:r>
    </w:p>
    <w:p w14:paraId="499A30E6">
      <w:pPr>
        <w:pStyle w:val="8"/>
        <w:rPr>
          <w:rFonts w:ascii="Times New Roman" w:hAnsi="Times New Roman"/>
          <w:color w:val="auto"/>
        </w:rPr>
      </w:pPr>
      <w:bookmarkStart w:id="94" w:name="_Toc20202"/>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2</w:t>
      </w:r>
      <w:r>
        <w:rPr>
          <w:rFonts w:hint="eastAsia" w:ascii="Times New Roman" w:hAnsi="Times New Roman"/>
          <w:color w:val="auto"/>
        </w:rPr>
        <w:t xml:space="preserve">  水生态修复与保护</w:t>
      </w:r>
      <w:bookmarkEnd w:id="94"/>
    </w:p>
    <w:p w14:paraId="18469F7E">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河道治理与保护</w:t>
      </w:r>
    </w:p>
    <w:p w14:paraId="2E6B89D5">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“十三五”期间，我县开工建设了沁河重点段河道治理工程（沁水段）、沁水县河沁水段河道治理工程。</w:t>
      </w:r>
    </w:p>
    <w:p w14:paraId="2FA76A2F">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沁河重点段河道治理是全省“两山七河”生态治理的重点项目，是</w:t>
      </w:r>
      <w:r>
        <w:rPr>
          <w:rFonts w:hint="eastAsia" w:ascii="仿宋_GB2312" w:hAnsi="仿宋_GB2312" w:eastAsia="仿宋_GB2312" w:cs="仿宋_GB2312"/>
          <w:color w:val="auto"/>
          <w:sz w:val="28"/>
          <w:szCs w:val="28"/>
        </w:rPr>
        <w:t>全</w:t>
      </w:r>
      <w:r>
        <w:rPr>
          <w:rFonts w:hint="eastAsia" w:ascii="仿宋_GB2312" w:hAnsi="仿宋_GB2312" w:eastAsia="仿宋_GB2312" w:cs="仿宋_GB2312"/>
          <w:color w:val="auto"/>
          <w:sz w:val="28"/>
          <w:szCs w:val="28"/>
          <w:lang w:val="zh-CN"/>
        </w:rPr>
        <w:t>市“三清单两任务”中“推进生态环保领域改革”的一项重要任务，也是我县</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年强力推进的一项重要工作。工程自从</w:t>
      </w:r>
      <w:r>
        <w:rPr>
          <w:rFonts w:hint="eastAsia" w:ascii="Times New Roman" w:hAnsi="Times New Roman" w:eastAsia="仿宋_GB2312" w:cs="仿宋_GB2312"/>
          <w:color w:val="auto"/>
          <w:sz w:val="28"/>
          <w:szCs w:val="28"/>
        </w:rPr>
        <w:t>2018</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4</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日开工建设，现除钢坝闸外全部完成，有效提高了治理段河道的防洪保安能力。</w:t>
      </w:r>
    </w:p>
    <w:p w14:paraId="46BC4CF8">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沁水县河沁水段河道治理工程是</w:t>
      </w:r>
      <w:r>
        <w:rPr>
          <w:rFonts w:hint="eastAsia" w:ascii="仿宋_GB2312" w:hAnsi="仿宋_GB2312" w:eastAsia="仿宋_GB2312" w:cs="仿宋_GB2312"/>
          <w:color w:val="auto"/>
          <w:sz w:val="28"/>
          <w:szCs w:val="28"/>
          <w:lang w:val="zh-CN"/>
        </w:rPr>
        <w:t>国家中小河流治理项目，</w:t>
      </w:r>
      <w:r>
        <w:rPr>
          <w:rFonts w:hint="eastAsia" w:ascii="仿宋_GB2312" w:hAnsi="仿宋_GB2312" w:eastAsia="仿宋_GB2312" w:cs="仿宋_GB2312"/>
          <w:color w:val="auto"/>
          <w:sz w:val="28"/>
          <w:szCs w:val="28"/>
        </w:rPr>
        <w:t>批复</w:t>
      </w:r>
      <w:r>
        <w:rPr>
          <w:rFonts w:hint="eastAsia" w:ascii="仿宋_GB2312" w:hAnsi="仿宋_GB2312" w:eastAsia="仿宋_GB2312" w:cs="仿宋_GB2312"/>
          <w:color w:val="auto"/>
          <w:sz w:val="28"/>
          <w:szCs w:val="28"/>
          <w:lang w:val="zh-CN"/>
        </w:rPr>
        <w:t>总投资</w:t>
      </w:r>
      <w:r>
        <w:rPr>
          <w:rFonts w:hint="eastAsia" w:ascii="Times New Roman" w:hAnsi="Times New Roman" w:eastAsia="仿宋_GB2312" w:cs="仿宋_GB2312"/>
          <w:color w:val="auto"/>
          <w:sz w:val="28"/>
          <w:szCs w:val="28"/>
          <w:lang w:val="zh-CN"/>
        </w:rPr>
        <w:t>3113</w:t>
      </w:r>
      <w:r>
        <w:rPr>
          <w:rFonts w:hint="eastAsia" w:ascii="仿宋_GB2312" w:hAnsi="仿宋_GB2312" w:eastAsia="仿宋_GB2312" w:cs="仿宋_GB2312"/>
          <w:color w:val="auto"/>
          <w:sz w:val="28"/>
          <w:szCs w:val="28"/>
          <w:lang w:val="zh-CN"/>
        </w:rPr>
        <w:t>万元，总工期</w:t>
      </w:r>
      <w:r>
        <w:rPr>
          <w:rFonts w:hint="eastAsia" w:ascii="Times New Roman" w:hAnsi="Times New Roman" w:eastAsia="仿宋_GB2312" w:cs="仿宋_GB2312"/>
          <w:color w:val="auto"/>
          <w:sz w:val="28"/>
          <w:szCs w:val="28"/>
          <w:lang w:val="zh-CN"/>
        </w:rPr>
        <w:t>12</w:t>
      </w:r>
      <w:r>
        <w:rPr>
          <w:rFonts w:hint="eastAsia" w:ascii="仿宋_GB2312" w:hAnsi="仿宋_GB2312" w:eastAsia="仿宋_GB2312" w:cs="仿宋_GB2312"/>
          <w:color w:val="auto"/>
          <w:sz w:val="28"/>
          <w:szCs w:val="28"/>
          <w:lang w:val="zh-CN"/>
        </w:rPr>
        <w:t>个月。</w:t>
      </w:r>
      <w:r>
        <w:rPr>
          <w:rFonts w:hint="eastAsia" w:ascii="仿宋_GB2312" w:hAnsi="仿宋_GB2312" w:eastAsia="仿宋_GB2312" w:cs="仿宋_GB2312"/>
          <w:color w:val="auto"/>
          <w:sz w:val="28"/>
          <w:szCs w:val="28"/>
        </w:rPr>
        <w:t>根据资金安排，一期完成投资</w:t>
      </w:r>
      <w:r>
        <w:rPr>
          <w:rFonts w:hint="eastAsia" w:ascii="Times New Roman" w:hAnsi="Times New Roman" w:eastAsia="仿宋_GB2312" w:cs="仿宋_GB2312"/>
          <w:color w:val="auto"/>
          <w:sz w:val="28"/>
          <w:szCs w:val="28"/>
        </w:rPr>
        <w:t>2380</w:t>
      </w:r>
      <w:r>
        <w:rPr>
          <w:rFonts w:hint="eastAsia" w:ascii="仿宋_GB2312" w:hAnsi="仿宋_GB2312" w:eastAsia="仿宋_GB2312" w:cs="仿宋_GB2312"/>
          <w:color w:val="auto"/>
          <w:sz w:val="28"/>
          <w:szCs w:val="28"/>
        </w:rPr>
        <w:t>万元，完成河道治理</w:t>
      </w:r>
      <w:r>
        <w:rPr>
          <w:rFonts w:hint="eastAsia" w:ascii="Times New Roman" w:hAnsi="Times New Roman" w:eastAsia="仿宋_GB2312" w:cs="仿宋_GB2312"/>
          <w:color w:val="auto"/>
          <w:sz w:val="28"/>
          <w:szCs w:val="28"/>
        </w:rPr>
        <w:t>11km</w:t>
      </w:r>
      <w:r>
        <w:rPr>
          <w:rFonts w:hint="eastAsia" w:ascii="仿宋_GB2312" w:hAnsi="仿宋_GB2312" w:eastAsia="仿宋_GB2312" w:cs="仿宋_GB2312"/>
          <w:color w:val="auto"/>
          <w:sz w:val="28"/>
          <w:szCs w:val="28"/>
        </w:rPr>
        <w:t>。</w:t>
      </w:r>
    </w:p>
    <w:p w14:paraId="45BDC948">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2</w:t>
      </w:r>
      <w:r>
        <w:rPr>
          <w:rFonts w:eastAsia="仿宋"/>
          <w:color w:val="auto"/>
          <w:sz w:val="28"/>
          <w:szCs w:val="28"/>
        </w:rPr>
        <w:t xml:space="preserve">         </w:t>
      </w:r>
      <w:r>
        <w:rPr>
          <w:rFonts w:hint="eastAsia"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重点河道治理项目统计表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82"/>
        <w:gridCol w:w="3560"/>
        <w:gridCol w:w="1146"/>
        <w:gridCol w:w="1648"/>
      </w:tblGrid>
      <w:tr w14:paraId="7EF81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2082" w:type="dxa"/>
            <w:vAlign w:val="center"/>
          </w:tcPr>
          <w:p w14:paraId="7A252CFD">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560" w:type="dxa"/>
            <w:vAlign w:val="center"/>
          </w:tcPr>
          <w:p w14:paraId="5EEAB33F">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146" w:type="dxa"/>
            <w:vAlign w:val="center"/>
          </w:tcPr>
          <w:p w14:paraId="36F9E1A2">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总投资（亿元）</w:t>
            </w:r>
          </w:p>
        </w:tc>
        <w:tc>
          <w:tcPr>
            <w:tcW w:w="1648" w:type="dxa"/>
            <w:vAlign w:val="center"/>
          </w:tcPr>
          <w:p w14:paraId="1D58E5E1">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完成投资（亿元）</w:t>
            </w:r>
          </w:p>
        </w:tc>
      </w:tr>
      <w:tr w14:paraId="6D97E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11" w:hRule="atLeast"/>
          <w:jc w:val="center"/>
        </w:trPr>
        <w:tc>
          <w:tcPr>
            <w:tcW w:w="2082" w:type="dxa"/>
            <w:vAlign w:val="center"/>
          </w:tcPr>
          <w:p w14:paraId="46871DBA">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沁河重点段河道治理工程（沁水段）</w:t>
            </w:r>
          </w:p>
        </w:tc>
        <w:tc>
          <w:tcPr>
            <w:tcW w:w="3560" w:type="dxa"/>
          </w:tcPr>
          <w:p w14:paraId="65BA2176">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新建格宾石笼防护工程</w:t>
            </w:r>
            <w:r>
              <w:rPr>
                <w:rFonts w:hint="eastAsia" w:ascii="Times New Roman" w:hAnsi="Times New Roman" w:eastAsia="仿宋" w:cs="仿宋_GB2312"/>
                <w:color w:val="auto"/>
                <w:sz w:val="22"/>
                <w:szCs w:val="22"/>
              </w:rPr>
              <w:t>14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90km</w:t>
            </w:r>
            <w:r>
              <w:rPr>
                <w:rFonts w:hint="eastAsia" w:ascii="Times New Roman Regular" w:hAnsi="Times New Roman Regular" w:eastAsia="仿宋" w:cs="Times New Roman Regular"/>
                <w:color w:val="auto"/>
                <w:sz w:val="22"/>
                <w:szCs w:val="22"/>
              </w:rPr>
              <w:t>（其中:左岸堤防</w:t>
            </w:r>
            <w:r>
              <w:rPr>
                <w:rFonts w:hint="eastAsia" w:ascii="Times New Roman" w:hAnsi="Times New Roman" w:eastAsia="仿宋" w:cs="仿宋_GB2312"/>
                <w:color w:val="auto"/>
                <w:sz w:val="22"/>
                <w:szCs w:val="22"/>
              </w:rPr>
              <w:t>7</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26km</w:t>
            </w:r>
            <w:r>
              <w:rPr>
                <w:rFonts w:hint="eastAsia" w:ascii="Times New Roman Regular" w:hAnsi="Times New Roman Regular" w:eastAsia="仿宋" w:cs="Times New Roman Regular"/>
                <w:color w:val="auto"/>
                <w:sz w:val="22"/>
                <w:szCs w:val="22"/>
              </w:rPr>
              <w:t>,右岸堤防</w:t>
            </w:r>
            <w:r>
              <w:rPr>
                <w:rFonts w:hint="eastAsia" w:ascii="Times New Roman" w:hAnsi="Times New Roman" w:eastAsia="仿宋" w:cs="仿宋_GB2312"/>
                <w:color w:val="auto"/>
                <w:sz w:val="22"/>
                <w:szCs w:val="22"/>
              </w:rPr>
              <w:t>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52km</w:t>
            </w:r>
            <w:r>
              <w:rPr>
                <w:rFonts w:hint="eastAsia" w:ascii="Times New Roman Regular" w:hAnsi="Times New Roman Regular" w:eastAsia="仿宋" w:cs="Times New Roman Regular"/>
                <w:color w:val="auto"/>
                <w:sz w:val="22"/>
                <w:szCs w:val="22"/>
              </w:rPr>
              <w:t>，主槽防护工程,</w:t>
            </w:r>
            <w:r>
              <w:rPr>
                <w:rFonts w:hint="eastAsia" w:ascii="Times New Roman" w:hAnsi="Times New Roman" w:eastAsia="仿宋" w:cs="仿宋_GB2312"/>
                <w:color w:val="auto"/>
                <w:sz w:val="22"/>
                <w:szCs w:val="22"/>
              </w:rPr>
              <w:t>3</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11km</w:t>
            </w:r>
            <w:r>
              <w:rPr>
                <w:rFonts w:hint="eastAsia" w:ascii="Times New Roman Regular" w:hAnsi="Times New Roman Regular" w:eastAsia="仿宋" w:cs="Times New Roman Regular"/>
                <w:color w:val="auto"/>
                <w:sz w:val="22"/>
                <w:szCs w:val="22"/>
              </w:rPr>
              <w:t>）；新建钢坝闸</w:t>
            </w:r>
            <w:r>
              <w:rPr>
                <w:rFonts w:hint="eastAsia" w:ascii="Times New Roman" w:hAnsi="Times New Roman" w:eastAsia="仿宋" w:cs="仿宋_GB2312"/>
                <w:color w:val="auto"/>
                <w:sz w:val="22"/>
                <w:szCs w:val="22"/>
              </w:rPr>
              <w:t>2</w:t>
            </w:r>
            <w:r>
              <w:rPr>
                <w:rFonts w:hint="eastAsia" w:ascii="Times New Roman Regular" w:hAnsi="Times New Roman Regular" w:eastAsia="仿宋" w:cs="Times New Roman Regular"/>
                <w:color w:val="auto"/>
                <w:sz w:val="22"/>
                <w:szCs w:val="22"/>
              </w:rPr>
              <w:t>座，清淤</w:t>
            </w:r>
            <w:r>
              <w:rPr>
                <w:rFonts w:hint="eastAsia" w:ascii="Times New Roman" w:hAnsi="Times New Roman" w:eastAsia="仿宋" w:cs="仿宋_GB2312"/>
                <w:color w:val="auto"/>
                <w:sz w:val="22"/>
                <w:szCs w:val="22"/>
              </w:rPr>
              <w:t>20</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Regular" w:hAnsi="Times New Roman Regular" w:eastAsia="仿宋" w:cs="Times New Roman Regular"/>
                <w:color w:val="auto"/>
                <w:sz w:val="22"/>
                <w:szCs w:val="22"/>
              </w:rPr>
              <w:t>³</w:t>
            </w:r>
            <w:r>
              <w:rPr>
                <w:rFonts w:hint="eastAsia" w:ascii="Times New Roman Regular" w:hAnsi="Times New Roman Regular" w:eastAsia="仿宋" w:cs="Times New Roman Regular"/>
                <w:color w:val="auto"/>
                <w:sz w:val="22"/>
                <w:szCs w:val="22"/>
              </w:rPr>
              <w:t>,新建涵洞</w:t>
            </w:r>
            <w:r>
              <w:rPr>
                <w:rFonts w:hint="eastAsia" w:ascii="Times New Roman" w:hAnsi="Times New Roman" w:eastAsia="仿宋" w:cs="仿宋_GB2312"/>
                <w:color w:val="auto"/>
                <w:sz w:val="22"/>
                <w:szCs w:val="22"/>
              </w:rPr>
              <w:t>54</w:t>
            </w:r>
            <w:r>
              <w:rPr>
                <w:rFonts w:hint="eastAsia" w:ascii="Times New Roman Regular" w:hAnsi="Times New Roman Regular" w:eastAsia="仿宋" w:cs="Times New Roman Regular"/>
                <w:color w:val="auto"/>
                <w:sz w:val="22"/>
                <w:szCs w:val="22"/>
              </w:rPr>
              <w:t>处，绿化</w:t>
            </w: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8</w:t>
            </w:r>
            <w:r>
              <w:rPr>
                <w:rFonts w:hint="eastAsia" w:ascii="Times New Roman Regular" w:hAnsi="Times New Roman Regular" w:eastAsia="仿宋" w:cs="Times New Roman Regular"/>
                <w:color w:val="auto"/>
                <w:sz w:val="22"/>
                <w:szCs w:val="22"/>
              </w:rPr>
              <w:t>万㎡</w:t>
            </w:r>
          </w:p>
        </w:tc>
        <w:tc>
          <w:tcPr>
            <w:tcW w:w="1146" w:type="dxa"/>
            <w:vAlign w:val="center"/>
          </w:tcPr>
          <w:p w14:paraId="5DD07BA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c>
          <w:tcPr>
            <w:tcW w:w="1648" w:type="dxa"/>
            <w:vAlign w:val="center"/>
          </w:tcPr>
          <w:p w14:paraId="1AD1A132">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r>
      <w:tr w14:paraId="368F2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2082" w:type="dxa"/>
            <w:vAlign w:val="center"/>
          </w:tcPr>
          <w:p w14:paraId="3148EB2D">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沁水县河沁水段河道治理工程</w:t>
            </w:r>
          </w:p>
        </w:tc>
        <w:tc>
          <w:tcPr>
            <w:tcW w:w="3560" w:type="dxa"/>
          </w:tcPr>
          <w:p w14:paraId="7B88A2B7">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lang w:val="zh-CN"/>
              </w:rPr>
              <w:t>道治理长度</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rPr>
              <w:t>其中</w:t>
            </w:r>
            <w:r>
              <w:rPr>
                <w:rFonts w:hint="eastAsia" w:ascii="Times New Roman Regular" w:hAnsi="Times New Roman Regular" w:eastAsia="仿宋" w:cs="Times New Roman Regular"/>
                <w:color w:val="auto"/>
                <w:sz w:val="22"/>
                <w:szCs w:val="22"/>
                <w:lang w:val="zh-CN"/>
              </w:rPr>
              <w:t>新建防护工程</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，主槽护脚</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2km</w:t>
            </w:r>
            <w:r>
              <w:rPr>
                <w:rFonts w:hint="eastAsia" w:ascii="Times New Roman Regular" w:hAnsi="Times New Roman Regular" w:eastAsia="仿宋" w:cs="Times New Roman Regular"/>
                <w:color w:val="auto"/>
                <w:sz w:val="22"/>
                <w:szCs w:val="22"/>
                <w:lang w:val="zh-CN"/>
              </w:rPr>
              <w:t>，滩槽整治</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5km</w:t>
            </w:r>
            <w:r>
              <w:rPr>
                <w:rFonts w:hint="eastAsia" w:ascii="Times New Roman Regular" w:hAnsi="Times New Roman Regular" w:eastAsia="仿宋" w:cs="Times New Roman Regular"/>
                <w:color w:val="auto"/>
                <w:sz w:val="22"/>
                <w:szCs w:val="22"/>
                <w:lang w:val="zh-CN"/>
              </w:rPr>
              <w:t>，支流入河口</w:t>
            </w:r>
            <w:r>
              <w:rPr>
                <w:rFonts w:hint="eastAsia" w:ascii="Times New Roman Regular" w:hAnsi="Times New Roman Regular" w:eastAsia="仿宋" w:cs="Times New Roman Regular"/>
                <w:color w:val="auto"/>
                <w:sz w:val="22"/>
                <w:szCs w:val="22"/>
              </w:rPr>
              <w:t>防护</w:t>
            </w:r>
            <w:r>
              <w:rPr>
                <w:rFonts w:hint="eastAsia" w:ascii="Times New Roman" w:hAnsi="Times New Roman" w:eastAsia="仿宋" w:cs="仿宋_GB2312"/>
                <w:color w:val="auto"/>
                <w:sz w:val="22"/>
                <w:szCs w:val="22"/>
                <w:lang w:val="zh-CN"/>
              </w:rPr>
              <w:t>3</w:t>
            </w:r>
            <w:r>
              <w:rPr>
                <w:rFonts w:hint="eastAsia" w:ascii="Times New Roman Regular" w:hAnsi="Times New Roman Regular" w:eastAsia="仿宋" w:cs="Times New Roman Regular"/>
                <w:color w:val="auto"/>
                <w:sz w:val="22"/>
                <w:szCs w:val="22"/>
                <w:lang w:val="zh-CN"/>
              </w:rPr>
              <w:t>处</w:t>
            </w:r>
          </w:p>
        </w:tc>
        <w:tc>
          <w:tcPr>
            <w:tcW w:w="1146" w:type="dxa"/>
            <w:vAlign w:val="center"/>
          </w:tcPr>
          <w:p w14:paraId="062918FD">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31</w:t>
            </w:r>
          </w:p>
        </w:tc>
        <w:tc>
          <w:tcPr>
            <w:tcW w:w="1648" w:type="dxa"/>
            <w:vAlign w:val="center"/>
          </w:tcPr>
          <w:p w14:paraId="20F908E5">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24</w:t>
            </w:r>
          </w:p>
        </w:tc>
      </w:tr>
    </w:tbl>
    <w:p w14:paraId="0FA5866C">
      <w:pPr>
        <w:snapToGrid w:val="0"/>
        <w:spacing w:line="360" w:lineRule="auto"/>
        <w:ind w:firstLine="560" w:firstLineChars="200"/>
        <w:rPr>
          <w:rFonts w:ascii="仿宋_GB2312" w:hAnsi="仿宋_GB2312" w:eastAsia="仿宋_GB2312" w:cs="仿宋_GB2312"/>
          <w:color w:val="auto"/>
          <w:sz w:val="28"/>
          <w:szCs w:val="28"/>
        </w:rPr>
      </w:pPr>
      <w:bookmarkStart w:id="95" w:name="_Toc19937"/>
      <w:bookmarkStart w:id="96" w:name="_Toc905"/>
      <w:bookmarkStart w:id="97" w:name="_Toc12270"/>
    </w:p>
    <w:p w14:paraId="408C8FF8">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水土保持工作取得了显著</w:t>
      </w:r>
      <w:bookmarkEnd w:id="95"/>
      <w:bookmarkEnd w:id="96"/>
      <w:bookmarkEnd w:id="97"/>
      <w:r>
        <w:rPr>
          <w:rFonts w:hint="eastAsia" w:ascii="Arial" w:hAnsi="Arial" w:cs="Times New Roman"/>
          <w:color w:val="auto"/>
          <w:lang w:val="en-US" w:eastAsia="zh-CN"/>
        </w:rPr>
        <w:t>成效</w:t>
      </w:r>
    </w:p>
    <w:p w14:paraId="612BD75B">
      <w:pPr>
        <w:snapToGrid w:val="0"/>
        <w:spacing w:line="360" w:lineRule="auto"/>
        <w:ind w:firstLine="560" w:firstLineChars="200"/>
        <w:rPr>
          <w:rFonts w:ascii="仿宋" w:hAnsi="仿宋" w:eastAsia="仿宋" w:cs="仿宋"/>
          <w:color w:val="auto"/>
          <w:sz w:val="28"/>
          <w:szCs w:val="28"/>
        </w:rPr>
      </w:pPr>
      <w:r>
        <w:rPr>
          <w:rFonts w:hint="eastAsia" w:ascii="Times New Roman" w:hAnsi="Times New Roman" w:eastAsia="仿宋" w:cs="仿宋_GB2312"/>
          <w:color w:val="auto"/>
          <w:sz w:val="28"/>
          <w:szCs w:val="28"/>
          <w:lang w:val="en-US" w:eastAsia="zh-CN"/>
        </w:rPr>
        <w:t>一</w:t>
      </w:r>
      <w:r>
        <w:rPr>
          <w:rFonts w:hint="eastAsia" w:ascii="仿宋" w:hAnsi="仿宋" w:eastAsia="仿宋" w:cs="仿宋"/>
          <w:color w:val="auto"/>
          <w:sz w:val="28"/>
          <w:szCs w:val="28"/>
        </w:rPr>
        <w:t>、完成国家水土保持重点建设工程。</w:t>
      </w:r>
    </w:p>
    <w:p w14:paraId="32020198">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先后完成北湾小流域、苏庄南沟小流域、董家山小流域、张峰小流域、罗沟小流域、秦庄小流域六条重点小流域综合治理工程。完成水土流失综合治理面积</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1k</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375</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93h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2854h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33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88h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6307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06h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14k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w:t>
      </w:r>
    </w:p>
    <w:p w14:paraId="2C90F00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截止</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年底，全县累计完成水土流失综合治理面积</w:t>
      </w:r>
      <w:r>
        <w:rPr>
          <w:rFonts w:hint="eastAsia" w:ascii="Times New Roman" w:hAnsi="Times New Roman" w:eastAsia="仿宋" w:cs="仿宋_GB2312"/>
          <w:color w:val="auto"/>
          <w:sz w:val="28"/>
          <w:szCs w:val="28"/>
        </w:rPr>
        <w:t>137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83</w:t>
      </w:r>
      <w:r>
        <w:rPr>
          <w:rFonts w:hint="eastAsia" w:ascii="仿宋" w:hAnsi="仿宋" w:eastAsia="仿宋" w:cs="仿宋"/>
          <w:color w:val="auto"/>
          <w:sz w:val="28"/>
          <w:szCs w:val="28"/>
        </w:rPr>
        <w:t xml:space="preserve"> </w:t>
      </w:r>
      <w:r>
        <w:rPr>
          <w:rFonts w:hint="eastAsia" w:ascii="Times New Roman" w:hAnsi="Times New Roman" w:eastAsia="仿宋" w:cs="仿宋"/>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28113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63253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9537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35328</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w:t>
      </w:r>
    </w:p>
    <w:p w14:paraId="404A4528">
      <w:pPr>
        <w:numPr>
          <w:ilvl w:val="0"/>
          <w:numId w:val="0"/>
        </w:num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淤地坝管护责任全面落实。</w:t>
      </w:r>
    </w:p>
    <w:p w14:paraId="6A8A76A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根据水利部水保</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2019</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109</w:t>
      </w:r>
      <w:r>
        <w:rPr>
          <w:rFonts w:hint="eastAsia" w:ascii="仿宋" w:hAnsi="仿宋" w:eastAsia="仿宋" w:cs="仿宋"/>
          <w:color w:val="auto"/>
          <w:sz w:val="28"/>
          <w:szCs w:val="28"/>
        </w:rPr>
        <w:t>号文的要求，我县制定了沁水县淤地坝工程管护办法，全面落实了“三个责任人”管护制度，每年汛期都会编制淤地坝应急防汛预案，对淤地坝下游有村庄的，逐户发放了应急避险撤离明白卡。把淤地坝下游居民的生命和财产安全放在了首位。同时，积极争取上级资金对南沟和西坡两座中型淤地坝进行了除险加固。保证了淤地坝安全运行。</w:t>
      </w:r>
    </w:p>
    <w:p w14:paraId="5FFF81D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水土保持监督监测。</w:t>
      </w:r>
    </w:p>
    <w:p w14:paraId="1E015D3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对全县范围内的开发建设项目单位每年都进行一到二次监督检查，对违规违法行为及时进行制止，对未按照“三同时”要求落实水土保持方案的提出限期整改。通过加强监督监测让全县开发建设项目走上了法制化轨道，为沁水法制化建设贡献一份力量，与此同时通过监督监测对全县各区域破坏水土保持设施的行为进行全覆盖监测，并逐斑进行监督检查，落实主体责任单位及时进行整改，有效遏制了我县人为水土流失。</w:t>
      </w:r>
    </w:p>
    <w:p w14:paraId="56706B7A">
      <w:pPr>
        <w:pStyle w:val="8"/>
        <w:rPr>
          <w:color w:val="auto"/>
        </w:rPr>
      </w:pPr>
      <w:bookmarkStart w:id="98" w:name="_Toc106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3</w:t>
      </w:r>
      <w:r>
        <w:rPr>
          <w:rFonts w:hint="eastAsia"/>
          <w:color w:val="auto"/>
        </w:rPr>
        <w:t xml:space="preserve">  乡村振兴</w:t>
      </w:r>
      <w:bookmarkEnd w:id="98"/>
    </w:p>
    <w:bookmarkEnd w:id="88"/>
    <w:bookmarkEnd w:id="89"/>
    <w:bookmarkEnd w:id="90"/>
    <w:p w14:paraId="157D540C">
      <w:pPr>
        <w:pStyle w:val="9"/>
        <w:numPr>
          <w:ilvl w:val="0"/>
          <w:numId w:val="0"/>
        </w:numPr>
        <w:bidi w:val="0"/>
        <w:rPr>
          <w:rFonts w:hint="eastAsia" w:ascii="Arial" w:hAnsi="Arial" w:cs="Times New Roman"/>
          <w:color w:val="auto"/>
          <w:lang w:val="en-US" w:eastAsia="zh-CN"/>
        </w:rPr>
      </w:pPr>
      <w:bookmarkStart w:id="99" w:name="_Toc1117"/>
      <w:bookmarkStart w:id="100" w:name="_Toc783"/>
      <w:bookmarkStart w:id="101" w:name="_Toc31350"/>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水电事业得到可持续发展</w:t>
      </w:r>
    </w:p>
    <w:p w14:paraId="6BF0CA13">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“十三五”期间，我县完成了龙渠、尉迟、武安、中乡</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座水电站的增效扩容改造，总投资</w:t>
      </w:r>
      <w:r>
        <w:rPr>
          <w:rFonts w:hint="eastAsia" w:ascii="Times New Roman" w:hAnsi="Times New Roman" w:eastAsia="仿宋" w:cs="仿宋_GB2312"/>
          <w:color w:val="auto"/>
          <w:sz w:val="28"/>
          <w:szCs w:val="28"/>
        </w:rPr>
        <w:t>1116</w:t>
      </w:r>
      <w:r>
        <w:rPr>
          <w:rFonts w:hint="eastAsia" w:ascii="仿宋" w:hAnsi="仿宋" w:eastAsia="仿宋" w:cs="仿宋"/>
          <w:color w:val="auto"/>
          <w:sz w:val="28"/>
          <w:szCs w:val="28"/>
        </w:rPr>
        <w:t>万元。更新改造机组</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台，</w:t>
      </w:r>
      <w:r>
        <w:rPr>
          <w:rFonts w:hint="eastAsia" w:ascii="Times New Roman" w:hAnsi="Times New Roman" w:eastAsia="仿宋" w:cs="仿宋_GB2312"/>
          <w:color w:val="auto"/>
          <w:sz w:val="28"/>
          <w:szCs w:val="28"/>
        </w:rPr>
        <w:t>4500kW</w:t>
      </w:r>
      <w:r>
        <w:rPr>
          <w:rFonts w:hint="eastAsia" w:ascii="仿宋" w:hAnsi="仿宋" w:eastAsia="仿宋" w:cs="仿宋"/>
          <w:color w:val="auto"/>
          <w:sz w:val="28"/>
          <w:szCs w:val="28"/>
        </w:rPr>
        <w:t>水轮发电机组及机组附属设备；更新电站辅助设备及管路系统；更新电气设备，增设计算机监控系统。改造后机组出力达到</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%以上，自动化控制系统为安全生产提供有力保障，实现了无人值班、少人值守的目标。该项目于</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月</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日完成增效扩容项目竣工验收工作，目前经济效益发挥良好。其次投资</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余万元，在沁河沁水段</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座水电站脱水段安装生态监测系统及泄放设施，制定了下泄制度，确保了水电站脱水段</w:t>
      </w:r>
      <w:r>
        <w:rPr>
          <w:rFonts w:ascii="Times New Roman" w:hAnsi="Times New Roman" w:eastAsia="仿宋" w:cs="仿宋_GB2312"/>
          <w:color w:val="auto"/>
          <w:sz w:val="28"/>
          <w:szCs w:val="28"/>
        </w:rPr>
        <w:t>1m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r>
        <w:rPr>
          <w:rFonts w:ascii="Times New Roman" w:hAnsi="Times New Roman" w:eastAsia="仿宋" w:cs="仿宋_GB2312"/>
          <w:color w:val="auto"/>
          <w:sz w:val="28"/>
          <w:szCs w:val="28"/>
        </w:rPr>
        <w:t>s</w:t>
      </w:r>
      <w:r>
        <w:rPr>
          <w:rFonts w:hint="eastAsia" w:ascii="仿宋" w:hAnsi="仿宋" w:eastAsia="仿宋" w:cs="仿宋"/>
          <w:color w:val="auto"/>
          <w:sz w:val="28"/>
          <w:szCs w:val="28"/>
        </w:rPr>
        <w:t>的生态流量，有效恢复河道生态平衡，改善了河道水生态环境。</w:t>
      </w:r>
    </w:p>
    <w:p w14:paraId="366A84B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“十三五”期间我县开展农村水电站标准化达标评级工作和绿色小水电创建工作。先后有</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座水电站全部通过农村水电站安全生产标准化二级单位评级达标，</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座水电站通过绿色小水电创建工作。进一步落实了农村水电站安全生产主体责任，规范农村水电站安全生产标准化管理。</w:t>
      </w:r>
    </w:p>
    <w:p w14:paraId="23671FC6">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农村供水保障能力持续提升</w:t>
      </w:r>
    </w:p>
    <w:p w14:paraId="3C98A0CE">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工程方面：“十三五”期间，我们认真贯彻</w:t>
      </w:r>
      <w:r>
        <w:rPr>
          <w:rFonts w:hint="eastAsia" w:ascii="仿宋" w:hAnsi="仿宋" w:eastAsia="仿宋" w:cs="仿宋"/>
          <w:color w:val="auto"/>
          <w:sz w:val="28"/>
          <w:szCs w:val="28"/>
          <w:lang w:val="en-US" w:bidi="ar-SA"/>
        </w:rPr>
        <w:t>习近平总书记</w:t>
      </w:r>
      <w:r>
        <w:rPr>
          <w:rFonts w:ascii="仿宋" w:hAnsi="仿宋" w:eastAsia="仿宋" w:cs="仿宋"/>
          <w:color w:val="auto"/>
          <w:sz w:val="28"/>
          <w:szCs w:val="28"/>
          <w:lang w:val="en-US" w:bidi="ar-SA"/>
        </w:rPr>
        <w:t>提出的“要让农村人口喝上放心水”的总要求，紧紧围绕“水质、水量、方便程度和保证率”四项指标，广泛深入农村一线，拉网式摸排走访，精准识别，做到了“庄庄到、户户见”，建立问题清单，制定实施方案，精准施策，挂图作战，一年接着一年干，连续奋斗，决战完胜农村饮水安全脱贫攻坚战。五年来共投入资金</w:t>
      </w:r>
      <w:r>
        <w:rPr>
          <w:rFonts w:ascii="Times New Roman" w:hAnsi="Times New Roman" w:eastAsia="仿宋" w:cs="仿宋_GB2312"/>
          <w:color w:val="auto"/>
          <w:sz w:val="28"/>
          <w:szCs w:val="28"/>
          <w:lang w:val="en-US" w:bidi="ar-SA"/>
        </w:rPr>
        <w:t>6308</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9</w:t>
      </w:r>
      <w:r>
        <w:rPr>
          <w:rFonts w:ascii="仿宋" w:hAnsi="仿宋" w:eastAsia="仿宋" w:cs="仿宋"/>
          <w:color w:val="auto"/>
          <w:sz w:val="28"/>
          <w:szCs w:val="28"/>
          <w:lang w:val="en-US" w:bidi="ar-SA"/>
        </w:rPr>
        <w:t>万元，累计完成农村饮水安全巩固提升工程</w:t>
      </w:r>
      <w:r>
        <w:rPr>
          <w:rFonts w:ascii="Times New Roman" w:hAnsi="Times New Roman" w:eastAsia="仿宋" w:cs="仿宋_GB2312"/>
          <w:color w:val="auto"/>
          <w:sz w:val="28"/>
          <w:szCs w:val="28"/>
          <w:lang w:val="en-US" w:bidi="ar-SA"/>
        </w:rPr>
        <w:t>334</w:t>
      </w:r>
      <w:r>
        <w:rPr>
          <w:rFonts w:ascii="仿宋" w:hAnsi="仿宋" w:eastAsia="仿宋" w:cs="仿宋"/>
          <w:color w:val="auto"/>
          <w:sz w:val="28"/>
          <w:szCs w:val="28"/>
          <w:lang w:val="en-US" w:bidi="ar-SA"/>
        </w:rPr>
        <w:t>处，巩固提升了</w:t>
      </w:r>
      <w:r>
        <w:rPr>
          <w:rFonts w:ascii="Times New Roman" w:hAnsi="Times New Roman" w:eastAsia="仿宋" w:cs="仿宋_GB2312"/>
          <w:color w:val="auto"/>
          <w:sz w:val="28"/>
          <w:szCs w:val="28"/>
          <w:lang w:val="en-US" w:bidi="ar-SA"/>
        </w:rPr>
        <w:t>118629</w:t>
      </w:r>
      <w:r>
        <w:rPr>
          <w:rFonts w:ascii="仿宋" w:hAnsi="仿宋" w:eastAsia="仿宋" w:cs="仿宋"/>
          <w:color w:val="auto"/>
          <w:sz w:val="28"/>
          <w:szCs w:val="28"/>
          <w:lang w:val="en-US" w:bidi="ar-SA"/>
        </w:rPr>
        <w:t>口人（贫困人</w:t>
      </w:r>
      <w:r>
        <w:rPr>
          <w:rFonts w:ascii="Times New Roman" w:hAnsi="Times New Roman" w:eastAsia="仿宋" w:cs="仿宋_GB2312"/>
          <w:color w:val="auto"/>
          <w:sz w:val="28"/>
          <w:szCs w:val="28"/>
          <w:lang w:val="en-US" w:bidi="ar-SA"/>
        </w:rPr>
        <w:t>10105</w:t>
      </w:r>
      <w:r>
        <w:rPr>
          <w:rFonts w:ascii="仿宋" w:hAnsi="仿宋" w:eastAsia="仿宋" w:cs="仿宋"/>
          <w:color w:val="auto"/>
          <w:sz w:val="28"/>
          <w:szCs w:val="28"/>
          <w:lang w:val="en-US" w:bidi="ar-SA"/>
        </w:rPr>
        <w:t>口）的饮水保障水平。</w:t>
      </w:r>
    </w:p>
    <w:p w14:paraId="1AE5B24E">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管理方面：我县现有</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w:t>
      </w:r>
      <w:r>
        <w:rPr>
          <w:rFonts w:ascii="Times New Roman" w:hAnsi="Times New Roman" w:eastAsia="仿宋" w:cs="仿宋_GB2312"/>
          <w:color w:val="auto"/>
          <w:sz w:val="28"/>
          <w:szCs w:val="28"/>
          <w:lang w:val="en-US" w:bidi="ar-SA"/>
        </w:rPr>
        <w:t>850</w:t>
      </w:r>
      <w:r>
        <w:rPr>
          <w:rFonts w:ascii="仿宋" w:hAnsi="仿宋" w:eastAsia="仿宋" w:cs="仿宋"/>
          <w:color w:val="auto"/>
          <w:sz w:val="28"/>
          <w:szCs w:val="28"/>
          <w:lang w:val="en-US" w:bidi="ar-SA"/>
        </w:rPr>
        <w:t>个自然庄，</w:t>
      </w:r>
      <w:r>
        <w:rPr>
          <w:rFonts w:ascii="Times New Roman" w:hAnsi="Times New Roman" w:eastAsia="仿宋" w:cs="仿宋_GB2312"/>
          <w:color w:val="auto"/>
          <w:sz w:val="28"/>
          <w:szCs w:val="28"/>
          <w:lang w:val="en-US" w:bidi="ar-SA"/>
        </w:rPr>
        <w:t>15</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85</w:t>
      </w:r>
      <w:r>
        <w:rPr>
          <w:rFonts w:ascii="仿宋" w:hAnsi="仿宋" w:eastAsia="仿宋" w:cs="仿宋"/>
          <w:color w:val="auto"/>
          <w:sz w:val="28"/>
          <w:szCs w:val="28"/>
          <w:lang w:val="en-US" w:bidi="ar-SA"/>
        </w:rPr>
        <w:t>万农村人口，截止</w:t>
      </w:r>
      <w:r>
        <w:rPr>
          <w:rFonts w:ascii="Times New Roman" w:hAnsi="Times New Roman" w:eastAsia="仿宋" w:cs="仿宋_GB2312"/>
          <w:color w:val="auto"/>
          <w:sz w:val="28"/>
          <w:szCs w:val="28"/>
          <w:lang w:val="en-US" w:bidi="ar-SA"/>
        </w:rPr>
        <w:t>2020</w:t>
      </w:r>
      <w:r>
        <w:rPr>
          <w:rFonts w:ascii="仿宋" w:hAnsi="仿宋" w:eastAsia="仿宋" w:cs="仿宋"/>
          <w:color w:val="auto"/>
          <w:sz w:val="28"/>
          <w:szCs w:val="28"/>
          <w:lang w:val="en-US" w:bidi="ar-SA"/>
        </w:rPr>
        <w:t>年底，共有</w:t>
      </w:r>
      <w:r>
        <w:rPr>
          <w:rFonts w:ascii="Times New Roman" w:hAnsi="Times New Roman" w:eastAsia="仿宋" w:cs="仿宋_GB2312"/>
          <w:color w:val="auto"/>
          <w:sz w:val="28"/>
          <w:szCs w:val="28"/>
          <w:lang w:val="en-US" w:bidi="ar-SA"/>
        </w:rPr>
        <w:t>760</w:t>
      </w:r>
      <w:r>
        <w:rPr>
          <w:rFonts w:ascii="仿宋" w:hAnsi="仿宋" w:eastAsia="仿宋" w:cs="仿宋"/>
          <w:color w:val="auto"/>
          <w:sz w:val="28"/>
          <w:szCs w:val="28"/>
          <w:lang w:val="en-US" w:bidi="ar-SA"/>
        </w:rPr>
        <w:t>处农村供水工程，其中：集中式供水工程</w:t>
      </w:r>
      <w:r>
        <w:rPr>
          <w:rFonts w:ascii="Times New Roman" w:hAnsi="Times New Roman" w:eastAsia="仿宋" w:cs="仿宋_GB2312"/>
          <w:color w:val="auto"/>
          <w:sz w:val="28"/>
          <w:szCs w:val="28"/>
          <w:lang w:val="en-US" w:bidi="ar-SA"/>
        </w:rPr>
        <w:t>756</w:t>
      </w:r>
      <w:r>
        <w:rPr>
          <w:rFonts w:ascii="仿宋" w:hAnsi="仿宋" w:eastAsia="仿宋" w:cs="仿宋"/>
          <w:color w:val="auto"/>
          <w:sz w:val="28"/>
          <w:szCs w:val="28"/>
          <w:lang w:val="en-US" w:bidi="ar-SA"/>
        </w:rPr>
        <w:t>处（含千人以上农村集中供水工程</w:t>
      </w:r>
      <w:r>
        <w:rPr>
          <w:rFonts w:ascii="Times New Roman" w:hAnsi="Times New Roman" w:eastAsia="仿宋" w:cs="仿宋_GB2312"/>
          <w:color w:val="auto"/>
          <w:sz w:val="28"/>
          <w:szCs w:val="28"/>
          <w:lang w:val="en-US" w:bidi="ar-SA"/>
        </w:rPr>
        <w:t>24</w:t>
      </w:r>
      <w:r>
        <w:rPr>
          <w:rFonts w:ascii="仿宋" w:hAnsi="仿宋" w:eastAsia="仿宋" w:cs="仿宋"/>
          <w:color w:val="auto"/>
          <w:sz w:val="28"/>
          <w:szCs w:val="28"/>
          <w:lang w:val="en-US" w:bidi="ar-SA"/>
        </w:rPr>
        <w:t>处），分散式供水工程</w:t>
      </w:r>
      <w:r>
        <w:rPr>
          <w:rFonts w:ascii="Times New Roman" w:hAnsi="Times New Roman" w:eastAsia="仿宋" w:cs="仿宋_GB2312"/>
          <w:color w:val="auto"/>
          <w:sz w:val="28"/>
          <w:szCs w:val="28"/>
          <w:lang w:val="en-US" w:bidi="ar-SA"/>
        </w:rPr>
        <w:t>4</w:t>
      </w:r>
      <w:r>
        <w:rPr>
          <w:rFonts w:ascii="仿宋" w:hAnsi="仿宋" w:eastAsia="仿宋" w:cs="仿宋"/>
          <w:color w:val="auto"/>
          <w:sz w:val="28"/>
          <w:szCs w:val="28"/>
          <w:lang w:val="en-US" w:bidi="ar-SA"/>
        </w:rPr>
        <w:t>处。为认真贯彻落实“水利工程补短板，水利行业强监管”的水利改革发展总基调，我县建立了各乡（镇）主要行政负责人是农村饮水安全工程主体责任人，县水行政主管部门主要负责人是农村饮水安全行业监管责任人，供水工程专管机构主要负责人或村委会主任是农村饮水安全工程运行</w:t>
      </w:r>
      <w:r>
        <w:rPr>
          <w:rFonts w:hint="eastAsia" w:ascii="仿宋" w:hAnsi="仿宋" w:eastAsia="仿宋" w:cs="仿宋"/>
          <w:color w:val="auto"/>
          <w:sz w:val="28"/>
          <w:szCs w:val="28"/>
          <w:lang w:val="en-US" w:bidi="ar-SA"/>
        </w:rPr>
        <w:t>..........</w:t>
      </w:r>
      <w:r>
        <w:rPr>
          <w:rFonts w:ascii="仿宋" w:hAnsi="仿宋" w:eastAsia="仿宋" w:cs="仿宋"/>
          <w:color w:val="auto"/>
          <w:sz w:val="28"/>
          <w:szCs w:val="28"/>
          <w:lang w:val="en-US" w:bidi="ar-SA"/>
        </w:rPr>
        <w:t>管理责任人的农村饮水安全管理“三个责任”体系，制定出台了《沁水县农村饮水安全工程运行管理办法(试行)》（沁政发</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2019</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23</w:t>
      </w:r>
      <w:r>
        <w:rPr>
          <w:rFonts w:ascii="仿宋" w:hAnsi="仿宋" w:eastAsia="仿宋" w:cs="仿宋"/>
          <w:color w:val="auto"/>
          <w:sz w:val="28"/>
          <w:szCs w:val="28"/>
          <w:lang w:val="en-US" w:bidi="ar-SA"/>
        </w:rPr>
        <w:t>号），</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个行政村完成了农村饮水安全运行管理办法制定，核定了水价，全面开始了水费收缴工作。依托县自来水公司化验室成立了“沁水县农村饮水安全工程水质检测中心”，具备</w:t>
      </w:r>
      <w:r>
        <w:rPr>
          <w:rFonts w:ascii="Times New Roman" w:hAnsi="Times New Roman" w:eastAsia="仿宋" w:cs="仿宋_GB2312"/>
          <w:color w:val="auto"/>
          <w:sz w:val="28"/>
          <w:szCs w:val="28"/>
          <w:lang w:val="en-US" w:bidi="ar-SA"/>
        </w:rPr>
        <w:t>42</w:t>
      </w:r>
      <w:r>
        <w:rPr>
          <w:rFonts w:ascii="仿宋" w:hAnsi="仿宋" w:eastAsia="仿宋" w:cs="仿宋"/>
          <w:color w:val="auto"/>
          <w:sz w:val="28"/>
          <w:szCs w:val="28"/>
          <w:lang w:val="en-US" w:bidi="ar-SA"/>
        </w:rPr>
        <w:t xml:space="preserve">项指标检测能力，建立健全了农村供水水质卫生检测和监测体系，每年都将全县的农村饮水安全工程水质进行化验，确保供水水质安全。   </w:t>
      </w:r>
    </w:p>
    <w:p w14:paraId="094892F5">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十三五”期间，通过工程措施和非工程措施，使我县农村饮水安全符合了《农村饮水安全评价标准及若干问题简答》要求，保障了全县农村饮水在脱贫普查中从水质、水量、方便程度、供水保证率四项指标评价中全部达标，进一步巩固了脱贫成果。</w:t>
      </w:r>
    </w:p>
    <w:p w14:paraId="1F24DB2E">
      <w:pPr>
        <w:pStyle w:val="8"/>
        <w:rPr>
          <w:rFonts w:ascii="仿宋_GB2312" w:hAnsi="仿宋_GB2312" w:eastAsia="仿宋_GB2312" w:cs="仿宋_GB2312"/>
          <w:color w:val="auto"/>
          <w:sz w:val="28"/>
          <w:szCs w:val="28"/>
        </w:rPr>
      </w:pPr>
      <w:bookmarkStart w:id="102" w:name="_Toc17423"/>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4</w:t>
      </w:r>
      <w:r>
        <w:rPr>
          <w:rFonts w:hint="eastAsia" w:ascii="Times New Roman" w:hAnsi="Times New Roman"/>
          <w:color w:val="auto"/>
        </w:rPr>
        <w:t xml:space="preserve">  河库工程管理稳步推进</w:t>
      </w:r>
      <w:bookmarkEnd w:id="102"/>
    </w:p>
    <w:p w14:paraId="5411D837">
      <w:pPr>
        <w:snapToGrid w:val="0"/>
        <w:spacing w:line="360" w:lineRule="auto"/>
        <w:rPr>
          <w:rFonts w:ascii="仿宋" w:hAnsi="仿宋" w:eastAsia="仿宋" w:cs="仿宋"/>
          <w:color w:val="auto"/>
          <w:sz w:val="28"/>
          <w:szCs w:val="28"/>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b/>
          <w:bCs/>
          <w:color w:val="auto"/>
          <w:sz w:val="28"/>
          <w:szCs w:val="28"/>
        </w:rPr>
        <w:t xml:space="preserve"> </w:t>
      </w:r>
      <w:r>
        <w:rPr>
          <w:rFonts w:hint="eastAsia" w:ascii="仿宋" w:hAnsi="仿宋" w:eastAsia="仿宋" w:cs="仿宋"/>
          <w:color w:val="auto"/>
          <w:sz w:val="28"/>
          <w:szCs w:val="28"/>
        </w:rPr>
        <w:t>“十三五”期间，根据山西省河长制办公室《关于开展河湖和水库工程管理范围划界工作的通知》要求，我县强力推进河道水库治导线规划和管理范围划界工作，共计完成了全县</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条流域面积</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平方公里以上河流和</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运行中水库的划界工作，相关成果已获得政府批准并进行了公示。通过开展河道与水库工程管理范围化解工作，明晰了河道与水库工程管理范围，明确了管理权责，提升了管理水平，保障了防洪与生态安全，对于促进经济社会可持续发展起到了重要作用。</w:t>
      </w:r>
    </w:p>
    <w:p w14:paraId="218A1673">
      <w:pPr>
        <w:pStyle w:val="9"/>
        <w:numPr>
          <w:ilvl w:val="0"/>
          <w:numId w:val="0"/>
        </w:numPr>
        <w:bidi w:val="0"/>
        <w:rPr>
          <w:color w:val="auto"/>
        </w:rPr>
      </w:pP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水库大坝安全鉴定</w:t>
      </w:r>
    </w:p>
    <w:p w14:paraId="7A64490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严格执行《水库大坝安全鉴定办法》等相关制度，定期开展水库大坝安全鉴定。“十三五”期间，完成了山泽水库、蒲峪水库两座小型水库的大坝安全鉴定工作。通过开展水库大坝安全鉴定，科学研判了水库大坝安全状况，及时发现水库存在问题，为水库维修养护提供了依据和技术支撑，保障了水库的安全运行。</w:t>
      </w:r>
    </w:p>
    <w:p w14:paraId="2369CE8E">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水库安全设施标准化建设</w:t>
      </w:r>
    </w:p>
    <w:p w14:paraId="0C42436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“十三五”期间，我县共完成了</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座水库安全设施标准化建设，主要内容包括修建观测值班室和坝顶照明设施，配备备用发电机组</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台，救生舟</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艘，救生衣、望远镜、抛绳器、应急照明灯等。水库安全设施标准化的实施，不仅加大了我县各水库防汛抢险设施的储备，而且对水库运行管理能力建设、促进水库管理规范化、提升水库应急抢险能力具有非常重要的意义。</w:t>
      </w:r>
    </w:p>
    <w:p w14:paraId="035FD9F7">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小型水利工程管理体制改革圆满完成</w:t>
      </w:r>
    </w:p>
    <w:p w14:paraId="7D4B1FC3">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w:t>
      </w:r>
      <w:r>
        <w:rPr>
          <w:rFonts w:hint="eastAsia" w:ascii="仿宋_GB2312" w:hAnsi="仿宋_GB2312" w:eastAsia="仿宋_GB2312" w:cs="仿宋_GB2312"/>
          <w:color w:val="auto"/>
          <w:sz w:val="28"/>
          <w:szCs w:val="28"/>
          <w:lang w:val="zh-CN"/>
        </w:rPr>
        <w:t>进一步深化小型水利工程产权制度改革，在全县建立产权明晰、管护主体落实、责任追究制度完善、投融资机制健全的社会化、专业化的多种水利工程管理模式，实现工程安全运行和主体功能效益充分发挥，</w:t>
      </w:r>
      <w:r>
        <w:rPr>
          <w:rFonts w:hint="eastAsia" w:ascii="仿宋_GB2312" w:hAnsi="仿宋_GB2312" w:eastAsia="仿宋_GB2312" w:cs="仿宋_GB2312"/>
          <w:color w:val="auto"/>
          <w:sz w:val="28"/>
          <w:szCs w:val="28"/>
        </w:rPr>
        <w:t>根据</w:t>
      </w:r>
      <w:r>
        <w:rPr>
          <w:rFonts w:hint="eastAsia" w:ascii="仿宋_GB2312" w:hAnsi="仿宋_GB2312" w:eastAsia="仿宋_GB2312" w:cs="仿宋_GB2312"/>
          <w:color w:val="auto"/>
          <w:sz w:val="28"/>
          <w:szCs w:val="28"/>
          <w:lang w:val="zh-CN"/>
        </w:rPr>
        <w:t>省水利厅印发《山西省关于深化小型水利工程管理体制改革的实施方案》的通知（晋水管〔</w:t>
      </w:r>
      <w:r>
        <w:rPr>
          <w:rFonts w:hint="eastAsia" w:ascii="Times New Roman" w:hAnsi="Times New Roman" w:eastAsia="仿宋_GB2312" w:cs="仿宋_GB2312"/>
          <w:color w:val="auto"/>
          <w:sz w:val="28"/>
          <w:szCs w:val="28"/>
          <w:lang w:val="zh-CN"/>
        </w:rPr>
        <w:t>2014</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181</w:t>
      </w:r>
      <w:r>
        <w:rPr>
          <w:rFonts w:hint="eastAsia" w:ascii="仿宋_GB2312" w:hAnsi="仿宋_GB2312" w:eastAsia="仿宋_GB2312" w:cs="仿宋_GB2312"/>
          <w:color w:val="auto"/>
          <w:sz w:val="28"/>
          <w:szCs w:val="28"/>
          <w:lang w:val="zh-CN"/>
        </w:rPr>
        <w:t>号）文件精神，</w:t>
      </w:r>
      <w:r>
        <w:rPr>
          <w:rFonts w:hint="eastAsia" w:ascii="仿宋_GB2312" w:hAnsi="仿宋_GB2312" w:eastAsia="仿宋_GB2312" w:cs="仿宋_GB2312"/>
          <w:color w:val="auto"/>
          <w:sz w:val="28"/>
          <w:szCs w:val="28"/>
        </w:rPr>
        <w:t>县委、县政府高度重视，成立了</w:t>
      </w:r>
      <w:r>
        <w:rPr>
          <w:rFonts w:hint="eastAsia" w:ascii="仿宋_GB2312" w:hAnsi="仿宋_GB2312" w:eastAsia="仿宋_GB2312" w:cs="仿宋_GB2312"/>
          <w:color w:val="auto"/>
          <w:sz w:val="28"/>
          <w:szCs w:val="28"/>
          <w:lang w:val="zh-CN"/>
        </w:rPr>
        <w:t>由分管水利工作的副县长牵头</w:t>
      </w:r>
      <w:r>
        <w:rPr>
          <w:rFonts w:hint="eastAsia" w:ascii="仿宋_GB2312" w:hAnsi="仿宋_GB2312" w:eastAsia="仿宋_GB2312" w:cs="仿宋_GB2312"/>
          <w:color w:val="auto"/>
          <w:sz w:val="28"/>
          <w:szCs w:val="28"/>
        </w:rPr>
        <w:t>的</w:t>
      </w:r>
      <w:r>
        <w:rPr>
          <w:rFonts w:hint="eastAsia" w:ascii="仿宋_GB2312" w:hAnsi="仿宋_GB2312" w:eastAsia="仿宋_GB2312" w:cs="仿宋_GB2312"/>
          <w:color w:val="auto"/>
          <w:sz w:val="28"/>
          <w:szCs w:val="28"/>
          <w:lang w:val="zh-CN"/>
        </w:rPr>
        <w:t>沁水县小型水利工程管理体制改革工作领导组，</w:t>
      </w:r>
      <w:r>
        <w:rPr>
          <w:rFonts w:hint="eastAsia" w:ascii="仿宋_GB2312" w:hAnsi="仿宋_GB2312" w:eastAsia="仿宋_GB2312" w:cs="仿宋_GB2312"/>
          <w:color w:val="auto"/>
          <w:sz w:val="28"/>
          <w:szCs w:val="28"/>
        </w:rPr>
        <w:t>制定出台了</w:t>
      </w:r>
      <w:r>
        <w:rPr>
          <w:rFonts w:hint="eastAsia" w:ascii="仿宋_GB2312" w:hAnsi="仿宋_GB2312" w:eastAsia="仿宋_GB2312" w:cs="仿宋_GB2312"/>
          <w:color w:val="auto"/>
          <w:sz w:val="28"/>
          <w:szCs w:val="28"/>
          <w:lang w:val="zh-CN"/>
        </w:rPr>
        <w:t>《沁水县小型水利工程管理体制改革实施方案》、《沁水县小型水利工程安全管理责任制和责任追究制度》、《关于明确落实各类小型水利工程管护职责的通知》</w:t>
      </w:r>
      <w:r>
        <w:rPr>
          <w:rFonts w:hint="eastAsia" w:ascii="仿宋_GB2312" w:hAnsi="仿宋_GB2312" w:eastAsia="仿宋_GB2312" w:cs="仿宋_GB2312"/>
          <w:color w:val="auto"/>
          <w:sz w:val="28"/>
          <w:szCs w:val="28"/>
        </w:rPr>
        <w:t>等制度方案，经过一年时间紧张工作，</w:t>
      </w:r>
      <w:r>
        <w:rPr>
          <w:rFonts w:hint="eastAsia" w:ascii="仿宋_GB2312" w:hAnsi="仿宋_GB2312" w:eastAsia="仿宋_GB2312" w:cs="仿宋_GB2312"/>
          <w:color w:val="auto"/>
          <w:sz w:val="28"/>
          <w:szCs w:val="28"/>
          <w:lang w:val="zh-CN"/>
        </w:rPr>
        <w:t>按照“谁投资、谁所有、谁受益、谁负担”的原则，落实了</w:t>
      </w:r>
      <w:r>
        <w:rPr>
          <w:rFonts w:hint="eastAsia" w:ascii="仿宋_GB2312" w:hAnsi="仿宋_GB2312" w:eastAsia="仿宋_GB2312" w:cs="仿宋_GB2312"/>
          <w:color w:val="auto"/>
          <w:sz w:val="28"/>
          <w:szCs w:val="28"/>
        </w:rPr>
        <w:t>全县</w:t>
      </w:r>
      <w:r>
        <w:rPr>
          <w:rFonts w:hint="eastAsia" w:ascii="Times New Roman" w:hAnsi="Times New Roman" w:eastAsia="仿宋_GB2312" w:cs="仿宋_GB2312"/>
          <w:color w:val="auto"/>
          <w:sz w:val="28"/>
          <w:szCs w:val="28"/>
          <w:lang w:val="zh-CN"/>
        </w:rPr>
        <w:t>1100</w:t>
      </w:r>
      <w:r>
        <w:rPr>
          <w:rFonts w:hint="eastAsia" w:ascii="仿宋_GB2312" w:hAnsi="仿宋_GB2312" w:eastAsia="仿宋_GB2312" w:cs="仿宋_GB2312"/>
          <w:color w:val="auto"/>
          <w:sz w:val="28"/>
          <w:szCs w:val="28"/>
          <w:lang w:val="zh-CN"/>
        </w:rPr>
        <w:t>处小型水利工程管护主体和责任，</w:t>
      </w:r>
      <w:r>
        <w:rPr>
          <w:rFonts w:hint="eastAsia" w:ascii="仿宋_GB2312" w:hAnsi="仿宋_GB2312" w:eastAsia="仿宋_GB2312" w:cs="仿宋_GB2312"/>
          <w:color w:val="auto"/>
          <w:sz w:val="28"/>
          <w:szCs w:val="28"/>
        </w:rPr>
        <w:t>明确了工程管护责任，解决了小型水利设施管理权责模糊，主体确实，老坏失修、效益衰减等问题，</w:t>
      </w:r>
      <w:r>
        <w:rPr>
          <w:rFonts w:hint="eastAsia" w:ascii="仿宋_GB2312" w:hAnsi="仿宋_GB2312" w:eastAsia="仿宋_GB2312" w:cs="仿宋_GB2312"/>
          <w:color w:val="auto"/>
          <w:sz w:val="28"/>
          <w:szCs w:val="28"/>
          <w:lang w:val="zh-CN"/>
        </w:rPr>
        <w:t>保障了农民在防汛、灌溉、吃水、用电等方面的利益，</w:t>
      </w:r>
      <w:r>
        <w:rPr>
          <w:rFonts w:hint="eastAsia" w:ascii="仿宋_GB2312" w:hAnsi="仿宋_GB2312" w:eastAsia="仿宋_GB2312" w:cs="仿宋_GB2312"/>
          <w:color w:val="auto"/>
          <w:sz w:val="28"/>
          <w:szCs w:val="28"/>
        </w:rPr>
        <w:t>并于</w:t>
      </w:r>
      <w:r>
        <w:rPr>
          <w:rFonts w:hint="eastAsia" w:ascii="Times New Roman" w:hAnsi="Times New Roman" w:eastAsia="仿宋_GB2312" w:cs="仿宋_GB2312"/>
          <w:color w:val="auto"/>
          <w:sz w:val="28"/>
          <w:szCs w:val="28"/>
        </w:rPr>
        <w:t>2017</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23</w:t>
      </w:r>
      <w:r>
        <w:rPr>
          <w:rFonts w:hint="eastAsia" w:ascii="仿宋_GB2312" w:hAnsi="仿宋_GB2312" w:eastAsia="仿宋_GB2312" w:cs="仿宋_GB2312"/>
          <w:color w:val="auto"/>
          <w:sz w:val="28"/>
          <w:szCs w:val="28"/>
        </w:rPr>
        <w:t>日通过了市级验收。</w:t>
      </w:r>
    </w:p>
    <w:p w14:paraId="6B285213">
      <w:pPr>
        <w:pStyle w:val="8"/>
        <w:rPr>
          <w:color w:val="auto"/>
        </w:rPr>
      </w:pPr>
      <w:bookmarkStart w:id="103" w:name="_Toc17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5</w:t>
      </w:r>
      <w:r>
        <w:rPr>
          <w:rFonts w:hint="eastAsia"/>
          <w:color w:val="auto"/>
        </w:rPr>
        <w:t xml:space="preserve">  </w:t>
      </w:r>
      <w:bookmarkEnd w:id="99"/>
      <w:bookmarkEnd w:id="100"/>
      <w:bookmarkEnd w:id="101"/>
      <w:r>
        <w:rPr>
          <w:rFonts w:hint="eastAsia"/>
          <w:color w:val="auto"/>
        </w:rPr>
        <w:t>水旱灾害防御</w:t>
      </w:r>
      <w:bookmarkEnd w:id="103"/>
    </w:p>
    <w:p w14:paraId="3218BB4B">
      <w:pPr>
        <w:pStyle w:val="2"/>
        <w:ind w:firstLine="56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“十三五”期间，我县总降水量</w:t>
      </w:r>
      <w:r>
        <w:rPr>
          <w:rFonts w:hint="eastAsia" w:ascii="Times New Roman" w:hAnsi="Times New Roman" w:eastAsia="仿宋_GB2312" w:cs="仿宋_GB2312"/>
          <w:color w:val="auto"/>
          <w:sz w:val="28"/>
          <w:szCs w:val="28"/>
          <w:lang w:val="zh-CN"/>
        </w:rPr>
        <w:t>2826</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1mm</w:t>
      </w:r>
      <w:r>
        <w:rPr>
          <w:rFonts w:hint="eastAsia" w:ascii="仿宋_GB2312" w:hAnsi="仿宋_GB2312" w:eastAsia="仿宋_GB2312" w:cs="仿宋_GB2312"/>
          <w:color w:val="auto"/>
          <w:sz w:val="28"/>
          <w:szCs w:val="28"/>
          <w:lang w:val="zh-CN"/>
        </w:rPr>
        <w:t>，平均降水量</w:t>
      </w:r>
      <w:r>
        <w:rPr>
          <w:rFonts w:hint="eastAsia" w:ascii="Times New Roman" w:hAnsi="Times New Roman" w:eastAsia="仿宋_GB2312" w:cs="仿宋_GB2312"/>
          <w:color w:val="auto"/>
          <w:sz w:val="28"/>
          <w:szCs w:val="28"/>
          <w:lang w:val="zh-CN"/>
        </w:rPr>
        <w:t>565</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22mm</w:t>
      </w:r>
      <w:r>
        <w:rPr>
          <w:rFonts w:hint="eastAsia" w:ascii="仿宋_GB2312" w:hAnsi="仿宋_GB2312" w:eastAsia="仿宋_GB2312" w:cs="仿宋_GB2312"/>
          <w:color w:val="auto"/>
          <w:sz w:val="28"/>
          <w:szCs w:val="28"/>
          <w:lang w:val="zh-CN"/>
        </w:rPr>
        <w:t>，降水最大年份</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年的</w:t>
      </w:r>
      <w:r>
        <w:rPr>
          <w:rFonts w:hint="eastAsia" w:ascii="Times New Roman" w:hAnsi="Times New Roman" w:eastAsia="仿宋_GB2312" w:cs="仿宋_GB2312"/>
          <w:color w:val="auto"/>
          <w:sz w:val="28"/>
          <w:szCs w:val="28"/>
          <w:lang w:val="zh-CN"/>
        </w:rPr>
        <w:t>686mm</w:t>
      </w:r>
      <w:r>
        <w:rPr>
          <w:rFonts w:hint="eastAsia" w:ascii="仿宋_GB2312" w:hAnsi="仿宋_GB2312" w:eastAsia="仿宋_GB2312" w:cs="仿宋_GB2312"/>
          <w:color w:val="auto"/>
          <w:sz w:val="28"/>
          <w:szCs w:val="28"/>
          <w:lang w:val="zh-CN"/>
        </w:rPr>
        <w:t>，最小</w:t>
      </w:r>
      <w:r>
        <w:rPr>
          <w:rFonts w:hint="eastAsia" w:ascii="仿宋_GB2312" w:hAnsi="仿宋_GB2312" w:eastAsia="仿宋_GB2312" w:cs="仿宋_GB2312"/>
          <w:color w:val="auto"/>
          <w:sz w:val="28"/>
          <w:szCs w:val="28"/>
        </w:rPr>
        <w:t>年份</w:t>
      </w:r>
      <w:r>
        <w:rPr>
          <w:rFonts w:hint="eastAsia" w:ascii="仿宋_GB2312" w:hAnsi="仿宋_GB2312" w:eastAsia="仿宋_GB2312" w:cs="仿宋_GB2312"/>
          <w:color w:val="auto"/>
          <w:sz w:val="28"/>
          <w:szCs w:val="28"/>
          <w:lang w:val="zh-CN"/>
        </w:rPr>
        <w:t>出现在</w:t>
      </w:r>
      <w:r>
        <w:rPr>
          <w:rFonts w:hint="eastAsia" w:ascii="Times New Roman" w:hAnsi="Times New Roman" w:eastAsia="仿宋_GB2312" w:cs="仿宋_GB2312"/>
          <w:color w:val="auto"/>
          <w:sz w:val="28"/>
          <w:szCs w:val="28"/>
          <w:lang w:val="zh-CN"/>
        </w:rPr>
        <w:t>2017</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年，分别为</w:t>
      </w:r>
      <w:r>
        <w:rPr>
          <w:rFonts w:hint="eastAsia" w:ascii="Times New Roman" w:hAnsi="Times New Roman" w:eastAsia="仿宋_GB2312" w:cs="仿宋_GB2312"/>
          <w:color w:val="auto"/>
          <w:sz w:val="28"/>
          <w:szCs w:val="28"/>
          <w:lang w:val="zh-CN"/>
        </w:rPr>
        <w:t>491mm</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496mm</w:t>
      </w:r>
      <w:r>
        <w:rPr>
          <w:rFonts w:hint="eastAsia" w:ascii="仿宋_GB2312" w:hAnsi="仿宋_GB2312" w:eastAsia="仿宋_GB2312" w:cs="仿宋_GB2312"/>
          <w:color w:val="auto"/>
          <w:sz w:val="28"/>
          <w:szCs w:val="28"/>
          <w:lang w:val="zh-CN"/>
        </w:rPr>
        <w:t>。</w:t>
      </w:r>
    </w:p>
    <w:p w14:paraId="69422DF9">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“十三五”以来，我</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积极贯彻落实“两个坚持、三个转变”防灾减灾救灾新理念，战胜了</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年持续晴热高温少雨天气导致的历史罕见大范围干旱，取得了抗击</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年暴雨洪水的重大胜利，有力保障了人民群众生命财产安全和社会稳定，为我县经济和社会发展发挥了重要作用。</w:t>
      </w:r>
    </w:p>
    <w:p w14:paraId="68978BA1">
      <w:pPr>
        <w:pStyle w:val="2"/>
        <w:ind w:firstLine="560"/>
        <w:rPr>
          <w:color w:val="auto"/>
          <w:lang w:val="zh-CN"/>
        </w:rPr>
      </w:pPr>
      <w:r>
        <w:rPr>
          <w:rFonts w:hint="eastAsia" w:ascii="仿宋_GB2312" w:hAnsi="仿宋_GB2312" w:eastAsia="仿宋_GB2312" w:cs="仿宋_GB2312"/>
          <w:color w:val="auto"/>
          <w:sz w:val="28"/>
          <w:szCs w:val="28"/>
        </w:rPr>
        <w:t>水旱灾害防御非工程体系全面发力，水利部门立足于“防”，把“防”的工作做好，做到关口前移，重点开展了监测预报预警，水库调度，河道、淤地坝、水电站巡查，山洪灾害危险村巡查等“防”的工作，开展山洪灾害防治群测群防体系建设，修订</w:t>
      </w:r>
      <w:r>
        <w:rPr>
          <w:rFonts w:hint="eastAsia" w:ascii="Times New Roman" w:hAnsi="Times New Roman" w:eastAsia="仿宋_GB2312" w:cs="仿宋_GB2312"/>
          <w:color w:val="auto"/>
          <w:sz w:val="28"/>
          <w:szCs w:val="28"/>
        </w:rPr>
        <w:t>58</w:t>
      </w:r>
      <w:r>
        <w:rPr>
          <w:rFonts w:hint="eastAsia" w:ascii="仿宋_GB2312" w:hAnsi="仿宋_GB2312" w:eastAsia="仿宋_GB2312" w:cs="仿宋_GB2312"/>
          <w:color w:val="auto"/>
          <w:sz w:val="28"/>
          <w:szCs w:val="28"/>
        </w:rPr>
        <w:t>个山洪灾害危险村的防洪预案、开展宣传、培训、组织演练等；对水雨情信息预测预报越来越完善，落实了县乡村组户五级山洪灾害防御责任体系。</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年编制了县城、湾则水库、端氏镇的超标洪水防御预案。</w:t>
      </w:r>
    </w:p>
    <w:p w14:paraId="6089452E">
      <w:pPr>
        <w:pStyle w:val="2"/>
        <w:spacing w:line="240" w:lineRule="auto"/>
        <w:ind w:firstLine="560"/>
        <w:rPr>
          <w:rFonts w:hint="eastAsia" w:eastAsia="仿宋"/>
          <w:color w:val="auto"/>
          <w:sz w:val="28"/>
          <w:szCs w:val="28"/>
        </w:rPr>
      </w:pPr>
    </w:p>
    <w:p w14:paraId="3BFD14B3">
      <w:pPr>
        <w:pStyle w:val="2"/>
        <w:spacing w:line="240" w:lineRule="auto"/>
        <w:ind w:firstLine="560"/>
        <w:jc w:val="center"/>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3</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水旱灾害防御工程统计表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70"/>
        <w:gridCol w:w="3480"/>
        <w:gridCol w:w="2003"/>
        <w:gridCol w:w="1689"/>
      </w:tblGrid>
      <w:tr w14:paraId="081FD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1970" w:type="dxa"/>
            <w:vAlign w:val="center"/>
          </w:tcPr>
          <w:p w14:paraId="60CA9119">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480" w:type="dxa"/>
            <w:vAlign w:val="center"/>
          </w:tcPr>
          <w:p w14:paraId="36F54B54">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2003" w:type="dxa"/>
            <w:vAlign w:val="center"/>
          </w:tcPr>
          <w:p w14:paraId="25827BF0">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争取中央和省级资金（万元）</w:t>
            </w:r>
          </w:p>
        </w:tc>
        <w:tc>
          <w:tcPr>
            <w:tcW w:w="1689" w:type="dxa"/>
            <w:vAlign w:val="center"/>
          </w:tcPr>
          <w:p w14:paraId="60406D17">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年  度</w:t>
            </w:r>
          </w:p>
        </w:tc>
      </w:tr>
      <w:tr w14:paraId="351E5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970" w:type="dxa"/>
            <w:vAlign w:val="center"/>
          </w:tcPr>
          <w:p w14:paraId="521C2D59">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w:t>
            </w:r>
            <w:r>
              <w:rPr>
                <w:rFonts w:hint="eastAsia" w:ascii="Times New Roman Regular" w:hAnsi="Times New Roman Regular" w:eastAsia="仿宋" w:cs="Times New Roman Regular"/>
                <w:color w:val="auto"/>
              </w:rPr>
              <w:t>抗旱</w:t>
            </w:r>
          </w:p>
        </w:tc>
        <w:tc>
          <w:tcPr>
            <w:tcW w:w="3480" w:type="dxa"/>
          </w:tcPr>
          <w:p w14:paraId="6728BBA0">
            <w:pPr>
              <w:pStyle w:val="2"/>
              <w:spacing w:line="240" w:lineRule="auto"/>
              <w:ind w:firstLine="0" w:firstLineChars="0"/>
              <w:jc w:val="left"/>
              <w:rPr>
                <w:rFonts w:ascii="Times New Roman Regular" w:hAnsi="Times New Roman Regular" w:eastAsia="仿宋" w:cs="Times New Roman Regular"/>
                <w:color w:val="auto"/>
                <w:lang w:val="zh-CN"/>
              </w:rPr>
            </w:pP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座水库、</w:t>
            </w: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个水电站、</w:t>
            </w:r>
            <w:r>
              <w:rPr>
                <w:rFonts w:ascii="Times New Roman" w:hAnsi="Times New Roman" w:eastAsia="仿宋" w:cs="仿宋_GB2312"/>
                <w:color w:val="auto"/>
                <w:lang w:val="zh-CN"/>
              </w:rPr>
              <w:t>20</w:t>
            </w:r>
            <w:r>
              <w:rPr>
                <w:rFonts w:ascii="Times New Roman Regular" w:hAnsi="Times New Roman Regular" w:eastAsia="仿宋" w:cs="Times New Roman Regular"/>
                <w:color w:val="auto"/>
                <w:lang w:val="zh-CN"/>
              </w:rPr>
              <w:t>余个村级的堤防水毁修复</w:t>
            </w:r>
          </w:p>
        </w:tc>
        <w:tc>
          <w:tcPr>
            <w:tcW w:w="2003" w:type="dxa"/>
            <w:vAlign w:val="center"/>
          </w:tcPr>
          <w:p w14:paraId="70A01C5F">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184</w:t>
            </w:r>
          </w:p>
        </w:tc>
        <w:tc>
          <w:tcPr>
            <w:tcW w:w="1689" w:type="dxa"/>
            <w:vAlign w:val="center"/>
          </w:tcPr>
          <w:p w14:paraId="1292065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r w14:paraId="27227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1970" w:type="dxa"/>
            <w:vAlign w:val="center"/>
          </w:tcPr>
          <w:p w14:paraId="568BDA93">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lang w:val="zh-CN"/>
              </w:rPr>
              <w:t>救灾</w:t>
            </w:r>
            <w:r>
              <w:rPr>
                <w:rFonts w:hint="eastAsia" w:ascii="Times New Roman Regular" w:hAnsi="Times New Roman Regular" w:eastAsia="仿宋" w:cs="Times New Roman Regular"/>
                <w:color w:val="auto"/>
              </w:rPr>
              <w:t>减灾</w:t>
            </w:r>
          </w:p>
        </w:tc>
        <w:tc>
          <w:tcPr>
            <w:tcW w:w="3480" w:type="dxa"/>
          </w:tcPr>
          <w:p w14:paraId="78A3F465">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建设县城上游长征涵洞水毁修复工程</w:t>
            </w:r>
          </w:p>
        </w:tc>
        <w:tc>
          <w:tcPr>
            <w:tcW w:w="2003" w:type="dxa"/>
            <w:vAlign w:val="center"/>
          </w:tcPr>
          <w:p w14:paraId="646C0D0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323</w:t>
            </w:r>
          </w:p>
        </w:tc>
        <w:tc>
          <w:tcPr>
            <w:tcW w:w="1689" w:type="dxa"/>
            <w:vAlign w:val="center"/>
          </w:tcPr>
          <w:p w14:paraId="0548FFB5">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2020</w:t>
            </w:r>
          </w:p>
        </w:tc>
      </w:tr>
      <w:tr w14:paraId="3FDBE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14:paraId="00C574E3">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防汛抗旱</w:t>
            </w:r>
          </w:p>
        </w:tc>
        <w:tc>
          <w:tcPr>
            <w:tcW w:w="3480" w:type="dxa"/>
          </w:tcPr>
          <w:p w14:paraId="0F4A1973">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曲泵灌区和山泽灌区、</w:t>
            </w:r>
            <w:r>
              <w:rPr>
                <w:rFonts w:hint="eastAsia" w:ascii="Times New Roman" w:hAnsi="Times New Roman" w:eastAsia="仿宋" w:cs="仿宋_GB2312"/>
                <w:color w:val="auto"/>
                <w:lang w:val="zh-CN"/>
              </w:rPr>
              <w:t>20</w:t>
            </w:r>
            <w:r>
              <w:rPr>
                <w:rFonts w:hint="eastAsia" w:ascii="Times New Roman Regular" w:hAnsi="Times New Roman Regular" w:eastAsia="仿宋" w:cs="Times New Roman Regular"/>
                <w:color w:val="auto"/>
                <w:lang w:val="zh-CN"/>
              </w:rPr>
              <w:t>余个村的灌溉设施的更新改造和维修养护</w:t>
            </w:r>
          </w:p>
        </w:tc>
        <w:tc>
          <w:tcPr>
            <w:tcW w:w="2003" w:type="dxa"/>
            <w:vAlign w:val="center"/>
          </w:tcPr>
          <w:p w14:paraId="39F78126">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175</w:t>
            </w:r>
          </w:p>
        </w:tc>
        <w:tc>
          <w:tcPr>
            <w:tcW w:w="1689" w:type="dxa"/>
            <w:vAlign w:val="center"/>
          </w:tcPr>
          <w:p w14:paraId="5505D529">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2016</w:t>
            </w:r>
            <w:r>
              <w:rPr>
                <w:rFonts w:hint="eastAsia" w:ascii="Times New Roman Regular" w:hAnsi="Times New Roman Regular" w:eastAsia="仿宋" w:cs="Times New Roman Regular"/>
                <w:color w:val="auto"/>
                <w:sz w:val="24"/>
              </w:rPr>
              <w:t>~</w:t>
            </w:r>
            <w:r>
              <w:rPr>
                <w:rFonts w:hint="eastAsia" w:ascii="Times New Roman" w:hAnsi="Times New Roman" w:eastAsia="仿宋" w:cs="仿宋_GB2312"/>
                <w:color w:val="auto"/>
                <w:sz w:val="24"/>
              </w:rPr>
              <w:t>2020</w:t>
            </w:r>
          </w:p>
        </w:tc>
      </w:tr>
      <w:tr w14:paraId="08181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14:paraId="18071F05">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山洪灾害设施维修养护</w:t>
            </w:r>
          </w:p>
        </w:tc>
        <w:tc>
          <w:tcPr>
            <w:tcW w:w="3480" w:type="dxa"/>
          </w:tcPr>
          <w:p w14:paraId="6C572325">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rPr>
              <w:t>每年对</w:t>
            </w:r>
            <w:r>
              <w:rPr>
                <w:rFonts w:hint="eastAsia" w:ascii="Times New Roman" w:hAnsi="Times New Roman" w:eastAsia="仿宋" w:cs="仿宋_GB2312"/>
                <w:color w:val="auto"/>
              </w:rPr>
              <w:t>18</w:t>
            </w:r>
            <w:r>
              <w:rPr>
                <w:rFonts w:hint="eastAsia" w:ascii="Times New Roman Regular" w:hAnsi="Times New Roman Regular" w:eastAsia="仿宋" w:cs="Times New Roman Regular"/>
                <w:color w:val="auto"/>
              </w:rPr>
              <w:t>处自动雨量站，</w:t>
            </w:r>
            <w:r>
              <w:rPr>
                <w:rFonts w:hint="eastAsia" w:ascii="Times New Roman" w:hAnsi="Times New Roman" w:eastAsia="仿宋" w:cs="仿宋_GB2312"/>
                <w:color w:val="auto"/>
              </w:rPr>
              <w:t>4</w:t>
            </w:r>
            <w:r>
              <w:rPr>
                <w:rFonts w:hint="eastAsia" w:ascii="Times New Roman Regular" w:hAnsi="Times New Roman Regular" w:eastAsia="仿宋" w:cs="Times New Roman Regular"/>
                <w:color w:val="auto"/>
              </w:rPr>
              <w:t>处自动水位站，</w:t>
            </w:r>
            <w:r>
              <w:rPr>
                <w:rFonts w:hint="eastAsia" w:ascii="Times New Roman" w:hAnsi="Times New Roman" w:eastAsia="仿宋" w:cs="仿宋_GB2312"/>
                <w:color w:val="auto"/>
              </w:rPr>
              <w:t>170</w:t>
            </w:r>
            <w:r>
              <w:rPr>
                <w:rFonts w:hint="eastAsia" w:ascii="Times New Roman Regular" w:hAnsi="Times New Roman Regular" w:eastAsia="仿宋" w:cs="Times New Roman Regular"/>
                <w:color w:val="auto"/>
              </w:rPr>
              <w:t>处简易雨量站，</w:t>
            </w:r>
            <w:r>
              <w:rPr>
                <w:rFonts w:hint="eastAsia" w:ascii="Times New Roman" w:hAnsi="Times New Roman" w:eastAsia="仿宋" w:cs="仿宋_GB2312"/>
                <w:color w:val="auto"/>
              </w:rPr>
              <w:t>72</w:t>
            </w:r>
            <w:r>
              <w:rPr>
                <w:rFonts w:hint="eastAsia" w:ascii="Times New Roman Regular" w:hAnsi="Times New Roman Regular" w:eastAsia="仿宋" w:cs="Times New Roman Regular"/>
                <w:color w:val="auto"/>
              </w:rPr>
              <w:t>套预警广播和县级预警平台的维护</w:t>
            </w:r>
          </w:p>
        </w:tc>
        <w:tc>
          <w:tcPr>
            <w:tcW w:w="2003" w:type="dxa"/>
            <w:vAlign w:val="center"/>
          </w:tcPr>
          <w:p w14:paraId="4114E4E4">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100</w:t>
            </w:r>
          </w:p>
        </w:tc>
        <w:tc>
          <w:tcPr>
            <w:tcW w:w="1689" w:type="dxa"/>
            <w:vAlign w:val="center"/>
          </w:tcPr>
          <w:p w14:paraId="5A669A9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bl>
    <w:p w14:paraId="42CC98EC">
      <w:pPr>
        <w:pStyle w:val="8"/>
        <w:rPr>
          <w:color w:val="auto"/>
        </w:rPr>
      </w:pPr>
      <w:bookmarkStart w:id="104" w:name="_Toc19208"/>
      <w:bookmarkStart w:id="105" w:name="_Toc5427"/>
      <w:bookmarkStart w:id="106" w:name="_Toc7798"/>
      <w:bookmarkStart w:id="107" w:name="_Toc4470"/>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6</w:t>
      </w:r>
      <w:r>
        <w:rPr>
          <w:rFonts w:hint="eastAsia"/>
          <w:color w:val="auto"/>
        </w:rPr>
        <w:t xml:space="preserve">  农田水利建设稳步推进</w:t>
      </w:r>
      <w:bookmarkEnd w:id="104"/>
      <w:bookmarkEnd w:id="105"/>
      <w:bookmarkEnd w:id="106"/>
      <w:bookmarkEnd w:id="107"/>
    </w:p>
    <w:p w14:paraId="7F00E26E">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全面完成全国第三批小型农田水利重点县项目，使我县的农田水利工程上了一个新台阶。工程于</w:t>
      </w:r>
      <w:r>
        <w:rPr>
          <w:rFonts w:ascii="Times New Roman" w:hAnsi="Times New Roman" w:eastAsia="仿宋_GB2312" w:cs="仿宋_GB2312"/>
          <w:bCs/>
          <w:color w:val="auto"/>
          <w:sz w:val="28"/>
          <w:szCs w:val="28"/>
        </w:rPr>
        <w:t>2012</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18</w:t>
      </w:r>
      <w:r>
        <w:rPr>
          <w:rFonts w:hint="eastAsia" w:ascii="仿宋_GB2312" w:hAnsi="仿宋_GB2312" w:eastAsia="仿宋_GB2312" w:cs="仿宋_GB2312"/>
          <w:bCs/>
          <w:color w:val="auto"/>
          <w:sz w:val="28"/>
          <w:szCs w:val="28"/>
        </w:rPr>
        <w:t>日开工，</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日完工，历时六年。累计完成投资</w:t>
      </w:r>
      <w:r>
        <w:rPr>
          <w:rFonts w:hint="eastAsia" w:ascii="Times New Roman" w:hAnsi="Times New Roman" w:eastAsia="仿宋_GB2312" w:cs="仿宋_GB2312"/>
          <w:bCs/>
          <w:color w:val="auto"/>
          <w:sz w:val="28"/>
          <w:szCs w:val="28"/>
        </w:rPr>
        <w:t>6266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27</w:t>
      </w:r>
      <w:r>
        <w:rPr>
          <w:rFonts w:hint="eastAsia" w:ascii="仿宋_GB2312" w:hAnsi="仿宋_GB2312" w:eastAsia="仿宋_GB2312" w:cs="仿宋_GB2312"/>
          <w:bCs/>
          <w:color w:val="auto"/>
          <w:sz w:val="28"/>
          <w:szCs w:val="28"/>
        </w:rPr>
        <w:t>万元。新建、改造蓄水池、截潜流、淤地坝、塘坝、小型泵站、机井等小型水源工程</w:t>
      </w:r>
      <w:r>
        <w:rPr>
          <w:rFonts w:hint="eastAsia" w:ascii="Times New Roman" w:hAnsi="Times New Roman" w:eastAsia="仿宋_GB2312" w:cs="仿宋_GB2312"/>
          <w:bCs/>
          <w:color w:val="auto"/>
          <w:sz w:val="28"/>
          <w:szCs w:val="28"/>
        </w:rPr>
        <w:t>111</w:t>
      </w:r>
      <w:r>
        <w:rPr>
          <w:rFonts w:hint="eastAsia" w:ascii="仿宋_GB2312" w:hAnsi="仿宋_GB2312" w:eastAsia="仿宋_GB2312" w:cs="仿宋_GB2312"/>
          <w:bCs/>
          <w:color w:val="auto"/>
          <w:sz w:val="28"/>
          <w:szCs w:val="28"/>
        </w:rPr>
        <w:t>处，配套水泵</w:t>
      </w:r>
      <w:r>
        <w:rPr>
          <w:rFonts w:hint="eastAsia" w:ascii="Times New Roman" w:hAnsi="Times New Roman" w:eastAsia="仿宋_GB2312" w:cs="仿宋_GB2312"/>
          <w:bCs/>
          <w:color w:val="auto"/>
          <w:sz w:val="28"/>
          <w:szCs w:val="28"/>
        </w:rPr>
        <w:t>49</w:t>
      </w:r>
      <w:r>
        <w:rPr>
          <w:rFonts w:hint="eastAsia" w:ascii="仿宋_GB2312" w:hAnsi="仿宋_GB2312" w:eastAsia="仿宋_GB2312" w:cs="仿宋_GB2312"/>
          <w:bCs/>
          <w:color w:val="auto"/>
          <w:sz w:val="28"/>
          <w:szCs w:val="28"/>
        </w:rPr>
        <w:t>台，配套输变电线路及变压器</w:t>
      </w:r>
      <w:r>
        <w:rPr>
          <w:rFonts w:hint="eastAsia" w:ascii="Times New Roman" w:hAnsi="Times New Roman" w:eastAsia="仿宋_GB2312" w:cs="仿宋_GB2312"/>
          <w:bCs/>
          <w:color w:val="auto"/>
          <w:sz w:val="28"/>
          <w:szCs w:val="28"/>
        </w:rPr>
        <w:t>20</w:t>
      </w:r>
      <w:r>
        <w:rPr>
          <w:rFonts w:hint="eastAsia" w:ascii="仿宋_GB2312" w:hAnsi="仿宋_GB2312" w:eastAsia="仿宋_GB2312" w:cs="仿宋_GB2312"/>
          <w:bCs/>
          <w:color w:val="auto"/>
          <w:sz w:val="28"/>
          <w:szCs w:val="28"/>
        </w:rPr>
        <w:t>台套，兴建改造渠道</w:t>
      </w:r>
      <w:r>
        <w:rPr>
          <w:rFonts w:hint="eastAsia" w:ascii="Times New Roman" w:hAnsi="Times New Roman" w:eastAsia="仿宋_GB2312" w:cs="仿宋_GB2312"/>
          <w:bCs/>
          <w:color w:val="auto"/>
          <w:sz w:val="28"/>
          <w:szCs w:val="28"/>
        </w:rPr>
        <w:t>16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24km</w:t>
      </w:r>
      <w:r>
        <w:rPr>
          <w:rFonts w:hint="eastAsia" w:ascii="仿宋_GB2312" w:hAnsi="仿宋_GB2312" w:eastAsia="仿宋_GB2312" w:cs="仿宋_GB2312"/>
          <w:bCs/>
          <w:color w:val="auto"/>
          <w:sz w:val="28"/>
          <w:szCs w:val="28"/>
        </w:rPr>
        <w:t>,铺设各级输配水管道</w:t>
      </w:r>
      <w:r>
        <w:rPr>
          <w:rFonts w:hint="eastAsia" w:ascii="Times New Roman" w:hAnsi="Times New Roman" w:eastAsia="仿宋_GB2312" w:cs="仿宋_GB2312"/>
          <w:bCs/>
          <w:color w:val="auto"/>
          <w:sz w:val="28"/>
          <w:szCs w:val="28"/>
        </w:rPr>
        <w:t>413</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49km</w:t>
      </w:r>
      <w:r>
        <w:rPr>
          <w:rFonts w:hint="eastAsia" w:ascii="仿宋_GB2312" w:hAnsi="仿宋_GB2312" w:eastAsia="仿宋_GB2312" w:cs="仿宋_GB2312"/>
          <w:bCs/>
          <w:color w:val="auto"/>
          <w:sz w:val="28"/>
          <w:szCs w:val="28"/>
        </w:rPr>
        <w:t>等。新增、改善灌溉面积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823</w:t>
      </w:r>
      <w:r>
        <w:rPr>
          <w:rFonts w:hint="eastAsia" w:ascii="仿宋_GB2312" w:hAnsi="仿宋_GB2312" w:eastAsia="仿宋_GB2312" w:cs="仿宋_GB2312"/>
          <w:bCs/>
          <w:color w:val="auto"/>
          <w:sz w:val="28"/>
          <w:szCs w:val="28"/>
        </w:rPr>
        <w:t>万亩。截止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年底，我县共建设各类灌溉工程</w:t>
      </w:r>
      <w:r>
        <w:rPr>
          <w:rFonts w:hint="eastAsia" w:ascii="Times New Roman" w:hAnsi="Times New Roman" w:eastAsia="仿宋_GB2312" w:cs="仿宋_GB2312"/>
          <w:bCs/>
          <w:color w:val="auto"/>
          <w:sz w:val="28"/>
          <w:szCs w:val="28"/>
        </w:rPr>
        <w:t>740</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14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95</w:t>
      </w:r>
      <w:r>
        <w:rPr>
          <w:rFonts w:hint="eastAsia" w:ascii="仿宋_GB2312" w:hAnsi="仿宋_GB2312" w:eastAsia="仿宋_GB2312" w:cs="仿宋_GB2312"/>
          <w:bCs/>
          <w:color w:val="auto"/>
          <w:sz w:val="28"/>
          <w:szCs w:val="28"/>
        </w:rPr>
        <w:t>万亩。其中：中型灌区</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03</w:t>
      </w:r>
      <w:r>
        <w:rPr>
          <w:rFonts w:hint="eastAsia" w:ascii="仿宋_GB2312" w:hAnsi="仿宋_GB2312" w:eastAsia="仿宋_GB2312" w:cs="仿宋_GB2312"/>
          <w:bCs/>
          <w:color w:val="auto"/>
          <w:sz w:val="28"/>
          <w:szCs w:val="28"/>
        </w:rPr>
        <w:t>万亩；小型自流灌区</w:t>
      </w:r>
      <w:r>
        <w:rPr>
          <w:rFonts w:hint="eastAsia" w:ascii="Times New Roman" w:hAnsi="Times New Roman" w:eastAsia="仿宋_GB2312" w:cs="仿宋_GB2312"/>
          <w:bCs/>
          <w:color w:val="auto"/>
          <w:sz w:val="28"/>
          <w:szCs w:val="28"/>
        </w:rPr>
        <w:t>324</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61</w:t>
      </w:r>
      <w:r>
        <w:rPr>
          <w:rFonts w:hint="eastAsia" w:ascii="仿宋_GB2312" w:hAnsi="仿宋_GB2312" w:eastAsia="仿宋_GB2312" w:cs="仿宋_GB2312"/>
          <w:bCs/>
          <w:color w:val="auto"/>
          <w:sz w:val="28"/>
          <w:szCs w:val="28"/>
        </w:rPr>
        <w:t>万亩;小型机电灌站</w:t>
      </w:r>
      <w:r>
        <w:rPr>
          <w:rFonts w:hint="eastAsia" w:ascii="Times New Roman" w:hAnsi="Times New Roman" w:eastAsia="仿宋_GB2312" w:cs="仿宋_GB2312"/>
          <w:bCs/>
          <w:color w:val="auto"/>
          <w:sz w:val="28"/>
          <w:szCs w:val="28"/>
        </w:rPr>
        <w:t>295</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41</w:t>
      </w:r>
      <w:r>
        <w:rPr>
          <w:rFonts w:hint="eastAsia" w:ascii="仿宋_GB2312" w:hAnsi="仿宋_GB2312" w:eastAsia="仿宋_GB2312" w:cs="仿宋_GB2312"/>
          <w:bCs/>
          <w:color w:val="auto"/>
          <w:sz w:val="28"/>
          <w:szCs w:val="28"/>
        </w:rPr>
        <w:t>万亩；灌溉机井</w:t>
      </w:r>
      <w:r>
        <w:rPr>
          <w:rFonts w:hint="eastAsia" w:ascii="Times New Roman" w:hAnsi="Times New Roman" w:eastAsia="仿宋_GB2312" w:cs="仿宋_GB2312"/>
          <w:bCs/>
          <w:color w:val="auto"/>
          <w:sz w:val="28"/>
          <w:szCs w:val="28"/>
        </w:rPr>
        <w:t>119</w:t>
      </w:r>
      <w:r>
        <w:rPr>
          <w:rFonts w:hint="eastAsia" w:ascii="仿宋_GB2312" w:hAnsi="仿宋_GB2312" w:eastAsia="仿宋_GB2312" w:cs="仿宋_GB2312"/>
          <w:bCs/>
          <w:color w:val="auto"/>
          <w:sz w:val="28"/>
          <w:szCs w:val="28"/>
        </w:rPr>
        <w:t>眼数，有效灌溉面积</w:t>
      </w:r>
      <w:r>
        <w:rPr>
          <w:rFonts w:hint="eastAsia" w:ascii="Times New Roman" w:hAnsi="Times New Roman" w:eastAsia="仿宋_GB2312" w:cs="仿宋_GB2312"/>
          <w:bCs/>
          <w:color w:val="auto"/>
          <w:sz w:val="28"/>
          <w:szCs w:val="28"/>
        </w:rPr>
        <w:t>0</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万亩。</w:t>
      </w:r>
      <w:r>
        <w:rPr>
          <w:rFonts w:hint="eastAsia" w:ascii="Times New Roman" w:hAnsi="Times New Roman" w:eastAsia="仿宋_GB2312" w:cs="仿宋_GB2312"/>
          <w:bCs/>
          <w:color w:val="auto"/>
          <w:sz w:val="28"/>
          <w:szCs w:val="28"/>
        </w:rPr>
        <w:t>2017</w:t>
      </w:r>
      <w:r>
        <w:rPr>
          <w:rFonts w:hint="eastAsia" w:ascii="仿宋_GB2312" w:hAnsi="仿宋_GB2312" w:eastAsia="仿宋_GB2312" w:cs="仿宋_GB2312"/>
          <w:bCs/>
          <w:color w:val="auto"/>
          <w:sz w:val="28"/>
          <w:szCs w:val="28"/>
        </w:rPr>
        <w:t>年出台了《小型水利工程管理体制改革实施方案》，明确了各类小型农田水利工程的产权、管护主体，初步建立起与我县现状相适应的管理体制和运行机制。</w:t>
      </w:r>
    </w:p>
    <w:p w14:paraId="2883E757">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我县的农业水价综合改革工作自</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年开始实施，截止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年底，新增农业水价改革面积</w:t>
      </w:r>
      <w:r>
        <w:rPr>
          <w:rFonts w:hint="eastAsia" w:ascii="Times New Roman" w:hAnsi="Times New Roman" w:eastAsia="仿宋_GB2312" w:cs="仿宋_GB2312"/>
          <w:bCs/>
          <w:color w:val="auto"/>
          <w:sz w:val="28"/>
          <w:szCs w:val="28"/>
        </w:rPr>
        <w:t>1</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w:t>
      </w:r>
      <w:r>
        <w:rPr>
          <w:rFonts w:hint="eastAsia" w:ascii="仿宋_GB2312" w:hAnsi="仿宋_GB2312" w:eastAsia="仿宋_GB2312" w:cs="仿宋_GB2312"/>
          <w:bCs/>
          <w:color w:val="auto"/>
          <w:sz w:val="28"/>
          <w:szCs w:val="28"/>
        </w:rPr>
        <w:t>万亩，完成投资</w:t>
      </w:r>
      <w:r>
        <w:rPr>
          <w:rFonts w:hint="eastAsia" w:ascii="Times New Roman" w:hAnsi="Times New Roman" w:eastAsia="仿宋_GB2312" w:cs="仿宋_GB2312"/>
          <w:bCs/>
          <w:color w:val="auto"/>
          <w:sz w:val="28"/>
          <w:szCs w:val="28"/>
        </w:rPr>
        <w:t>54</w:t>
      </w:r>
      <w:r>
        <w:rPr>
          <w:rFonts w:hint="eastAsia" w:ascii="仿宋_GB2312" w:hAnsi="仿宋_GB2312" w:eastAsia="仿宋_GB2312" w:cs="仿宋_GB2312"/>
          <w:bCs/>
          <w:color w:val="auto"/>
          <w:sz w:val="28"/>
          <w:szCs w:val="28"/>
        </w:rPr>
        <w:t>万元。农业水价改革以曲堤、山泽两个中型灌区为重点，主要完成了试点村庄水权分配、</w:t>
      </w:r>
      <w:r>
        <w:rPr>
          <w:rFonts w:hint="eastAsia" w:ascii="Times New Roman" w:hAnsi="Times New Roman" w:eastAsia="仿宋_GB2312" w:cs="仿宋_GB2312"/>
          <w:bCs/>
          <w:color w:val="auto"/>
          <w:sz w:val="28"/>
          <w:szCs w:val="28"/>
        </w:rPr>
        <w:t>23</w:t>
      </w:r>
      <w:r>
        <w:rPr>
          <w:rFonts w:hint="eastAsia" w:ascii="仿宋_GB2312" w:hAnsi="仿宋_GB2312" w:eastAsia="仿宋_GB2312" w:cs="仿宋_GB2312"/>
          <w:bCs/>
          <w:color w:val="auto"/>
          <w:sz w:val="28"/>
          <w:szCs w:val="28"/>
        </w:rPr>
        <w:t>套用水计量设施安装、县乡两级系统平台建设以及水价核定等相关制度的拟定和出台。</w:t>
      </w:r>
    </w:p>
    <w:p w14:paraId="7688EF43">
      <w:pPr>
        <w:pStyle w:val="2"/>
        <w:ind w:firstLine="0" w:firstLineChars="0"/>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BE94BBF">
      <w:pPr>
        <w:pStyle w:val="8"/>
        <w:rPr>
          <w:color w:val="auto"/>
        </w:rPr>
      </w:pPr>
      <w:bookmarkStart w:id="108" w:name="_Toc1973"/>
      <w:bookmarkStart w:id="109" w:name="_Toc12621"/>
      <w:bookmarkStart w:id="110" w:name="_Toc26529"/>
      <w:bookmarkStart w:id="111" w:name="_Toc7709"/>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7</w:t>
      </w:r>
      <w:r>
        <w:rPr>
          <w:rFonts w:hint="eastAsia"/>
          <w:color w:val="auto"/>
        </w:rPr>
        <w:t xml:space="preserve">  全面</w:t>
      </w:r>
      <w:bookmarkEnd w:id="108"/>
      <w:bookmarkEnd w:id="109"/>
      <w:bookmarkEnd w:id="110"/>
      <w:r>
        <w:rPr>
          <w:rFonts w:hint="eastAsia"/>
          <w:color w:val="auto"/>
        </w:rPr>
        <w:t>推行河长制</w:t>
      </w:r>
      <w:bookmarkEnd w:id="111"/>
    </w:p>
    <w:p w14:paraId="09FCFCB4">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全面推行河长制是贯彻落实绿色发展理念，推进生态文明建设，保障水安全的重大举措，以保护水资源、防治水污染、改善水环境、修复水生态、保护河域岸线</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rPr>
        <w:t>推进</w:t>
      </w:r>
      <w:r>
        <w:rPr>
          <w:rFonts w:hint="eastAsia" w:ascii="仿宋_GB2312" w:hAnsi="仿宋_GB2312" w:eastAsia="仿宋_GB2312" w:cs="仿宋_GB2312"/>
          <w:bCs/>
          <w:color w:val="auto"/>
          <w:sz w:val="28"/>
          <w:szCs w:val="28"/>
          <w:lang w:val="en-US" w:eastAsia="zh-CN"/>
        </w:rPr>
        <w:t>河</w:t>
      </w:r>
      <w:r>
        <w:rPr>
          <w:rFonts w:hint="eastAsia" w:ascii="仿宋_GB2312" w:hAnsi="仿宋_GB2312" w:eastAsia="仿宋_GB2312" w:cs="仿宋_GB2312"/>
          <w:bCs/>
          <w:color w:val="auto"/>
          <w:sz w:val="28"/>
          <w:szCs w:val="28"/>
        </w:rPr>
        <w:t>库“清四乱”常态化规范化工作，加强执法监管为主要任务，构建责任明确、协调有序、监管有力、保护有效的河湖管理保护机制，为维护河湖健康生命、实现河湖功能永续利用提供制度保障。</w:t>
      </w:r>
    </w:p>
    <w:p w14:paraId="61FF5C6E">
      <w:pPr>
        <w:numPr>
          <w:ilvl w:val="0"/>
          <w:numId w:val="2"/>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做到了改革方案落实到位。制定了《沁水县全面推行河长制实施方案》、《沁水县河湖警长制实施方案》、《沁水县关于进一步深化河长制改革工作方案》，为持续深化河长制改革提供了根本遵循。</w:t>
      </w:r>
    </w:p>
    <w:p w14:paraId="4C3F0B5B">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做到了组织体系和责任落实到位。确立了县、乡、村三级河长组织体系。全县</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条河流分级分段设立了县级河长</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名，乡级河长</w:t>
      </w:r>
      <w:r>
        <w:rPr>
          <w:rFonts w:hint="eastAsia" w:ascii="Times New Roman" w:hAnsi="Times New Roman" w:eastAsia="仿宋_GB2312" w:cs="仿宋_GB2312"/>
          <w:bCs/>
          <w:color w:val="auto"/>
          <w:sz w:val="28"/>
          <w:szCs w:val="28"/>
        </w:rPr>
        <w:t>44</w:t>
      </w:r>
      <w:r>
        <w:rPr>
          <w:rFonts w:hint="eastAsia" w:ascii="仿宋_GB2312" w:hAnsi="仿宋_GB2312" w:eastAsia="仿宋_GB2312" w:cs="仿宋_GB2312"/>
          <w:bCs/>
          <w:color w:val="auto"/>
          <w:sz w:val="28"/>
          <w:szCs w:val="28"/>
        </w:rPr>
        <w:t>名，村级河长</w:t>
      </w:r>
      <w:r>
        <w:rPr>
          <w:rFonts w:hint="eastAsia" w:ascii="Times New Roman" w:hAnsi="Times New Roman" w:eastAsia="仿宋_GB2312" w:cs="仿宋_GB2312"/>
          <w:bCs/>
          <w:color w:val="auto"/>
          <w:sz w:val="28"/>
          <w:szCs w:val="28"/>
        </w:rPr>
        <w:t>192</w:t>
      </w:r>
      <w:r>
        <w:rPr>
          <w:rFonts w:hint="eastAsia" w:ascii="仿宋_GB2312" w:hAnsi="仿宋_GB2312" w:eastAsia="仿宋_GB2312" w:cs="仿宋_GB2312"/>
          <w:bCs/>
          <w:color w:val="auto"/>
          <w:sz w:val="28"/>
          <w:szCs w:val="28"/>
        </w:rPr>
        <w:t>名，河湖警长</w:t>
      </w:r>
      <w:r>
        <w:rPr>
          <w:rFonts w:hint="eastAsia" w:ascii="Times New Roman" w:hAnsi="Times New Roman" w:eastAsia="仿宋_GB2312" w:cs="仿宋_GB2312"/>
          <w:bCs/>
          <w:color w:val="auto"/>
          <w:sz w:val="28"/>
          <w:szCs w:val="28"/>
        </w:rPr>
        <w:t>194</w:t>
      </w:r>
      <w:r>
        <w:rPr>
          <w:rFonts w:hint="eastAsia" w:ascii="仿宋_GB2312" w:hAnsi="仿宋_GB2312" w:eastAsia="仿宋_GB2312" w:cs="仿宋_GB2312"/>
          <w:bCs/>
          <w:color w:val="auto"/>
          <w:sz w:val="28"/>
          <w:szCs w:val="28"/>
        </w:rPr>
        <w:t>名。组建了县乡两级河长制办公室和河湖警长制办公室。落实了人员编制、办公场所、工作经费；根据河流不同情况，均建立了“一河一档”，“一河一策”，共设立河长公示牌</w:t>
      </w:r>
      <w:r>
        <w:rPr>
          <w:rFonts w:hint="eastAsia" w:ascii="Times New Roman" w:hAnsi="Times New Roman" w:eastAsia="仿宋_GB2312" w:cs="仿宋_GB2312"/>
          <w:bCs/>
          <w:color w:val="auto"/>
          <w:sz w:val="28"/>
          <w:szCs w:val="28"/>
        </w:rPr>
        <w:t>43</w:t>
      </w:r>
      <w:r>
        <w:rPr>
          <w:rFonts w:hint="eastAsia" w:ascii="仿宋_GB2312" w:hAnsi="仿宋_GB2312" w:eastAsia="仿宋_GB2312" w:cs="仿宋_GB2312"/>
          <w:bCs/>
          <w:color w:val="auto"/>
          <w:sz w:val="28"/>
          <w:szCs w:val="28"/>
        </w:rPr>
        <w:t>块，河长公示栏</w:t>
      </w:r>
      <w:r>
        <w:rPr>
          <w:rFonts w:hint="eastAsia" w:ascii="Times New Roman" w:hAnsi="Times New Roman" w:eastAsia="仿宋_GB2312" w:cs="仿宋_GB2312"/>
          <w:bCs/>
          <w:color w:val="auto"/>
          <w:sz w:val="28"/>
          <w:szCs w:val="28"/>
        </w:rPr>
        <w:t>178</w:t>
      </w:r>
      <w:r>
        <w:rPr>
          <w:rFonts w:hint="eastAsia" w:ascii="仿宋_GB2312" w:hAnsi="仿宋_GB2312" w:eastAsia="仿宋_GB2312" w:cs="仿宋_GB2312"/>
          <w:bCs/>
          <w:color w:val="auto"/>
          <w:sz w:val="28"/>
          <w:szCs w:val="28"/>
        </w:rPr>
        <w:t xml:space="preserve">块，明确了各级河长职责。     </w:t>
      </w:r>
    </w:p>
    <w:p w14:paraId="0532D772">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做到了相关制度落实到位。先后制定出台了先后制定出台河长制县级会议、信息报送、信息共享、督察、考核问责和激励、验收、公文处理、河长制联络员、河长巡查工作制度、县级河长制责任单位工作规则等九项制度和一个规则。组建了巡河员队伍，并出台了《巡河员管理办法》。 </w:t>
      </w:r>
    </w:p>
    <w:p w14:paraId="36959EAB">
      <w:pPr>
        <w:numPr>
          <w:ilvl w:val="0"/>
          <w:numId w:val="0"/>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四、做到了各级河长巡河履职到位。 </w:t>
      </w:r>
    </w:p>
    <w:p w14:paraId="597917A2">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县、乡、村三级河长及村级巡河员全部运用“山西河（湖）长制”</w:t>
      </w:r>
      <w:r>
        <w:rPr>
          <w:rFonts w:hint="eastAsia" w:ascii="Times New Roman" w:hAnsi="Times New Roman" w:eastAsia="仿宋_GB2312" w:cs="仿宋_GB2312"/>
          <w:bCs/>
          <w:color w:val="auto"/>
          <w:sz w:val="28"/>
          <w:szCs w:val="28"/>
        </w:rPr>
        <w:t>app</w:t>
      </w:r>
      <w:r>
        <w:rPr>
          <w:rFonts w:hint="eastAsia" w:ascii="仿宋_GB2312" w:hAnsi="仿宋_GB2312" w:eastAsia="仿宋_GB2312" w:cs="仿宋_GB2312"/>
          <w:bCs/>
          <w:color w:val="auto"/>
          <w:sz w:val="28"/>
          <w:szCs w:val="28"/>
        </w:rPr>
        <w:t>开展巡河工作。</w:t>
      </w:r>
    </w:p>
    <w:p w14:paraId="3EBF5718">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做到重点工作任务推进到位</w:t>
      </w:r>
    </w:p>
    <w:p w14:paraId="46CE0E95">
      <w:pPr>
        <w:pStyle w:val="2"/>
        <w:spacing w:line="240" w:lineRule="auto"/>
        <w:ind w:firstLine="560"/>
        <w:rPr>
          <w:rFonts w:hint="eastAsia" w:eastAsia="仿宋"/>
          <w:color w:val="auto"/>
          <w:sz w:val="28"/>
          <w:szCs w:val="28"/>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lang w:val="en-US" w:eastAsia="zh-CN"/>
        </w:rPr>
        <w:t>4</w:t>
      </w:r>
      <w:r>
        <w:rPr>
          <w:rFonts w:eastAsia="仿宋"/>
          <w:color w:val="auto"/>
          <w:sz w:val="28"/>
          <w:szCs w:val="28"/>
        </w:rPr>
        <w:t xml:space="preserve">        </w:t>
      </w:r>
      <w:r>
        <w:rPr>
          <w:rFonts w:hint="eastAsia" w:eastAsia="仿宋"/>
          <w:color w:val="auto"/>
          <w:sz w:val="28"/>
          <w:szCs w:val="28"/>
          <w:lang w:val="en-US" w:eastAsia="zh-CN"/>
        </w:rPr>
        <w:t xml:space="preserve"> </w:t>
      </w:r>
      <w:r>
        <w:rPr>
          <w:rFonts w:eastAsia="仿宋"/>
          <w:color w:val="auto"/>
          <w:sz w:val="28"/>
          <w:szCs w:val="28"/>
        </w:rPr>
        <w:t xml:space="preserve"> </w:t>
      </w:r>
      <w:r>
        <w:rPr>
          <w:rFonts w:hint="eastAsia" w:eastAsia="仿宋"/>
          <w:color w:val="auto"/>
          <w:sz w:val="28"/>
          <w:szCs w:val="28"/>
          <w:lang w:val="en-US" w:eastAsia="zh-CN"/>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lang w:val="en-US" w:eastAsia="zh-CN"/>
        </w:rPr>
        <w:t>河长制重点工作推进统计</w:t>
      </w:r>
      <w:r>
        <w:rPr>
          <w:rFonts w:hint="eastAsia" w:eastAsia="仿宋"/>
          <w:color w:val="auto"/>
          <w:sz w:val="28"/>
          <w:szCs w:val="28"/>
        </w:rPr>
        <w:t>表</w:t>
      </w:r>
    </w:p>
    <w:p w14:paraId="73800589">
      <w:pPr>
        <w:pStyle w:val="4"/>
        <w:rPr>
          <w:color w:val="auto"/>
          <w:sz w:val="21"/>
          <w:szCs w:val="21"/>
        </w:rPr>
      </w:pPr>
    </w:p>
    <w:tbl>
      <w:tblPr>
        <w:tblStyle w:val="23"/>
        <w:tblW w:w="0" w:type="auto"/>
        <w:tblInd w:w="3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2782"/>
        <w:gridCol w:w="5688"/>
      </w:tblGrid>
      <w:tr w14:paraId="140A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5" w:type="dxa"/>
            <w:vAlign w:val="center"/>
          </w:tcPr>
          <w:p w14:paraId="5AEF8A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ascii="仿宋_GB2312" w:hAnsi="仿宋_GB2312" w:eastAsia="仿宋_GB2312" w:cs="仿宋_GB2312"/>
                <w:b/>
                <w:bCs w:val="0"/>
                <w:color w:val="auto"/>
                <w:sz w:val="24"/>
                <w:szCs w:val="24"/>
                <w:vertAlign w:val="baseline"/>
                <w:lang w:val="en-US" w:eastAsia="zh-CN"/>
              </w:rPr>
              <w:t>序号</w:t>
            </w:r>
          </w:p>
        </w:tc>
        <w:tc>
          <w:tcPr>
            <w:tcW w:w="2782" w:type="dxa"/>
            <w:vAlign w:val="center"/>
          </w:tcPr>
          <w:p w14:paraId="54C9C2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
                <w:bCs w:val="0"/>
                <w:color w:val="auto"/>
                <w:sz w:val="24"/>
                <w:szCs w:val="24"/>
                <w:vertAlign w:val="baseline"/>
                <w:lang w:eastAsia="zh-CN"/>
              </w:rPr>
            </w:pPr>
            <w:r>
              <w:rPr>
                <w:rFonts w:hint="eastAsia" w:ascii="仿宋_GB2312" w:hAnsi="仿宋_GB2312" w:eastAsia="仿宋_GB2312" w:cs="仿宋_GB2312"/>
                <w:b/>
                <w:bCs w:val="0"/>
                <w:color w:val="auto"/>
                <w:sz w:val="24"/>
                <w:szCs w:val="24"/>
              </w:rPr>
              <w:t>重点工作</w:t>
            </w:r>
          </w:p>
        </w:tc>
        <w:tc>
          <w:tcPr>
            <w:tcW w:w="5688" w:type="dxa"/>
            <w:vAlign w:val="center"/>
          </w:tcPr>
          <w:p w14:paraId="147B41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eastAsia="仿宋"/>
                <w:b/>
                <w:bCs w:val="0"/>
                <w:color w:val="auto"/>
                <w:sz w:val="24"/>
                <w:szCs w:val="24"/>
                <w:lang w:val="en-US" w:eastAsia="zh-CN"/>
              </w:rPr>
              <w:t>进度情况</w:t>
            </w:r>
          </w:p>
        </w:tc>
      </w:tr>
      <w:tr w14:paraId="1997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4C9D89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Cs/>
                <w:color w:val="auto"/>
                <w:sz w:val="24"/>
                <w:szCs w:val="24"/>
                <w:lang w:val="en-US" w:eastAsia="zh-CN"/>
              </w:rPr>
            </w:pPr>
            <w:r>
              <w:rPr>
                <w:rFonts w:hint="eastAsia" w:ascii="Times New Roman" w:hAnsi="Times New Roman" w:eastAsia="仿宋_GB2312" w:cs="仿宋_GB2312"/>
                <w:bCs/>
                <w:color w:val="auto"/>
                <w:sz w:val="24"/>
                <w:szCs w:val="24"/>
                <w:lang w:val="en-US" w:eastAsia="zh-CN"/>
              </w:rPr>
              <w:t>1</w:t>
            </w:r>
          </w:p>
        </w:tc>
        <w:tc>
          <w:tcPr>
            <w:tcW w:w="2782" w:type="dxa"/>
            <w:vAlign w:val="center"/>
          </w:tcPr>
          <w:p w14:paraId="24D688E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在加强水资源管理和保护方面</w:t>
            </w:r>
          </w:p>
        </w:tc>
        <w:tc>
          <w:tcPr>
            <w:tcW w:w="5688" w:type="dxa"/>
            <w:vAlign w:val="center"/>
          </w:tcPr>
          <w:p w14:paraId="1DFC078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严格控制用水总量，严格核定用水单位水量，依法逐步管部公共供水管网覆盖范围内的自备水井，</w:t>
            </w:r>
            <w:r>
              <w:rPr>
                <w:rFonts w:hint="eastAsia" w:ascii="Times New Roman" w:hAnsi="Times New Roman" w:eastAsia="仿宋_GB2312" w:cs="仿宋_GB2312"/>
                <w:bCs/>
                <w:color w:val="auto"/>
                <w:sz w:val="24"/>
                <w:szCs w:val="24"/>
              </w:rPr>
              <w:t>2020</w:t>
            </w:r>
            <w:r>
              <w:rPr>
                <w:rFonts w:hint="eastAsia" w:ascii="仿宋_GB2312" w:hAnsi="仿宋_GB2312" w:eastAsia="仿宋_GB2312" w:cs="仿宋_GB2312"/>
                <w:bCs/>
                <w:color w:val="auto"/>
                <w:sz w:val="24"/>
                <w:szCs w:val="24"/>
              </w:rPr>
              <w:t>年顺利通过县域节水型社会建设达标验收。</w:t>
            </w:r>
          </w:p>
        </w:tc>
      </w:tr>
      <w:tr w14:paraId="60FF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7FEEAA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2</w:t>
            </w:r>
          </w:p>
        </w:tc>
        <w:tc>
          <w:tcPr>
            <w:tcW w:w="2782" w:type="dxa"/>
            <w:vAlign w:val="center"/>
          </w:tcPr>
          <w:p w14:paraId="7D71258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在加强水域岸线管理和保护方面</w:t>
            </w:r>
            <w:r>
              <w:rPr>
                <w:rFonts w:hint="eastAsia" w:ascii="仿宋_GB2312" w:hAnsi="仿宋_GB2312" w:eastAsia="仿宋_GB2312" w:cs="仿宋_GB2312"/>
                <w:bCs/>
                <w:color w:val="auto"/>
                <w:sz w:val="24"/>
                <w:szCs w:val="24"/>
                <w:lang w:eastAsia="zh-CN"/>
              </w:rPr>
              <w:t>：</w:t>
            </w:r>
          </w:p>
        </w:tc>
        <w:tc>
          <w:tcPr>
            <w:tcW w:w="5688" w:type="dxa"/>
            <w:vAlign w:val="center"/>
          </w:tcPr>
          <w:p w14:paraId="05D7B2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全县</w:t>
            </w:r>
            <w:r>
              <w:rPr>
                <w:rFonts w:hint="eastAsia" w:ascii="Times New Roman" w:hAnsi="Times New Roman" w:eastAsia="仿宋_GB2312" w:cs="仿宋_GB2312"/>
                <w:bCs/>
                <w:color w:val="auto"/>
                <w:sz w:val="24"/>
                <w:szCs w:val="24"/>
              </w:rPr>
              <w:t>19</w:t>
            </w:r>
            <w:r>
              <w:rPr>
                <w:rFonts w:hint="eastAsia" w:ascii="仿宋_GB2312" w:hAnsi="仿宋_GB2312" w:eastAsia="仿宋_GB2312" w:cs="仿宋_GB2312"/>
                <w:bCs/>
                <w:color w:val="auto"/>
                <w:sz w:val="24"/>
                <w:szCs w:val="24"/>
              </w:rPr>
              <w:t>条河流和</w:t>
            </w:r>
            <w:r>
              <w:rPr>
                <w:rFonts w:hint="eastAsia" w:ascii="Times New Roman" w:hAnsi="Times New Roman" w:eastAsia="仿宋_GB2312" w:cs="仿宋_GB2312"/>
                <w:bCs/>
                <w:color w:val="auto"/>
                <w:sz w:val="24"/>
                <w:szCs w:val="24"/>
              </w:rPr>
              <w:t>3</w:t>
            </w:r>
            <w:r>
              <w:rPr>
                <w:rFonts w:hint="eastAsia" w:ascii="仿宋_GB2312" w:hAnsi="仿宋_GB2312" w:eastAsia="仿宋_GB2312" w:cs="仿宋_GB2312"/>
                <w:bCs/>
                <w:color w:val="auto"/>
                <w:sz w:val="24"/>
                <w:szCs w:val="24"/>
              </w:rPr>
              <w:t>座水库管理范围划界报告完成编制并公示，明确了河湖水库的保护范围。</w:t>
            </w:r>
            <w:r>
              <w:rPr>
                <w:rFonts w:hint="eastAsia" w:ascii="Times New Roman" w:hAnsi="Times New Roman" w:eastAsia="仿宋_GB2312" w:cs="仿宋_GB2312"/>
                <w:bCs/>
                <w:color w:val="auto"/>
                <w:sz w:val="24"/>
                <w:szCs w:val="24"/>
              </w:rPr>
              <w:t>2018</w:t>
            </w:r>
            <w:r>
              <w:rPr>
                <w:rFonts w:hint="eastAsia" w:ascii="仿宋_GB2312" w:hAnsi="仿宋_GB2312" w:eastAsia="仿宋_GB2312" w:cs="仿宋_GB2312"/>
                <w:bCs/>
                <w:color w:val="auto"/>
                <w:sz w:val="24"/>
                <w:szCs w:val="24"/>
              </w:rPr>
              <w:t xml:space="preserve">年始，每年开展河湖“清四乱”专项行动，严厉打击河道乱采、乱堆、乱占、乱建及涉河湖生态环境问题，并将此项行动常态化规范化推进。将河湖空间管控范围纳入县级国土空间规划生态保护体系，配合省自然资源厅开展沁河自然资源所有权首次登记。 </w:t>
            </w:r>
          </w:p>
        </w:tc>
      </w:tr>
      <w:tr w14:paraId="387D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Align w:val="center"/>
          </w:tcPr>
          <w:p w14:paraId="5BC7F1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3</w:t>
            </w:r>
          </w:p>
        </w:tc>
        <w:tc>
          <w:tcPr>
            <w:tcW w:w="2782" w:type="dxa"/>
            <w:vAlign w:val="center"/>
          </w:tcPr>
          <w:p w14:paraId="26DD573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在加强水环境治理方面</w:t>
            </w:r>
          </w:p>
        </w:tc>
        <w:tc>
          <w:tcPr>
            <w:tcW w:w="5688" w:type="dxa"/>
            <w:vAlign w:val="center"/>
          </w:tcPr>
          <w:p w14:paraId="212E0C8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 xml:space="preserve">注重突出森林在涵养水源、保持水土、防风固沙方面的生态功能，把造林重点向我县沿河生态脆弱地域倾斜，按任务完成荒山造林、封山育林任务。    </w:t>
            </w:r>
          </w:p>
        </w:tc>
      </w:tr>
      <w:tr w14:paraId="7F9F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4912661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4</w:t>
            </w:r>
          </w:p>
        </w:tc>
        <w:tc>
          <w:tcPr>
            <w:tcW w:w="2782" w:type="dxa"/>
            <w:vAlign w:val="center"/>
          </w:tcPr>
          <w:p w14:paraId="00BE879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在水污染防治方面</w:t>
            </w:r>
          </w:p>
        </w:tc>
        <w:tc>
          <w:tcPr>
            <w:tcW w:w="5688" w:type="dxa"/>
            <w:vAlign w:val="center"/>
          </w:tcPr>
          <w:p w14:paraId="24C9A2C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水环境质量明显改善。张峰水库出口断面（国控）稳定达到地表水Ⅱ类水质标准，郑庄断面（省控）、尉迟断面（市控）稳定达到地表水Ⅲ类水质标准。地表水国考、省考断面无劣Ⅴ类水体。</w:t>
            </w:r>
          </w:p>
        </w:tc>
      </w:tr>
      <w:tr w14:paraId="77AE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33CD5A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5</w:t>
            </w:r>
          </w:p>
        </w:tc>
        <w:tc>
          <w:tcPr>
            <w:tcW w:w="2782" w:type="dxa"/>
            <w:vAlign w:val="center"/>
          </w:tcPr>
          <w:p w14:paraId="2477189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在加强水生态修复方面</w:t>
            </w:r>
          </w:p>
        </w:tc>
        <w:tc>
          <w:tcPr>
            <w:tcW w:w="5688" w:type="dxa"/>
            <w:vAlign w:val="center"/>
          </w:tcPr>
          <w:p w14:paraId="2CBD7B83">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加快推进沁河重点段河道治理。累计完成投资完成</w:t>
            </w:r>
            <w:r>
              <w:rPr>
                <w:rFonts w:hint="eastAsia" w:ascii="Times New Roman" w:hAnsi="Times New Roman" w:eastAsia="仿宋_GB2312" w:cs="仿宋_GB2312"/>
                <w:bCs/>
                <w:color w:val="auto"/>
                <w:sz w:val="24"/>
                <w:szCs w:val="24"/>
              </w:rPr>
              <w:t>11633</w:t>
            </w:r>
            <w:r>
              <w:rPr>
                <w:rFonts w:hint="eastAsia" w:ascii="仿宋_GB2312" w:hAnsi="仿宋_GB2312" w:eastAsia="仿宋_GB2312" w:cs="仿宋_GB2312"/>
                <w:bCs/>
                <w:color w:val="auto"/>
                <w:sz w:val="24"/>
                <w:szCs w:val="24"/>
              </w:rPr>
              <w:t>万元，占总投资</w:t>
            </w:r>
            <w:r>
              <w:rPr>
                <w:rFonts w:hint="eastAsia" w:ascii="Times New Roman" w:hAnsi="Times New Roman" w:eastAsia="仿宋_GB2312" w:cs="仿宋_GB2312"/>
                <w:bCs/>
                <w:color w:val="auto"/>
                <w:sz w:val="24"/>
                <w:szCs w:val="24"/>
              </w:rPr>
              <w:t>81</w:t>
            </w:r>
            <w:r>
              <w:rPr>
                <w:rFonts w:hint="eastAsia" w:ascii="仿宋_GB2312" w:hAnsi="仿宋_GB2312" w:eastAsia="仿宋_GB2312" w:cs="仿宋_GB2312"/>
                <w:bCs/>
                <w:color w:val="auto"/>
                <w:sz w:val="24"/>
                <w:szCs w:val="24"/>
              </w:rPr>
              <w:t>.</w:t>
            </w:r>
            <w:r>
              <w:rPr>
                <w:rFonts w:hint="eastAsia" w:ascii="Times New Roman" w:hAnsi="Times New Roman" w:eastAsia="仿宋_GB2312" w:cs="仿宋_GB2312"/>
                <w:bCs/>
                <w:color w:val="auto"/>
                <w:sz w:val="24"/>
                <w:szCs w:val="24"/>
              </w:rPr>
              <w:t>1</w:t>
            </w:r>
            <w:r>
              <w:rPr>
                <w:rFonts w:hint="eastAsia" w:ascii="仿宋_GB2312" w:hAnsi="仿宋_GB2312" w:eastAsia="仿宋_GB2312" w:cs="仿宋_GB2312"/>
                <w:bCs/>
                <w:color w:val="auto"/>
                <w:sz w:val="24"/>
                <w:szCs w:val="24"/>
              </w:rPr>
              <w:t>%。完成县河上下游河道治理工程。提升了防洪保安能力。配合市发改局编制沁河古堡旅游经济带发展规划。该规划分为三部分，即沁河古堡旅游经济带总规和空间规划；沁河古堡旅游经济带生态水系和交通规划；沁河古堡旅游经济带景观规划。</w:t>
            </w:r>
          </w:p>
          <w:p w14:paraId="705214F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p>
        </w:tc>
      </w:tr>
      <w:tr w14:paraId="01BB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6C8F24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6</w:t>
            </w:r>
          </w:p>
        </w:tc>
        <w:tc>
          <w:tcPr>
            <w:tcW w:w="2782" w:type="dxa"/>
            <w:vAlign w:val="center"/>
          </w:tcPr>
          <w:p w14:paraId="02B4B31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在加强河湖执法方面</w:t>
            </w:r>
          </w:p>
        </w:tc>
        <w:tc>
          <w:tcPr>
            <w:tcW w:w="5688" w:type="dxa"/>
            <w:vAlign w:val="center"/>
          </w:tcPr>
          <w:p w14:paraId="290B303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市河长办、市检察院联合出台的《晋城市市、县河湖生态环境保护一体化办案联动机制》、由市河长办、市公安局联合出台的《晋城市建立河长与河湖警长协作机制意见》已印发实施，河湖警长、检察长名单也已确定，在河道岸边显著位置树立公示牌，标明河长、河湖警长相关信息，接受社会监督，切实发挥“河长+警长+检察长”制度优势。</w:t>
            </w:r>
          </w:p>
        </w:tc>
      </w:tr>
    </w:tbl>
    <w:p w14:paraId="3671EF1F">
      <w:pPr>
        <w:pStyle w:val="7"/>
        <w:rPr>
          <w:color w:val="auto"/>
        </w:rPr>
      </w:pPr>
      <w:bookmarkStart w:id="112" w:name="_Toc7391"/>
      <w:bookmarkStart w:id="113" w:name="_Toc28655"/>
      <w:bookmarkStart w:id="114" w:name="_Toc16992"/>
      <w:bookmarkStart w:id="115" w:name="_Toc26582"/>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存在问题</w:t>
      </w:r>
      <w:bookmarkEnd w:id="112"/>
      <w:bookmarkEnd w:id="113"/>
      <w:r>
        <w:rPr>
          <w:rFonts w:hint="eastAsia"/>
          <w:color w:val="auto"/>
        </w:rPr>
        <w:t>与形势分析</w:t>
      </w:r>
      <w:bookmarkEnd w:id="114"/>
      <w:bookmarkEnd w:id="115"/>
    </w:p>
    <w:p w14:paraId="04B5C940">
      <w:pPr>
        <w:pStyle w:val="8"/>
        <w:rPr>
          <w:color w:val="auto"/>
        </w:rPr>
      </w:pPr>
      <w:bookmarkStart w:id="116" w:name="_Toc19787"/>
      <w:bookmarkStart w:id="117" w:name="_Toc19555"/>
      <w:bookmarkStart w:id="118" w:name="_Toc20591"/>
      <w:bookmarkStart w:id="119" w:name="_Toc21212"/>
      <w:bookmarkStart w:id="120" w:name="_Toc19443"/>
      <w:bookmarkStart w:id="121" w:name="_Toc11622"/>
      <w:bookmarkStart w:id="122" w:name="_Toc5997"/>
      <w:bookmarkStart w:id="123" w:name="_Toc28599"/>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rFonts w:hint="eastAsia"/>
          <w:color w:val="auto"/>
        </w:rPr>
        <w:t xml:space="preserve"> </w:t>
      </w:r>
      <w:r>
        <w:rPr>
          <w:color w:val="auto"/>
        </w:rPr>
        <w:t>存在问题</w:t>
      </w:r>
      <w:bookmarkEnd w:id="116"/>
      <w:bookmarkEnd w:id="117"/>
      <w:bookmarkEnd w:id="118"/>
      <w:bookmarkEnd w:id="119"/>
      <w:bookmarkEnd w:id="120"/>
      <w:bookmarkEnd w:id="121"/>
      <w:bookmarkEnd w:id="122"/>
    </w:p>
    <w:p w14:paraId="43387D6D">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一</w:t>
      </w:r>
      <w:r>
        <w:rPr>
          <w:rFonts w:hint="eastAsia" w:ascii="仿宋" w:hAnsi="仿宋" w:eastAsia="仿宋" w:cs="仿宋"/>
          <w:b/>
          <w:bCs/>
          <w:color w:val="auto"/>
          <w:sz w:val="28"/>
          <w:szCs w:val="28"/>
        </w:rPr>
        <w:t>、三条红线“倒逼机制”落实难度大</w:t>
      </w:r>
      <w:bookmarkEnd w:id="123"/>
    </w:p>
    <w:p w14:paraId="491FB89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因水制宜、量水而行”的发展理念不强，不能够自觉转变用水方式和发展方式，本地经济结构、产业布局与水资源禀赋条件、水环境承载能力矛盾突出。“以水定城”还需要做很多具体扎实的工作，在管理上，应基于水资源、水环境承载能力，优化区域空间发展布局。开展水资源和水环境容量测算评估。</w:t>
      </w:r>
    </w:p>
    <w:p w14:paraId="106052B2">
      <w:pPr>
        <w:snapToGrid w:val="0"/>
        <w:spacing w:line="360" w:lineRule="auto"/>
        <w:ind w:firstLine="562" w:firstLineChars="200"/>
        <w:rPr>
          <w:rFonts w:ascii="仿宋" w:hAnsi="仿宋" w:eastAsia="仿宋" w:cs="仿宋"/>
          <w:b/>
          <w:bCs/>
          <w:color w:val="auto"/>
          <w:sz w:val="28"/>
          <w:szCs w:val="28"/>
        </w:rPr>
      </w:pPr>
      <w:bookmarkStart w:id="124" w:name="_Toc14904"/>
      <w:r>
        <w:rPr>
          <w:rFonts w:hint="eastAsia" w:ascii="Times New Roman" w:hAnsi="Times New Roman" w:eastAsia="仿宋" w:cs="仿宋_GB2312"/>
          <w:b/>
          <w:bCs/>
          <w:color w:val="auto"/>
          <w:sz w:val="28"/>
          <w:szCs w:val="28"/>
        </w:rPr>
        <w:t>二</w:t>
      </w:r>
      <w:r>
        <w:rPr>
          <w:rFonts w:hint="eastAsia" w:ascii="仿宋" w:hAnsi="仿宋" w:eastAsia="仿宋" w:cs="仿宋"/>
          <w:b/>
          <w:bCs/>
          <w:color w:val="auto"/>
          <w:sz w:val="28"/>
          <w:szCs w:val="28"/>
        </w:rPr>
        <w:t>、水利发展资金</w:t>
      </w:r>
      <w:bookmarkEnd w:id="124"/>
      <w:r>
        <w:rPr>
          <w:rFonts w:hint="eastAsia" w:ascii="仿宋" w:hAnsi="仿宋" w:eastAsia="仿宋" w:cs="仿宋"/>
          <w:b/>
          <w:bCs/>
          <w:color w:val="auto"/>
          <w:sz w:val="28"/>
          <w:szCs w:val="28"/>
        </w:rPr>
        <w:t>投入不足</w:t>
      </w:r>
    </w:p>
    <w:p w14:paraId="0019C5AB">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利基础设施的公益化特点，加上历史欠账过多，虽然“十三五”以来水利基础设施的建设步伐明显加快，但长期以来水利基础设施建设资金来源单一、规模小、缺少必要的工程维修养护资金的问题并没有得到根本性解决，工程性缺水问题仍然突出，水环境恶化形势仍然严峻，这些问题的存在，直接制约着我县由资源优势向经济优势转化。</w:t>
      </w:r>
    </w:p>
    <w:p w14:paraId="5936546E">
      <w:pPr>
        <w:snapToGrid w:val="0"/>
        <w:spacing w:line="360" w:lineRule="auto"/>
        <w:ind w:firstLine="562" w:firstLineChars="200"/>
        <w:rPr>
          <w:rFonts w:ascii="仿宋" w:hAnsi="仿宋" w:eastAsia="仿宋" w:cs="仿宋"/>
          <w:b/>
          <w:bCs/>
          <w:color w:val="auto"/>
          <w:sz w:val="28"/>
          <w:szCs w:val="28"/>
        </w:rPr>
      </w:pPr>
      <w:bookmarkStart w:id="125" w:name="_Toc18059"/>
      <w:r>
        <w:rPr>
          <w:rFonts w:hint="eastAsia" w:ascii="Times New Roman" w:hAnsi="Times New Roman" w:eastAsia="仿宋" w:cs="仿宋_GB2312"/>
          <w:b/>
          <w:bCs/>
          <w:color w:val="auto"/>
          <w:sz w:val="28"/>
          <w:szCs w:val="28"/>
        </w:rPr>
        <w:t>三</w:t>
      </w:r>
      <w:r>
        <w:rPr>
          <w:rFonts w:hint="eastAsia" w:ascii="仿宋" w:hAnsi="仿宋" w:eastAsia="仿宋" w:cs="仿宋"/>
          <w:b/>
          <w:bCs/>
          <w:color w:val="auto"/>
          <w:sz w:val="28"/>
          <w:szCs w:val="28"/>
        </w:rPr>
        <w:t>、骨干水源工程建设尚不完善</w:t>
      </w:r>
      <w:bookmarkEnd w:id="125"/>
    </w:p>
    <w:p w14:paraId="4F1709E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从全县供水能力和结构看，沁水县属于山西省相对富水区域，境内有沁河，水量丰富，“十三五”期间，新建了云首、下泊两座小水库，湾则水库也完成蓄水验收，并下闸蓄水。但是规划中的林村水库和西坡水库尚未建设，拦蓄能力还有待提升。</w:t>
      </w:r>
    </w:p>
    <w:p w14:paraId="34A7679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管网调配建设滞后。云首水库至固县河供水输水管道连接工程、张峰总干东山取水口至固县河供水输水管道连接工程尚未建设，由于输水配套管网工程建设滞后，供水覆盖面小，辐射区域狭窄，无法实现以丰补枯，不能根据用水需求进行合理调配，可供水量并没有转化为供水能力。</w:t>
      </w:r>
    </w:p>
    <w:p w14:paraId="2C174BA8">
      <w:pPr>
        <w:snapToGrid w:val="0"/>
        <w:spacing w:line="360" w:lineRule="auto"/>
        <w:ind w:firstLine="562" w:firstLineChars="200"/>
        <w:rPr>
          <w:rFonts w:ascii="仿宋" w:hAnsi="仿宋" w:eastAsia="仿宋" w:cs="仿宋"/>
          <w:b/>
          <w:bCs/>
          <w:color w:val="auto"/>
          <w:sz w:val="28"/>
          <w:szCs w:val="28"/>
        </w:rPr>
      </w:pPr>
      <w:bookmarkStart w:id="126" w:name="_Toc32573"/>
      <w:r>
        <w:rPr>
          <w:rFonts w:hint="eastAsia" w:ascii="Times New Roman" w:hAnsi="Times New Roman" w:eastAsia="仿宋" w:cs="仿宋_GB2312"/>
          <w:b/>
          <w:bCs/>
          <w:color w:val="auto"/>
          <w:sz w:val="28"/>
          <w:szCs w:val="28"/>
        </w:rPr>
        <w:t>四</w:t>
      </w:r>
      <w:r>
        <w:rPr>
          <w:rFonts w:hint="eastAsia" w:ascii="仿宋" w:hAnsi="仿宋" w:eastAsia="仿宋" w:cs="仿宋"/>
          <w:b/>
          <w:bCs/>
          <w:color w:val="auto"/>
          <w:sz w:val="28"/>
          <w:szCs w:val="28"/>
        </w:rPr>
        <w:t>、高效农田灌溉占比不高</w:t>
      </w:r>
      <w:bookmarkEnd w:id="126"/>
    </w:p>
    <w:p w14:paraId="67489A58">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受我县第二产业发展对第一产业发展的挤出效应影响，农民对农业的投入与产出比，远不如从第二产业获得的利益高，发展高效灌溉积极性不高。从农业灌溉能力来看，受“靠天吃饭”传统观念的影响，在实际工作中，无论从政府层面还是民间层面，还没有真正把水利建设作为发展现代农业首要基础条件，高效节水灌溉投入不足、占比不大。</w:t>
      </w:r>
    </w:p>
    <w:p w14:paraId="1278D4FF">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五、持续巩固提升农村供水保障工程</w:t>
      </w:r>
    </w:p>
    <w:p w14:paraId="5D5360B2">
      <w:pPr>
        <w:snapToGrid w:val="0"/>
        <w:spacing w:line="360" w:lineRule="auto"/>
        <w:ind w:firstLine="560" w:firstLineChars="200"/>
        <w:rPr>
          <w:rFonts w:ascii="仿宋" w:hAnsi="仿宋" w:eastAsia="仿宋" w:cs="仿宋"/>
          <w:color w:val="auto"/>
          <w:sz w:val="28"/>
          <w:szCs w:val="28"/>
        </w:rPr>
      </w:pPr>
      <w:bookmarkStart w:id="127" w:name="_Toc11524"/>
      <w:r>
        <w:rPr>
          <w:rFonts w:hint="eastAsia" w:ascii="仿宋" w:hAnsi="仿宋" w:eastAsia="仿宋" w:cs="仿宋"/>
          <w:color w:val="auto"/>
          <w:sz w:val="28"/>
          <w:szCs w:val="28"/>
        </w:rPr>
        <w:t>未来五年将在巩固脱贫攻坚的基础上，实施乡村振兴战略。面向未来乡村振兴供水保障看齐，农村发展对水的需求从水质、水量上都提出了更高的要求。为了满足乡村振兴对水质、水量的需求，从我县目前的农村饮水现状来看，还有许多工作要做。</w:t>
      </w:r>
    </w:p>
    <w:p w14:paraId="67B4328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（一）水源问题：我县地处采煤采气地区，受地下矿产资源开采影响，给农村饮水水源工程的水源水量保障带来不确定性；</w:t>
      </w:r>
    </w:p>
    <w:p w14:paraId="3AA2423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（二）管网问题：我县部分农村的供水管网建设年代久远，管材多为</w:t>
      </w:r>
      <w:r>
        <w:rPr>
          <w:rFonts w:hint="eastAsia" w:ascii="Times New Roman" w:hAnsi="Times New Roman" w:eastAsia="仿宋" w:cs="仿宋_GB2312"/>
          <w:color w:val="auto"/>
          <w:sz w:val="28"/>
          <w:szCs w:val="28"/>
        </w:rPr>
        <w:t>PVC</w:t>
      </w:r>
      <w:r>
        <w:rPr>
          <w:rFonts w:hint="eastAsia" w:ascii="仿宋" w:hAnsi="仿宋" w:eastAsia="仿宋" w:cs="仿宋"/>
          <w:color w:val="auto"/>
          <w:sz w:val="28"/>
          <w:szCs w:val="28"/>
        </w:rPr>
        <w:t>及</w:t>
      </w:r>
      <w:r>
        <w:rPr>
          <w:rFonts w:hint="eastAsia" w:ascii="Times New Roman" w:hAnsi="Times New Roman" w:eastAsia="仿宋" w:cs="仿宋_GB2312"/>
          <w:color w:val="auto"/>
          <w:sz w:val="28"/>
          <w:szCs w:val="28"/>
        </w:rPr>
        <w:t>UPVC</w:t>
      </w:r>
      <w:r>
        <w:rPr>
          <w:rFonts w:hint="eastAsia" w:ascii="仿宋" w:hAnsi="仿宋" w:eastAsia="仿宋" w:cs="仿宋"/>
          <w:color w:val="auto"/>
          <w:sz w:val="28"/>
          <w:szCs w:val="28"/>
        </w:rPr>
        <w:t>，随着年代久远，管道在未来可预见的范围内将会逐步出现老化、堵塞、渗漏等现象，需要分年度逐步对管网进行更新改造，以满足人民群众对未来生活用水的需求。</w:t>
      </w:r>
    </w:p>
    <w:p w14:paraId="5C40A78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三）管理问题：我县农村饮水工程中水表安装尚未普及，为水费收缴及工程后续运行、维护、管理带来诸多不便。为了实现供水收费与供水设施运行、维护、管理的收支平衡，达到工程建成交付使用后的可持续、高效运行，需要逐步推广、普及水表。</w:t>
      </w:r>
    </w:p>
    <w:p w14:paraId="7527A34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四）资金问题：农村饮水具有一定公益属性和社会属性，前期投入资金大，交付使用后运行、维护、管理需要持续投入，不以盈利为目的，这是农村饮水的基本属性。资金投入单靠县地方财政承担，压力大，难以实现跨越发展。</w:t>
      </w:r>
    </w:p>
    <w:p w14:paraId="45043650">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六</w:t>
      </w:r>
      <w:r>
        <w:rPr>
          <w:rFonts w:hint="eastAsia" w:ascii="仿宋" w:hAnsi="仿宋" w:eastAsia="仿宋" w:cs="仿宋"/>
          <w:b/>
          <w:bCs/>
          <w:color w:val="auto"/>
          <w:sz w:val="28"/>
          <w:szCs w:val="28"/>
        </w:rPr>
        <w:t>、水生态与环境需要加强修复与保护</w:t>
      </w:r>
      <w:bookmarkEnd w:id="127"/>
    </w:p>
    <w:p w14:paraId="4EBEE596">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煤炭和煤层气储量丰富，是我县支柱产业。煤矿采空区地表水量急剧减少、地下水被破坏，与居民饮水、农业用水、工业用水需求矛盾凸显，而且趋向于愈来愈尖锐；煤层气资源的开采为整个县域经济持续稳定发展做出了重要的贡献，同时也对县域范围内的水文地质环境产生极为明显的不可逆作用,从而破坏了地下水资源的自然赋存条件,使本来就已经十分紧张的区域水资源供需矛盾更加尖锐。由于我县的资源禀赋情况，未来若干年我县以煤炭煤层气为主的能源格局不会有太大变化。然而，在煤炭开采的同时，与之伴随而来的水环境问题也日益严重，煤层开采引起的水资源短缺枯竭、水体污染等一系列问题都亟待解决。</w:t>
      </w:r>
    </w:p>
    <w:p w14:paraId="0BAEE1F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目前，全县仍有</w:t>
      </w:r>
      <w:r>
        <w:rPr>
          <w:rFonts w:ascii="Times New Roman" w:hAnsi="Times New Roman" w:eastAsia="仿宋" w:cs="仿宋_GB2312"/>
          <w:color w:val="auto"/>
          <w:sz w:val="28"/>
          <w:szCs w:val="28"/>
        </w:rPr>
        <w:t>1360</w:t>
      </w:r>
      <w:r>
        <w:rPr>
          <w:rFonts w:ascii="Times New Roman" w:hAnsi="Times New Roman" w:eastAsia="仿宋"/>
          <w:color w:val="auto"/>
          <w:sz w:val="28"/>
          <w:szCs w:val="28"/>
        </w:rPr>
        <w:t>.</w:t>
      </w:r>
      <w:r>
        <w:rPr>
          <w:rFonts w:ascii="Times New Roman" w:hAnsi="Times New Roman" w:eastAsia="仿宋" w:cs="仿宋_GB2312"/>
          <w:color w:val="auto"/>
          <w:sz w:val="28"/>
          <w:szCs w:val="28"/>
        </w:rPr>
        <w:t>04km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的水土流失面积有待治理，再加上近期开发建设项目增加，边治理边破坏现象仍然很严重。每年汛期因水力侵蚀造成的水土流失日趋严重，导致我县土壤贫瘠，河道、水库淤积，生态环境恶化，洪涝灾害频发。</w:t>
      </w:r>
    </w:p>
    <w:p w14:paraId="754DEBF3">
      <w:pPr>
        <w:snapToGrid w:val="0"/>
        <w:spacing w:line="360" w:lineRule="auto"/>
        <w:ind w:firstLine="562" w:firstLineChars="200"/>
        <w:rPr>
          <w:rFonts w:ascii="仿宋" w:hAnsi="仿宋" w:eastAsia="仿宋" w:cs="仿宋"/>
          <w:b/>
          <w:bCs/>
          <w:color w:val="auto"/>
          <w:sz w:val="28"/>
          <w:szCs w:val="28"/>
        </w:rPr>
      </w:pPr>
      <w:bookmarkStart w:id="128" w:name="_Toc3665"/>
      <w:r>
        <w:rPr>
          <w:rFonts w:hint="eastAsia" w:ascii="Times New Roman" w:hAnsi="Times New Roman" w:eastAsia="仿宋" w:cs="仿宋_GB2312"/>
          <w:b/>
          <w:bCs/>
          <w:color w:val="auto"/>
          <w:sz w:val="28"/>
          <w:szCs w:val="28"/>
        </w:rPr>
        <w:t>七</w:t>
      </w:r>
      <w:r>
        <w:rPr>
          <w:rFonts w:hint="eastAsia" w:ascii="仿宋" w:hAnsi="仿宋" w:eastAsia="仿宋" w:cs="仿宋"/>
          <w:b/>
          <w:bCs/>
          <w:color w:val="auto"/>
          <w:sz w:val="28"/>
          <w:szCs w:val="28"/>
        </w:rPr>
        <w:t>、节水意识、用水效率有待进一步提高</w:t>
      </w:r>
      <w:bookmarkEnd w:id="128"/>
    </w:p>
    <w:p w14:paraId="73BCCD6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城乡居民计划用水、节约用水观念不强，浪费水现象严重；城市供水管网老化，跑冒滴漏现象严重；节水器具推广难度大；循环水利用率及中水回用率不高；农业灌溉渠系不配套；在水量不变的情况下，要保证工农业生产、居民生活用水和良好的水生态环境，不仅要加强人们的节水意识，更重要的是必须从政府层面调整工业布局和结构，加强节水工程建设，构建节水型社会。</w:t>
      </w:r>
    </w:p>
    <w:p w14:paraId="3F6E25C4">
      <w:pPr>
        <w:snapToGrid w:val="0"/>
        <w:spacing w:line="360" w:lineRule="auto"/>
        <w:ind w:firstLine="562" w:firstLineChars="200"/>
        <w:rPr>
          <w:rFonts w:ascii="仿宋" w:hAnsi="仿宋" w:eastAsia="仿宋" w:cs="仿宋"/>
          <w:b/>
          <w:bCs/>
          <w:color w:val="auto"/>
          <w:sz w:val="28"/>
          <w:szCs w:val="28"/>
        </w:rPr>
      </w:pPr>
      <w:bookmarkStart w:id="129" w:name="_Toc3763"/>
      <w:r>
        <w:rPr>
          <w:rFonts w:hint="eastAsia" w:ascii="Times New Roman" w:hAnsi="Times New Roman" w:eastAsia="仿宋" w:cs="仿宋_GB2312"/>
          <w:b/>
          <w:bCs/>
          <w:color w:val="auto"/>
          <w:sz w:val="28"/>
          <w:szCs w:val="28"/>
        </w:rPr>
        <w:t>八</w:t>
      </w:r>
      <w:r>
        <w:rPr>
          <w:rFonts w:hint="eastAsia" w:ascii="仿宋" w:hAnsi="仿宋" w:eastAsia="仿宋" w:cs="仿宋"/>
          <w:b/>
          <w:bCs/>
          <w:color w:val="auto"/>
          <w:sz w:val="28"/>
          <w:szCs w:val="28"/>
        </w:rPr>
        <w:t>、水旱灾害防御仍然是重点</w:t>
      </w:r>
      <w:bookmarkEnd w:id="129"/>
    </w:p>
    <w:p w14:paraId="031C9BE4">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受地形、地势、气候的影响，沁水县的水文特征显现旱灾的长期性和洪灾的突发性两大特点，防洪抗旱减灾能力低，防控难度大。近年来，受全球气候变暖和经济社会用水增加的影响，旱灾频次增加、灾情加重。农业丰收摆脱不了气候的影响，抗旱任务艰巨。我县虽然“十三五”期间在集镇及乡村山洪防治方面处理了一些应急问题，但中小河流、山洪沟道及边山峪口村庄点多面广，防洪问题仍然不容忽视。经过多年建设，基本构建了较为完善的水旱灾害防御工程和非工程措施体系，为战胜历次大洪水和大面积干旱奠定了基础，但目前还存在着一些短板和薄弱环节。</w:t>
      </w:r>
    </w:p>
    <w:p w14:paraId="02FB8ED5">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工程体系方面：</w:t>
      </w:r>
      <w:r>
        <w:rPr>
          <w:rFonts w:hint="eastAsia" w:ascii="仿宋" w:hAnsi="仿宋" w:eastAsia="仿宋" w:cs="仿宋"/>
          <w:color w:val="auto"/>
          <w:sz w:val="28"/>
          <w:szCs w:val="28"/>
        </w:rPr>
        <w:t>一些河流缺乏防洪控制性工程，调控洪水的手段不足；重要河段和大量小河流堤防标准偏低，或未达到规划的防洪标准，还需进一步加强治理；部分地区排涝能力不足，河道行洪障碍多，阻水现象严重；水电站、淤地坝数量多，普遍存在工程标准偏低、运行管理投入不足、维修养护不到位等问题，安全度汛压力很大。蓄滞洪区建设有待加强。</w:t>
      </w:r>
    </w:p>
    <w:p w14:paraId="1AAF6FD4">
      <w:pPr>
        <w:snapToGrid w:val="0"/>
        <w:spacing w:line="360" w:lineRule="auto"/>
        <w:ind w:firstLine="560" w:firstLineChars="200"/>
        <w:rPr>
          <w:color w:val="auto"/>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非工程措施方面：</w:t>
      </w:r>
      <w:r>
        <w:rPr>
          <w:rFonts w:hint="eastAsia" w:ascii="仿宋" w:hAnsi="仿宋" w:eastAsia="仿宋" w:cs="仿宋"/>
          <w:color w:val="auto"/>
          <w:sz w:val="28"/>
          <w:szCs w:val="28"/>
        </w:rPr>
        <w:t>局地突发性、短历时强降雨预报难度大，河流急，洪水预见期短，实测资料缺乏，预报能力不足；山洪灾害和中小河流洪水监测预报水平还需提升，预警发布机制有待完善，山洪灾害仍是造成人员伤亡的主要原因；部分水工程的防洪调度方案、超标洪水防御预案、水库汛期调度运用计划等不够完善，实用性和可操作性有待加强；水工程防灾联合调度仍处在探索阶段，统筹水利、应急、国土、住建、交通等多部门的调度机制还不够完善，调度的信息化、智慧化程度有待提高；一些河流、山洪沟多年未发生大洪水，少数干部群众对暴雨洪水的致灾性认识不足，警惕性不够，缺乏防汛抗洪实战经验，防灾避险意识和能力有待增强。</w:t>
      </w:r>
    </w:p>
    <w:p w14:paraId="51F62DCE">
      <w:pPr>
        <w:snapToGrid w:val="0"/>
        <w:spacing w:line="360" w:lineRule="auto"/>
        <w:ind w:firstLine="562" w:firstLineChars="200"/>
        <w:rPr>
          <w:color w:val="auto"/>
        </w:rPr>
      </w:pPr>
      <w:bookmarkStart w:id="130" w:name="_Toc24608"/>
      <w:r>
        <w:rPr>
          <w:rFonts w:hint="eastAsia" w:ascii="Times New Roman" w:hAnsi="Times New Roman" w:eastAsia="仿宋" w:cs="仿宋_GB2312"/>
          <w:b/>
          <w:bCs/>
          <w:color w:val="auto"/>
          <w:sz w:val="28"/>
          <w:szCs w:val="28"/>
        </w:rPr>
        <w:t>九</w:t>
      </w:r>
      <w:r>
        <w:rPr>
          <w:rFonts w:hint="eastAsia" w:ascii="仿宋" w:hAnsi="仿宋" w:eastAsia="仿宋" w:cs="仿宋"/>
          <w:b/>
          <w:bCs/>
          <w:color w:val="auto"/>
          <w:sz w:val="28"/>
          <w:szCs w:val="28"/>
        </w:rPr>
        <w:t>、基层水利队伍力量薄弱</w:t>
      </w:r>
      <w:bookmarkEnd w:id="130"/>
    </w:p>
    <w:p w14:paraId="4E5477A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基层水利组织有待加强，由于水利员平时身兼数职，使农村水利建设的计划、任务难以得到有效落实，形成了业务管理上的断层。水利人才队伍由乡镇政府直接管理，县水务局只是负责对水利员进行业务指导。这种管理体制导致县水利局无法根据工作需要统一调整配备人员，有的乡镇还将水利员调作它用或安排业务知识欠缺的人员从事水利管理，造成了水利管理职责不明和人员管理上的失控，基层水利管理作用难以发挥。</w:t>
      </w:r>
    </w:p>
    <w:p w14:paraId="6755CA7C">
      <w:pPr>
        <w:pStyle w:val="8"/>
        <w:rPr>
          <w:color w:val="auto"/>
        </w:rPr>
      </w:pPr>
      <w:bookmarkStart w:id="131" w:name="_Toc29173"/>
      <w:bookmarkStart w:id="132" w:name="_Toc9964"/>
      <w:bookmarkStart w:id="133" w:name="_Toc22484"/>
      <w:bookmarkStart w:id="134" w:name="_Toc77"/>
      <w:bookmarkStart w:id="135" w:name="_Toc2909"/>
      <w:bookmarkStart w:id="136" w:name="_Toc2469"/>
      <w:bookmarkStart w:id="137" w:name="_Toc2142"/>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rFonts w:hint="eastAsia"/>
          <w:color w:val="auto"/>
        </w:rPr>
        <w:t xml:space="preserve"> </w:t>
      </w:r>
      <w:r>
        <w:rPr>
          <w:color w:val="auto"/>
        </w:rPr>
        <w:t>形势分析</w:t>
      </w:r>
      <w:bookmarkEnd w:id="131"/>
      <w:bookmarkEnd w:id="132"/>
      <w:bookmarkEnd w:id="133"/>
      <w:bookmarkEnd w:id="134"/>
      <w:bookmarkEnd w:id="135"/>
      <w:bookmarkEnd w:id="136"/>
      <w:bookmarkEnd w:id="137"/>
    </w:p>
    <w:p w14:paraId="6AF221D5">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首先，推动经济社会持续健康发展，对提升水利综合保障能力提出了新要求。</w:t>
      </w:r>
      <w:r>
        <w:rPr>
          <w:rFonts w:eastAsia="仿宋_GB2312"/>
          <w:snapToGrid w:val="0"/>
          <w:color w:val="auto"/>
          <w:kern w:val="0"/>
          <w:sz w:val="28"/>
          <w:szCs w:val="28"/>
        </w:rPr>
        <w:t>当前和以后一段时间，我</w:t>
      </w:r>
      <w:r>
        <w:rPr>
          <w:rFonts w:hint="eastAsia" w:eastAsia="仿宋_GB2312"/>
          <w:snapToGrid w:val="0"/>
          <w:color w:val="auto"/>
          <w:kern w:val="0"/>
          <w:sz w:val="28"/>
          <w:szCs w:val="28"/>
        </w:rPr>
        <w:t>县</w:t>
      </w:r>
      <w:r>
        <w:rPr>
          <w:rFonts w:eastAsia="仿宋_GB2312"/>
          <w:snapToGrid w:val="0"/>
          <w:color w:val="auto"/>
          <w:kern w:val="0"/>
          <w:sz w:val="28"/>
          <w:szCs w:val="28"/>
        </w:rPr>
        <w:t>以加快建设美丽</w:t>
      </w:r>
      <w:r>
        <w:rPr>
          <w:rFonts w:hint="eastAsia" w:eastAsia="仿宋_GB2312"/>
          <w:snapToGrid w:val="0"/>
          <w:color w:val="auto"/>
          <w:kern w:val="0"/>
          <w:sz w:val="28"/>
          <w:szCs w:val="28"/>
        </w:rPr>
        <w:t>城市</w:t>
      </w:r>
      <w:r>
        <w:rPr>
          <w:rFonts w:eastAsia="仿宋_GB2312"/>
          <w:snapToGrid w:val="0"/>
          <w:color w:val="auto"/>
          <w:kern w:val="0"/>
          <w:sz w:val="28"/>
          <w:szCs w:val="28"/>
        </w:rPr>
        <w:t>、全省率先全面建成小康社会为目标，发展方式进入经济社会转型升级期。全球气候变暖，极端性气候灾害频发，对防洪保安能力提出了新的要求；提高农业综合生产能力、保障饮水安全以及改善村容村貌等社会主义新农村建设任务对农村水利提出了新的要求；随着人民生活水平的提高，对供水安全及改善水环境提出了新的要求。</w:t>
      </w:r>
    </w:p>
    <w:p w14:paraId="6126357E">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其次，保障和改善民生，对大力发展农村水利提出了新要求。</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在经济转型跨越发展的基础上，加快推进以改善民生为重点的社会建设，着力保障和改善民生，更加强调民富、民生，更加注重社会公益事业和生态环境建设，提高城乡居民收入和生活水平，构建和谐稳定的社会大局，着力增进民生幸福。防汛抗洪关系生命安危，饮水安全关系身心健康，水利建设关系生存发展，水利工作与人民幸福安康息息相关。全</w:t>
      </w:r>
      <w:r>
        <w:rPr>
          <w:rFonts w:hint="eastAsia" w:eastAsia="仿宋_GB2312"/>
          <w:snapToGrid w:val="0"/>
          <w:color w:val="auto"/>
          <w:kern w:val="0"/>
          <w:sz w:val="28"/>
          <w:szCs w:val="28"/>
        </w:rPr>
        <w:t>县</w:t>
      </w:r>
      <w:r>
        <w:rPr>
          <w:rFonts w:eastAsia="仿宋_GB2312"/>
          <w:snapToGrid w:val="0"/>
          <w:color w:val="auto"/>
          <w:kern w:val="0"/>
          <w:sz w:val="28"/>
          <w:szCs w:val="28"/>
        </w:rPr>
        <w:t>事关民生的农村水利设施薄弱，抗灾能力不强，农业增效、农民增收、农村发展的基础还不牢固。这些都对水利工作提出了更高的要求，水利工作要把保障和改善民生放在更加突出的位置，在加快水利工程建设、加强水资源管理、深化水利改革的同时，着力解决问题最突出、矛盾最集中、群众要求最紧迫的水利问题，增强民生水利保障能力，扩大民生水利成果，使水利更好地惠泽民生，造福人民群众。</w:t>
      </w:r>
    </w:p>
    <w:p w14:paraId="355919D6">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第三，适应经济社会转型，对加强水资源管理与保护提出了新要求。</w:t>
      </w:r>
      <w:r>
        <w:rPr>
          <w:rFonts w:eastAsia="仿宋_GB2312"/>
          <w:snapToGrid w:val="0"/>
          <w:color w:val="auto"/>
          <w:kern w:val="0"/>
          <w:sz w:val="28"/>
          <w:szCs w:val="28"/>
        </w:rPr>
        <w:t>随着我</w:t>
      </w:r>
      <w:r>
        <w:rPr>
          <w:rFonts w:hint="eastAsia" w:eastAsia="仿宋_GB2312"/>
          <w:snapToGrid w:val="0"/>
          <w:color w:val="auto"/>
          <w:kern w:val="0"/>
          <w:sz w:val="28"/>
          <w:szCs w:val="28"/>
        </w:rPr>
        <w:t>县</w:t>
      </w:r>
      <w:r>
        <w:rPr>
          <w:rFonts w:eastAsia="仿宋_GB2312"/>
          <w:snapToGrid w:val="0"/>
          <w:color w:val="auto"/>
          <w:kern w:val="0"/>
          <w:sz w:val="28"/>
          <w:szCs w:val="28"/>
        </w:rPr>
        <w:t>经济社会转型升级，工业化水平和城市化率都将大幅提高，各行各业对水资源的要求更高。因此为保障我</w:t>
      </w:r>
      <w:r>
        <w:rPr>
          <w:rFonts w:hint="eastAsia" w:eastAsia="仿宋_GB2312"/>
          <w:snapToGrid w:val="0"/>
          <w:color w:val="auto"/>
          <w:kern w:val="0"/>
          <w:sz w:val="28"/>
          <w:szCs w:val="28"/>
        </w:rPr>
        <w:t>县</w:t>
      </w:r>
      <w:r>
        <w:rPr>
          <w:rFonts w:eastAsia="仿宋_GB2312"/>
          <w:snapToGrid w:val="0"/>
          <w:color w:val="auto"/>
          <w:kern w:val="0"/>
          <w:sz w:val="28"/>
          <w:szCs w:val="28"/>
        </w:rPr>
        <w:t>经济社会可持续发展，必须加快水资源开发利用为主向开发保护并重转变，局部水生态治理向全面建设水生态文明转变，必须加强水资源管理和保护，严格水资源管理，落实最严格的水资源管理制度，更加注重水安全、水资源、水环境统筹，加快建设节水型社会，全面提升水资源保障能力、水环境保护能力。</w:t>
      </w:r>
    </w:p>
    <w:p w14:paraId="6BFA1A74">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第四，大力推进农业现代化，对加快水利现代化建设步伐提出了新要求。</w:t>
      </w:r>
      <w:r>
        <w:rPr>
          <w:rFonts w:eastAsia="仿宋_GB2312"/>
          <w:snapToGrid w:val="0"/>
          <w:color w:val="auto"/>
          <w:kern w:val="0"/>
          <w:sz w:val="28"/>
          <w:szCs w:val="28"/>
        </w:rPr>
        <w:t>水利是农业发展的基础和保障，没有水利基础设施的现代化就没有农业的现代化，目前存在的农田水利基础设施标准不高，配套不全，区域防洪抗旱能力不强等制约着农业现代化的发展。因此需要加快水利现代化建设步伐，大幅度增加水利投入，积极构建配套齐全、长效管护的农村水利工程体系。</w:t>
      </w:r>
    </w:p>
    <w:p w14:paraId="581D930E">
      <w:pPr>
        <w:pStyle w:val="2"/>
        <w:ind w:firstLine="480"/>
        <w:rPr>
          <w:color w:val="auto"/>
        </w:rPr>
      </w:pPr>
    </w:p>
    <w:p w14:paraId="7B44C65B">
      <w:pPr>
        <w:pStyle w:val="6"/>
        <w:jc w:val="center"/>
        <w:rPr>
          <w:color w:val="auto"/>
        </w:rPr>
      </w:pPr>
      <w:r>
        <w:rPr>
          <w:color w:val="auto"/>
        </w:rPr>
        <w:br w:type="page"/>
      </w:r>
      <w:bookmarkStart w:id="138" w:name="_Toc30154"/>
      <w:bookmarkStart w:id="139" w:name="_Toc16620"/>
      <w:bookmarkStart w:id="140" w:name="_Toc27774"/>
      <w:bookmarkStart w:id="141" w:name="_Toc30881"/>
      <w:r>
        <w:rPr>
          <w:color w:val="auto"/>
        </w:rPr>
        <w:t>第</w:t>
      </w:r>
      <w:r>
        <w:rPr>
          <w:rFonts w:hint="eastAsia"/>
          <w:color w:val="auto"/>
        </w:rPr>
        <w:t>三</w:t>
      </w:r>
      <w:r>
        <w:rPr>
          <w:color w:val="auto"/>
        </w:rPr>
        <w:t>章</w:t>
      </w:r>
      <w:r>
        <w:rPr>
          <w:rFonts w:hint="eastAsia"/>
          <w:color w:val="auto"/>
        </w:rPr>
        <w:t xml:space="preserve">  “十四五”总体规划</w:t>
      </w:r>
      <w:bookmarkEnd w:id="138"/>
      <w:bookmarkEnd w:id="139"/>
      <w:bookmarkEnd w:id="140"/>
      <w:bookmarkEnd w:id="141"/>
    </w:p>
    <w:p w14:paraId="0A6CD836">
      <w:pPr>
        <w:pStyle w:val="7"/>
        <w:rPr>
          <w:color w:val="auto"/>
        </w:rPr>
      </w:pPr>
      <w:bookmarkStart w:id="142" w:name="_Toc2848"/>
      <w:bookmarkStart w:id="143" w:name="_Toc14217"/>
      <w:bookmarkStart w:id="144" w:name="_Toc27460"/>
      <w:bookmarkStart w:id="145" w:name="_Toc20967"/>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指导思想和规划原则</w:t>
      </w:r>
      <w:bookmarkEnd w:id="142"/>
      <w:bookmarkEnd w:id="143"/>
      <w:bookmarkEnd w:id="144"/>
      <w:bookmarkEnd w:id="145"/>
    </w:p>
    <w:p w14:paraId="04D68608">
      <w:pPr>
        <w:pStyle w:val="8"/>
        <w:rPr>
          <w:color w:val="auto"/>
        </w:rPr>
      </w:pPr>
      <w:bookmarkStart w:id="146" w:name="_Toc30065"/>
      <w:bookmarkStart w:id="147" w:name="_Toc25370"/>
      <w:bookmarkStart w:id="148" w:name="_Toc25820"/>
      <w:bookmarkStart w:id="149" w:name="_Toc13041"/>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指导思想</w:t>
      </w:r>
      <w:bookmarkEnd w:id="146"/>
      <w:bookmarkEnd w:id="147"/>
      <w:bookmarkEnd w:id="148"/>
      <w:bookmarkEnd w:id="149"/>
    </w:p>
    <w:p w14:paraId="793B8961">
      <w:pPr>
        <w:pStyle w:val="21"/>
        <w:widowControl/>
        <w:snapToGrid w:val="0"/>
        <w:spacing w:beforeAutospacing="0" w:afterAutospacing="0" w:line="360" w:lineRule="auto"/>
        <w:ind w:firstLine="420"/>
        <w:rPr>
          <w:rFonts w:ascii="仿宋" w:hAnsi="仿宋" w:eastAsia="仿宋" w:cs="仿宋"/>
          <w:color w:val="auto"/>
          <w:sz w:val="28"/>
          <w:szCs w:val="28"/>
        </w:rPr>
      </w:pPr>
      <w:r>
        <w:rPr>
          <w:rFonts w:ascii="仿宋" w:hAnsi="仿宋" w:eastAsia="仿宋" w:cs="仿宋"/>
          <w:color w:val="auto"/>
          <w:sz w:val="28"/>
          <w:szCs w:val="28"/>
        </w:rPr>
        <w:t>以习近平新时代中国特色社会主义思想为指导，全面贯彻党的十八大、十九大和十九届二中、三中、四中、五中全会精神，深入学习贯彻</w:t>
      </w:r>
      <w:r>
        <w:rPr>
          <w:rFonts w:hint="eastAsia" w:ascii="仿宋" w:hAnsi="仿宋" w:eastAsia="仿宋" w:cs="仿宋"/>
          <w:color w:val="auto"/>
          <w:sz w:val="28"/>
          <w:szCs w:val="28"/>
        </w:rPr>
        <w:t>习近平总书记在黄河流域生态保护和高质量发展座谈会上和两次视察山西重要讲话精神为</w:t>
      </w:r>
      <w:r>
        <w:rPr>
          <w:rFonts w:ascii="仿宋" w:hAnsi="仿宋" w:eastAsia="仿宋" w:cs="仿宋"/>
          <w:color w:val="auto"/>
          <w:sz w:val="28"/>
          <w:szCs w:val="28"/>
        </w:rPr>
        <w:t>指</w:t>
      </w:r>
      <w:r>
        <w:rPr>
          <w:rFonts w:hint="eastAsia" w:ascii="仿宋" w:hAnsi="仿宋" w:eastAsia="仿宋" w:cs="仿宋"/>
          <w:color w:val="auto"/>
          <w:sz w:val="28"/>
          <w:szCs w:val="28"/>
        </w:rPr>
        <w:t>引</w:t>
      </w:r>
      <w:r>
        <w:rPr>
          <w:rFonts w:ascii="仿宋" w:hAnsi="仿宋" w:eastAsia="仿宋" w:cs="仿宋"/>
          <w:color w:val="auto"/>
          <w:sz w:val="28"/>
          <w:szCs w:val="28"/>
        </w:rPr>
        <w:t>，</w:t>
      </w:r>
      <w:r>
        <w:rPr>
          <w:rFonts w:hint="eastAsia" w:ascii="仿宋" w:hAnsi="仿宋" w:eastAsia="仿宋" w:cs="仿宋"/>
          <w:color w:val="auto"/>
          <w:sz w:val="28"/>
          <w:szCs w:val="28"/>
        </w:rPr>
        <w:t>牢固树立“绿水青山就是金山银山”理念，积极践行“节水优先、空间均衡、系统治理、两手发力”的新时期治水思路，以“水利工程补短板、水利行业强监管”的总基调，</w:t>
      </w:r>
      <w:r>
        <w:rPr>
          <w:rFonts w:hint="eastAsia" w:ascii="Times New Roman" w:hAnsi="Times New Roman" w:eastAsia="仿宋"/>
          <w:color w:val="auto"/>
          <w:sz w:val="28"/>
          <w:szCs w:val="28"/>
        </w:rPr>
        <w:t>以党的十九届五中全会审议通过的《中共中央关于制定国民经济和社会发展第十四个五年规划和二〇三五年远景目标的建议》和《</w:t>
      </w:r>
      <w:r>
        <w:rPr>
          <w:rFonts w:ascii="Times New Roman" w:hAnsi="Times New Roman" w:eastAsia="仿宋"/>
          <w:color w:val="auto"/>
          <w:sz w:val="28"/>
          <w:szCs w:val="28"/>
        </w:rPr>
        <w:t>中共晋城市委关于制定国民经济和社会发展第十四个五年规划和二〇三五年远景目标的建议</w:t>
      </w:r>
      <w:r>
        <w:rPr>
          <w:rFonts w:hint="eastAsia" w:ascii="Times New Roman" w:hAnsi="Times New Roman" w:eastAsia="仿宋"/>
          <w:color w:val="auto"/>
          <w:sz w:val="28"/>
          <w:szCs w:val="28"/>
        </w:rPr>
        <w:t>》，</w:t>
      </w:r>
      <w:r>
        <w:rPr>
          <w:rFonts w:ascii="仿宋" w:hAnsi="仿宋" w:eastAsia="仿宋" w:cs="仿宋"/>
          <w:color w:val="auto"/>
          <w:sz w:val="28"/>
          <w:szCs w:val="28"/>
        </w:rPr>
        <w:t>坚持</w:t>
      </w:r>
      <w:r>
        <w:rPr>
          <w:rFonts w:hint="eastAsia" w:ascii="仿宋" w:hAnsi="仿宋" w:eastAsia="仿宋" w:cs="仿宋"/>
          <w:color w:val="auto"/>
          <w:sz w:val="28"/>
          <w:szCs w:val="28"/>
        </w:rPr>
        <w:t>把水资源作为最大的刚性约束，落实以水定城、以水定地、以水定人、以水定产，</w:t>
      </w:r>
      <w:r>
        <w:rPr>
          <w:rFonts w:ascii="仿宋" w:hAnsi="仿宋" w:eastAsia="仿宋" w:cs="仿宋"/>
          <w:color w:val="auto"/>
          <w:sz w:val="28"/>
          <w:szCs w:val="28"/>
        </w:rPr>
        <w:t>因地制宜、分类施策，上下游、干支流、左右岸统筹谋划</w:t>
      </w:r>
      <w:r>
        <w:rPr>
          <w:rFonts w:hint="eastAsia" w:ascii="仿宋" w:hAnsi="仿宋" w:eastAsia="仿宋" w:cs="仿宋"/>
          <w:color w:val="auto"/>
          <w:sz w:val="28"/>
          <w:szCs w:val="28"/>
        </w:rPr>
        <w:t>，以重点水利工程建设为抓手，以“绿”为主题，聚焦水生态建设，建成与经济社会发展和生态文明建设要求相适应、与国家现代化进程相协调的水旱灾害防御、水资源节约集约利用与优化配置、水资源保护和河湖健康保障体系。</w:t>
      </w:r>
    </w:p>
    <w:p w14:paraId="31CB8798">
      <w:pPr>
        <w:pStyle w:val="8"/>
        <w:rPr>
          <w:color w:val="auto"/>
        </w:rPr>
      </w:pPr>
      <w:bookmarkStart w:id="150" w:name="_Toc30111"/>
      <w:bookmarkStart w:id="151" w:name="_Toc21834"/>
      <w:bookmarkStart w:id="152" w:name="_Toc8519"/>
      <w:bookmarkStart w:id="153" w:name="_Toc3856"/>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规划原则</w:t>
      </w:r>
      <w:bookmarkEnd w:id="150"/>
      <w:bookmarkEnd w:id="151"/>
      <w:bookmarkEnd w:id="152"/>
      <w:bookmarkEnd w:id="153"/>
    </w:p>
    <w:p w14:paraId="133AF86C">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一、坚持节水优先、高效利用。</w:t>
      </w:r>
    </w:p>
    <w:p w14:paraId="34DB8DC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经济社会发展的关系，强化水资源管理，落实以水而定、量水而行，把水资源作为最大刚性约束，以水定城，以水定地，以水定人，以水定产，推进水资源集约节约利用，促进人口经济与水资源水环境水生态承载力相协调。 </w:t>
      </w:r>
    </w:p>
    <w:p w14:paraId="3D11CD32">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坚持统筹兼顾、综合施策。</w:t>
      </w:r>
    </w:p>
    <w:p w14:paraId="0B616FE0">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因地制宜，项目牵引，重点补好水生态修复、水土流失、供水、防洪、水利信息化工程短板。建立务实高效管用的监管体系，加强对水资源、河流湖泊、水土保持、水旱灾害防御、水利工程、水利资金等的监管。 </w:t>
      </w:r>
    </w:p>
    <w:p w14:paraId="119402DC">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坚持重在保护、要在治理。</w:t>
      </w:r>
    </w:p>
    <w:p w14:paraId="2DA2539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处理好水与生态系统中其他要素的关系，坚持山水林田湖草系统治理，水资源、水环境、水生态、水灾害问题统筹解决，实施综合治理、系统治理、源头治理，共同抓好大保护，协同推进大治理。 </w:t>
      </w:r>
    </w:p>
    <w:p w14:paraId="4133E9FF">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坚持改革创新，激发活力。</w:t>
      </w:r>
    </w:p>
    <w:p w14:paraId="6DF4F70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处理好政府与市场的关系，充分发挥市场配置资源的决定性作用。水源、水权、水利、水工、 水务“五水综改”协同发力，深化水利重点领域改革创新，构建完善的水治理体系。</w:t>
      </w:r>
    </w:p>
    <w:p w14:paraId="6BA227DC">
      <w:pPr>
        <w:snapToGrid w:val="0"/>
        <w:spacing w:line="360" w:lineRule="auto"/>
        <w:ind w:firstLine="602" w:firstLineChars="200"/>
        <w:rPr>
          <w:rFonts w:ascii="Times New Roman" w:hAnsi="Times New Roman" w:eastAsia="仿宋"/>
          <w:b/>
          <w:bCs/>
          <w:color w:val="auto"/>
          <w:sz w:val="30"/>
          <w:szCs w:val="30"/>
        </w:rPr>
      </w:pPr>
      <w:r>
        <w:rPr>
          <w:rFonts w:hint="eastAsia" w:ascii="Times New Roman" w:hAnsi="Times New Roman" w:eastAsia="仿宋"/>
          <w:b/>
          <w:bCs/>
          <w:color w:val="auto"/>
          <w:sz w:val="30"/>
          <w:szCs w:val="30"/>
        </w:rPr>
        <w:t>五、坚持完善机制，强化监管。</w:t>
      </w:r>
    </w:p>
    <w:p w14:paraId="5478E249">
      <w:pPr>
        <w:pStyle w:val="2"/>
        <w:ind w:firstLine="560"/>
        <w:rPr>
          <w:color w:val="auto"/>
        </w:rPr>
      </w:pPr>
      <w:r>
        <w:rPr>
          <w:rFonts w:hint="eastAsia" w:eastAsia="仿宋"/>
          <w:color w:val="auto"/>
          <w:sz w:val="28"/>
          <w:szCs w:val="28"/>
        </w:rPr>
        <w:t>建立健全水利行业强监管体系，完善监管机制，运用现代科技手段，从注重事后监管向事前、事中、事后监督转变，做到事前要“堵住”、事中要“卡住”，事后要“查住”，保持整个监督过程收尾有机联系，从整体上提高监督效果，确保水利行业监督得到有效加强。</w:t>
      </w:r>
    </w:p>
    <w:p w14:paraId="0D411D5B">
      <w:pPr>
        <w:pStyle w:val="7"/>
        <w:rPr>
          <w:color w:val="auto"/>
        </w:rPr>
      </w:pPr>
      <w:bookmarkStart w:id="154" w:name="_Toc22282"/>
      <w:bookmarkStart w:id="155" w:name="_Toc30435"/>
      <w:bookmarkStart w:id="156" w:name="_Toc15718"/>
      <w:bookmarkStart w:id="157" w:name="_Toc9182"/>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发展目标指标</w:t>
      </w:r>
      <w:bookmarkEnd w:id="154"/>
    </w:p>
    <w:p w14:paraId="7302E1E7">
      <w:pPr>
        <w:pStyle w:val="8"/>
        <w:rPr>
          <w:color w:val="auto"/>
        </w:rPr>
      </w:pPr>
      <w:bookmarkStart w:id="158" w:name="_Toc1353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总体目标</w:t>
      </w:r>
      <w:bookmarkEnd w:id="155"/>
      <w:bookmarkEnd w:id="156"/>
      <w:bookmarkEnd w:id="157"/>
      <w:bookmarkEnd w:id="158"/>
    </w:p>
    <w:p w14:paraId="1291DDEA">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我县将着重提升水生态修复与保护，持续改善农村人居环境，我们将以“节水优先、空间均衡、系统治理、两手发力”为治水思路，把握“水利工程补短板，水利行业强监管”总基调，把水安全提高到战略高度看待，着力解决由水资源短缺、水质污染等带来的水安全问题，重点高质量水利发展，不断深化水利改革，加快建设节水型社会，着力提高水旱灾害综合防治能力、水资源保护能力。</w:t>
      </w:r>
    </w:p>
    <w:p w14:paraId="7DA2E2BE">
      <w:pPr>
        <w:pStyle w:val="8"/>
        <w:rPr>
          <w:color w:val="auto"/>
        </w:rPr>
      </w:pPr>
      <w:bookmarkStart w:id="159" w:name="_Toc757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规划指标</w:t>
      </w:r>
      <w:bookmarkEnd w:id="159"/>
    </w:p>
    <w:p w14:paraId="65F74482">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一、</w:t>
      </w:r>
      <w:r>
        <w:rPr>
          <w:rFonts w:ascii="Times New Roman" w:hAnsi="Times New Roman" w:eastAsia="仿宋"/>
          <w:b/>
          <w:bCs/>
          <w:snapToGrid w:val="0"/>
          <w:color w:val="auto"/>
          <w:kern w:val="0"/>
          <w:sz w:val="28"/>
          <w:szCs w:val="28"/>
        </w:rPr>
        <w:t>水资源集约节约利用目标</w:t>
      </w:r>
    </w:p>
    <w:p w14:paraId="79B64066">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基本建成水资源合理配置和高效利用体系，用水效率进一步提升；基本建成水资源保护和河湖健康保障体系，水功能区水质明显改善，</w:t>
      </w:r>
      <w:r>
        <w:rPr>
          <w:rFonts w:ascii="Times New Roman" w:hAnsi="Times New Roman" w:eastAsia="仿宋"/>
          <w:snapToGrid w:val="0"/>
          <w:color w:val="auto"/>
          <w:kern w:val="0"/>
          <w:sz w:val="28"/>
          <w:szCs w:val="28"/>
        </w:rPr>
        <w:t>地下水基本实现采补平衡</w:t>
      </w:r>
      <w:r>
        <w:rPr>
          <w:rFonts w:hint="eastAsia" w:ascii="Times New Roman" w:hAnsi="Times New Roman" w:eastAsia="仿宋"/>
          <w:snapToGrid w:val="0"/>
          <w:color w:val="auto"/>
          <w:kern w:val="0"/>
          <w:sz w:val="28"/>
          <w:szCs w:val="28"/>
        </w:rPr>
        <w:t>，沁</w:t>
      </w:r>
      <w:r>
        <w:rPr>
          <w:rFonts w:ascii="Times New Roman" w:hAnsi="Times New Roman" w:eastAsia="仿宋"/>
          <w:snapToGrid w:val="0"/>
          <w:color w:val="auto"/>
          <w:kern w:val="0"/>
          <w:sz w:val="28"/>
          <w:szCs w:val="28"/>
        </w:rPr>
        <w:t>河干流取水量大幅度提高，</w:t>
      </w:r>
      <w:r>
        <w:rPr>
          <w:rFonts w:hint="eastAsia" w:ascii="Times New Roman" w:hAnsi="Times New Roman" w:eastAsia="仿宋"/>
          <w:snapToGrid w:val="0"/>
          <w:color w:val="auto"/>
          <w:kern w:val="0"/>
          <w:sz w:val="28"/>
          <w:szCs w:val="28"/>
        </w:rPr>
        <w:t>节水型生产和生活方式基本建立，节水产业初显成效，非常规水利用占比进一步增大，用水效率和效益显著提高。全县</w:t>
      </w:r>
      <w:r>
        <w:rPr>
          <w:rFonts w:hint="eastAsia" w:ascii="Times New Roman" w:hAnsi="Times New Roman" w:eastAsia="仿宋"/>
          <w:color w:val="auto"/>
          <w:kern w:val="0"/>
          <w:sz w:val="28"/>
          <w:szCs w:val="28"/>
        </w:rPr>
        <w:t>用水总量控制在</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61</w:t>
      </w:r>
      <w:r>
        <w:rPr>
          <w:rFonts w:hint="eastAsia" w:ascii="Times New Roman" w:hAnsi="Times New Roman" w:eastAsia="仿宋"/>
          <w:color w:val="auto"/>
          <w:kern w:val="0"/>
          <w:sz w:val="28"/>
          <w:szCs w:val="28"/>
        </w:rPr>
        <w:t>亿m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r>
        <w:rPr>
          <w:rFonts w:ascii="Times New Roman" w:hAnsi="Times New Roman" w:eastAsia="仿宋"/>
          <w:snapToGrid w:val="0"/>
          <w:color w:val="auto"/>
          <w:kern w:val="0"/>
          <w:sz w:val="28"/>
          <w:szCs w:val="28"/>
        </w:rPr>
        <w:t>万元地区生产总值用水量</w:t>
      </w:r>
      <w:r>
        <w:rPr>
          <w:rFonts w:hint="eastAsia" w:ascii="Times New Roman" w:hAnsi="Times New Roman" w:eastAsia="仿宋"/>
          <w:snapToGrid w:val="0"/>
          <w:color w:val="auto"/>
          <w:kern w:val="0"/>
          <w:sz w:val="28"/>
          <w:szCs w:val="28"/>
        </w:rPr>
        <w:t>、万元工业增加值用水量较</w:t>
      </w:r>
      <w:r>
        <w:rPr>
          <w:rFonts w:hint="eastAsia"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年均分别</w:t>
      </w:r>
      <w:r>
        <w:rPr>
          <w:rFonts w:ascii="Times New Roman" w:hAnsi="Times New Roman" w:eastAsia="仿宋"/>
          <w:snapToGrid w:val="0"/>
          <w:color w:val="auto"/>
          <w:kern w:val="0"/>
          <w:sz w:val="28"/>
          <w:szCs w:val="28"/>
        </w:rPr>
        <w:t>下降</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农田灌溉水有效利用系数提高到</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59</w:t>
      </w:r>
      <w:r>
        <w:rPr>
          <w:rFonts w:ascii="Times New Roman" w:hAnsi="Times New Roman" w:eastAsia="仿宋"/>
          <w:snapToGrid w:val="0"/>
          <w:color w:val="auto"/>
          <w:kern w:val="0"/>
          <w:sz w:val="28"/>
          <w:szCs w:val="28"/>
        </w:rPr>
        <w:t>。</w:t>
      </w:r>
    </w:p>
    <w:p w14:paraId="38104236">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二、水生态修复与保护目标</w:t>
      </w:r>
    </w:p>
    <w:p w14:paraId="639085B8">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重点河流生态流量逐步增加。全县地下水超采区得到有效治理，完成河道综合治理长度</w:t>
      </w:r>
      <w:r>
        <w:rPr>
          <w:rFonts w:hint="eastAsia" w:ascii="Times New Roman" w:hAnsi="Times New Roman" w:eastAsia="仿宋" w:cs="仿宋_GB2312"/>
          <w:snapToGrid w:val="0"/>
          <w:color w:val="auto"/>
          <w:kern w:val="0"/>
          <w:sz w:val="28"/>
          <w:szCs w:val="28"/>
        </w:rPr>
        <w:t>219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28k</w:t>
      </w:r>
      <w:r>
        <w:rPr>
          <w:rFonts w:hint="eastAsia" w:ascii="Times New Roman" w:hAnsi="Times New Roman" w:eastAsia="仿宋"/>
          <w:snapToGrid w:val="0"/>
          <w:color w:val="auto"/>
          <w:kern w:val="0"/>
          <w:sz w:val="28"/>
          <w:szCs w:val="28"/>
        </w:rPr>
        <w:t>m，</w:t>
      </w:r>
      <w:r>
        <w:rPr>
          <w:rFonts w:hint="eastAsia" w:ascii="仿宋" w:hAnsi="仿宋" w:eastAsia="仿宋" w:cs="仿宋"/>
          <w:color w:val="auto"/>
          <w:sz w:val="28"/>
          <w:szCs w:val="28"/>
        </w:rPr>
        <w:t>其中：</w:t>
      </w:r>
      <w:r>
        <w:rPr>
          <w:rFonts w:hint="eastAsia" w:ascii="Times New Roman" w:hAnsi="Times New Roman" w:eastAsia="仿宋_GB2312"/>
          <w:bCs/>
          <w:color w:val="auto"/>
          <w:kern w:val="44"/>
          <w:sz w:val="28"/>
          <w:szCs w:val="36"/>
        </w:rPr>
        <w:t>建设</w:t>
      </w:r>
      <w:r>
        <w:rPr>
          <w:rFonts w:hint="eastAsia" w:ascii="仿宋_GB2312" w:hAnsi="仿宋_GB2312" w:eastAsia="仿宋_GB2312" w:cs="仿宋_GB2312"/>
          <w:color w:val="auto"/>
          <w:sz w:val="28"/>
          <w:szCs w:val="28"/>
        </w:rPr>
        <w:t>水系连通及水美乡村建设，</w:t>
      </w:r>
      <w:r>
        <w:rPr>
          <w:rFonts w:hint="eastAsia" w:ascii="仿宋" w:hAnsi="仿宋" w:eastAsia="仿宋" w:cs="仿宋"/>
          <w:color w:val="auto"/>
          <w:sz w:val="28"/>
          <w:szCs w:val="28"/>
        </w:rPr>
        <w:t>治理长度</w:t>
      </w:r>
      <w:r>
        <w:rPr>
          <w:rFonts w:hint="eastAsia" w:ascii="Times New Roman" w:hAnsi="Times New Roman" w:eastAsia="仿宋" w:cs="仿宋_GB2312"/>
          <w:color w:val="auto"/>
          <w:sz w:val="28"/>
          <w:szCs w:val="28"/>
        </w:rPr>
        <w:t>68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28km</w:t>
      </w:r>
      <w:r>
        <w:rPr>
          <w:rFonts w:hint="eastAsia" w:ascii="仿宋" w:hAnsi="仿宋" w:eastAsia="仿宋" w:cs="仿宋"/>
          <w:color w:val="auto"/>
          <w:sz w:val="28"/>
          <w:szCs w:val="28"/>
        </w:rPr>
        <w:t>；</w:t>
      </w:r>
      <w:r>
        <w:rPr>
          <w:rFonts w:hint="eastAsia" w:ascii="Times New Roman" w:hAnsi="Times New Roman" w:eastAsia="仿宋"/>
          <w:snapToGrid w:val="0"/>
          <w:color w:val="auto"/>
          <w:kern w:val="0"/>
          <w:sz w:val="28"/>
          <w:szCs w:val="28"/>
        </w:rPr>
        <w:t>改善水地</w:t>
      </w:r>
      <w:r>
        <w:rPr>
          <w:rFonts w:hint="eastAsia" w:ascii="Times New Roman" w:hAnsi="Times New Roman" w:eastAsia="仿宋" w:cs="仿宋_GB2312"/>
          <w:snapToGrid w:val="0"/>
          <w:color w:val="auto"/>
          <w:kern w:val="0"/>
          <w:sz w:val="28"/>
          <w:szCs w:val="28"/>
        </w:rPr>
        <w:t>1.93万</w:t>
      </w:r>
      <w:r>
        <w:rPr>
          <w:rFonts w:hint="eastAsia" w:ascii="Times New Roman" w:hAnsi="Times New Roman" w:eastAsia="仿宋"/>
          <w:snapToGrid w:val="0"/>
          <w:color w:val="auto"/>
          <w:kern w:val="0"/>
          <w:sz w:val="28"/>
          <w:szCs w:val="28"/>
        </w:rPr>
        <w:t>亩；水土流失得到有效控制，</w:t>
      </w:r>
      <w:r>
        <w:rPr>
          <w:rFonts w:ascii="Times New Roman" w:hAnsi="Times New Roman" w:eastAsia="仿宋"/>
          <w:snapToGrid w:val="0"/>
          <w:color w:val="auto"/>
          <w:kern w:val="0"/>
          <w:sz w:val="28"/>
          <w:szCs w:val="28"/>
        </w:rPr>
        <w:t>大力推进</w:t>
      </w:r>
      <w:r>
        <w:rPr>
          <w:rFonts w:hint="eastAsia" w:ascii="Times New Roman" w:hAnsi="Times New Roman" w:eastAsia="仿宋"/>
          <w:snapToGrid w:val="0"/>
          <w:color w:val="auto"/>
          <w:kern w:val="0"/>
          <w:sz w:val="28"/>
          <w:szCs w:val="28"/>
        </w:rPr>
        <w:t>水土保持治理工程、坡改梯水土保持项目</w:t>
      </w:r>
      <w:r>
        <w:rPr>
          <w:rFonts w:ascii="Times New Roman" w:hAnsi="Times New Roman" w:eastAsia="仿宋"/>
          <w:snapToGrid w:val="0"/>
          <w:color w:val="auto"/>
          <w:kern w:val="0"/>
          <w:sz w:val="28"/>
          <w:szCs w:val="28"/>
        </w:rPr>
        <w:t>建设，完成水土流失综合治理面积</w:t>
      </w:r>
      <w:r>
        <w:rPr>
          <w:rFonts w:hint="eastAsia" w:ascii="Times New Roman" w:hAnsi="Times New Roman" w:eastAsia="仿宋"/>
          <w:snapToGrid w:val="0"/>
          <w:color w:val="auto"/>
          <w:kern w:val="0"/>
          <w:sz w:val="28"/>
          <w:szCs w:val="28"/>
        </w:rPr>
        <w:t>4</w:t>
      </w:r>
      <w:r>
        <w:rPr>
          <w:rFonts w:hint="eastAsia" w:ascii="Times New Roman" w:hAnsi="Times New Roman" w:eastAsia="仿宋" w:cs="仿宋_GB2312"/>
          <w:snapToGrid w:val="0"/>
          <w:color w:val="auto"/>
          <w:kern w:val="0"/>
          <w:sz w:val="28"/>
          <w:szCs w:val="28"/>
        </w:rPr>
        <w:t>25.35</w:t>
      </w:r>
      <w:r>
        <w:rPr>
          <w:rFonts w:ascii="Times New Roman" w:hAnsi="Times New Roman" w:eastAsia="仿宋" w:cs="仿宋_GB2312"/>
          <w:snapToGrid w:val="0"/>
          <w:color w:val="auto"/>
          <w:kern w:val="0"/>
          <w:sz w:val="28"/>
          <w:szCs w:val="28"/>
        </w:rPr>
        <w:t>k</w:t>
      </w:r>
      <w:r>
        <w:rPr>
          <w:rFonts w:ascii="Times New Roman" w:hAnsi="Times New Roman" w:eastAsia="仿宋"/>
          <w:snapToGrid w:val="0"/>
          <w:color w:val="auto"/>
          <w:kern w:val="0"/>
          <w:sz w:val="28"/>
          <w:szCs w:val="28"/>
        </w:rPr>
        <w:t>m</w:t>
      </w:r>
      <w:r>
        <w:rPr>
          <w:rFonts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水土流失趋势得到进一步遏制。</w:t>
      </w:r>
    </w:p>
    <w:p w14:paraId="06EE3DBC">
      <w:pPr>
        <w:autoSpaceDE w:val="0"/>
        <w:autoSpaceDN w:val="0"/>
        <w:adjustRightInd w:val="0"/>
        <w:snapToGrid w:val="0"/>
        <w:spacing w:line="360" w:lineRule="auto"/>
        <w:ind w:left="420" w:leftChars="200"/>
        <w:rPr>
          <w:rFonts w:eastAsia="仿宋_GB2312"/>
          <w:b/>
          <w:color w:val="auto"/>
          <w:kern w:val="44"/>
          <w:sz w:val="28"/>
          <w:szCs w:val="36"/>
        </w:rPr>
      </w:pPr>
      <w:r>
        <w:rPr>
          <w:rFonts w:hint="eastAsia" w:eastAsia="仿宋_GB2312"/>
          <w:b/>
          <w:color w:val="auto"/>
          <w:kern w:val="44"/>
          <w:sz w:val="28"/>
          <w:szCs w:val="36"/>
        </w:rPr>
        <w:t>三、农村供水</w:t>
      </w:r>
    </w:p>
    <w:p w14:paraId="0ADC0166">
      <w:pPr>
        <w:autoSpaceDE w:val="0"/>
        <w:autoSpaceDN w:val="0"/>
        <w:adjustRightInd w:val="0"/>
        <w:snapToGrid w:val="0"/>
        <w:spacing w:line="360" w:lineRule="auto"/>
        <w:ind w:firstLine="560" w:firstLineChars="200"/>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27390D18">
      <w:pPr>
        <w:pStyle w:val="7"/>
        <w:rPr>
          <w:color w:val="auto"/>
        </w:rPr>
      </w:pPr>
      <w:bookmarkStart w:id="160" w:name="_Toc28005"/>
      <w:bookmarkStart w:id="161" w:name="_Toc6786"/>
      <w:bookmarkStart w:id="162" w:name="_Toc531"/>
      <w:bookmarkStart w:id="163" w:name="_Toc13071"/>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w:t>
      </w:r>
      <w:r>
        <w:rPr>
          <w:color w:val="auto"/>
        </w:rPr>
        <w:t>规划依据及规划水平年</w:t>
      </w:r>
      <w:bookmarkEnd w:id="160"/>
      <w:bookmarkEnd w:id="161"/>
      <w:bookmarkEnd w:id="162"/>
      <w:bookmarkEnd w:id="163"/>
    </w:p>
    <w:p w14:paraId="3EC8C050">
      <w:pPr>
        <w:pStyle w:val="8"/>
        <w:spacing w:before="140" w:after="140"/>
        <w:rPr>
          <w:color w:val="auto"/>
        </w:rPr>
      </w:pPr>
      <w:bookmarkStart w:id="164" w:name="_Toc1392"/>
      <w:bookmarkStart w:id="165" w:name="_Toc14665"/>
      <w:bookmarkStart w:id="166" w:name="_Toc15919"/>
      <w:bookmarkStart w:id="167" w:name="_Toc26277"/>
      <w:bookmarkStart w:id="168" w:name="_Toc11026"/>
      <w:bookmarkStart w:id="169" w:name="_Toc11946"/>
      <w:bookmarkStart w:id="170" w:name="_Toc23549"/>
      <w:bookmarkStart w:id="171" w:name="_Toc18217"/>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1</w:t>
      </w:r>
      <w:r>
        <w:rPr>
          <w:rFonts w:hint="eastAsia"/>
          <w:color w:val="auto"/>
        </w:rPr>
        <w:t xml:space="preserve">  </w:t>
      </w:r>
      <w:r>
        <w:rPr>
          <w:color w:val="auto"/>
        </w:rPr>
        <w:t>规划依据</w:t>
      </w:r>
      <w:bookmarkEnd w:id="164"/>
      <w:bookmarkEnd w:id="165"/>
      <w:bookmarkEnd w:id="166"/>
      <w:bookmarkEnd w:id="167"/>
      <w:bookmarkEnd w:id="168"/>
      <w:bookmarkEnd w:id="169"/>
      <w:bookmarkEnd w:id="170"/>
      <w:bookmarkEnd w:id="171"/>
    </w:p>
    <w:p w14:paraId="42DED4B6">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相关法律法规</w:t>
      </w:r>
    </w:p>
    <w:p w14:paraId="0D6AA1D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14:paraId="60F5F794">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《中华人民共和国防洪法》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14:paraId="02B10664">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《中华人民共和国水土保持法》</w:t>
      </w:r>
      <w:r>
        <w:rPr>
          <w:rFonts w:hint="eastAsia" w:ascii="Times New Roman" w:hAnsi="Times New Roman" w:eastAsia="仿宋"/>
          <w:snapToGrid w:val="0"/>
          <w:color w:val="auto"/>
          <w:kern w:val="0"/>
          <w:sz w:val="28"/>
          <w:szCs w:val="28"/>
        </w:rPr>
        <w:t>（中华人民共和国主席令第</w:t>
      </w:r>
      <w:r>
        <w:rPr>
          <w:rFonts w:hint="eastAsia" w:ascii="Times New Roman" w:hAnsi="Times New Roman" w:eastAsia="仿宋" w:cs="仿宋_GB2312"/>
          <w:snapToGrid w:val="0"/>
          <w:color w:val="auto"/>
          <w:kern w:val="0"/>
          <w:sz w:val="28"/>
          <w:szCs w:val="28"/>
        </w:rPr>
        <w:t>39</w:t>
      </w:r>
      <w:r>
        <w:rPr>
          <w:rFonts w:hint="eastAsia" w:ascii="Times New Roman" w:hAnsi="Times New Roman" w:eastAsia="仿宋"/>
          <w:snapToGrid w:val="0"/>
          <w:color w:val="auto"/>
          <w:kern w:val="0"/>
          <w:sz w:val="28"/>
          <w:szCs w:val="28"/>
        </w:rPr>
        <w:t>号，</w:t>
      </w:r>
      <w:r>
        <w:rPr>
          <w:rFonts w:hint="eastAsia" w:ascii="Times New Roman" w:hAnsi="Times New Roman" w:eastAsia="仿宋" w:cs="仿宋_GB2312"/>
          <w:snapToGrid w:val="0"/>
          <w:color w:val="auto"/>
          <w:kern w:val="0"/>
          <w:sz w:val="28"/>
          <w:szCs w:val="28"/>
        </w:rPr>
        <w:t>2010</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日修订通过，自</w:t>
      </w:r>
      <w:r>
        <w:rPr>
          <w:rFonts w:hint="eastAsia"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日起实施）</w:t>
      </w:r>
    </w:p>
    <w:p w14:paraId="6A5C1A7D">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eastAsia="仿宋"/>
          <w:snapToGrid w:val="0"/>
          <w:color w:val="auto"/>
          <w:kern w:val="0"/>
          <w:sz w:val="28"/>
          <w:szCs w:val="28"/>
        </w:rPr>
        <w:t>水土保持法实施条例</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color w:val="auto"/>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8</w:t>
      </w:r>
      <w:r>
        <w:rPr>
          <w:rFonts w:hint="eastAsia" w:ascii="Times New Roman" w:hAnsi="Times New Roman" w:eastAsia="仿宋"/>
          <w:snapToGrid w:val="0"/>
          <w:color w:val="auto"/>
          <w:kern w:val="0"/>
          <w:sz w:val="28"/>
          <w:szCs w:val="28"/>
        </w:rPr>
        <w:t>日修</w:t>
      </w:r>
      <w:r>
        <w:rPr>
          <w:rFonts w:hint="eastAsia" w:eastAsia="仿宋"/>
          <w:snapToGrid w:val="0"/>
          <w:color w:val="auto"/>
          <w:kern w:val="0"/>
          <w:sz w:val="28"/>
          <w:szCs w:val="28"/>
        </w:rPr>
        <w:t>订</w:t>
      </w:r>
      <w:r>
        <w:rPr>
          <w:rFonts w:hint="eastAsia" w:ascii="Times New Roman" w:hAnsi="Times New Roman" w:eastAsia="仿宋"/>
          <w:snapToGrid w:val="0"/>
          <w:color w:val="auto"/>
          <w:kern w:val="0"/>
          <w:sz w:val="28"/>
          <w:szCs w:val="28"/>
        </w:rPr>
        <w:t>）；</w:t>
      </w:r>
    </w:p>
    <w:p w14:paraId="1C269FD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ascii="Times New Roman" w:hAnsi="Times New Roman" w:eastAsia="仿宋"/>
          <w:snapToGrid w:val="0"/>
          <w:color w:val="auto"/>
          <w:kern w:val="0"/>
          <w:sz w:val="28"/>
          <w:szCs w:val="28"/>
        </w:rPr>
        <w:t>水污染防治法</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cs="仿宋_GB2312"/>
          <w:color w:val="auto"/>
          <w:sz w:val="28"/>
          <w:szCs w:val="28"/>
        </w:rPr>
        <w:t>201</w:t>
      </w:r>
      <w:r>
        <w:rPr>
          <w:rFonts w:hint="eastAsia" w:ascii="Times New Roman" w:hAnsi="Times New Roman" w:eastAsia="仿宋" w:cs="仿宋_GB2312"/>
          <w:color w:val="auto"/>
          <w:sz w:val="28"/>
          <w:szCs w:val="28"/>
        </w:rPr>
        <w:t>7</w:t>
      </w:r>
      <w:r>
        <w:rPr>
          <w:rFonts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6</w:t>
      </w:r>
      <w:r>
        <w:rPr>
          <w:rFonts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27</w:t>
      </w:r>
      <w:r>
        <w:rPr>
          <w:rFonts w:ascii="Times New Roman" w:hAnsi="Times New Roman" w:eastAsia="仿宋"/>
          <w:snapToGrid w:val="0"/>
          <w:color w:val="auto"/>
          <w:kern w:val="0"/>
          <w:sz w:val="28"/>
          <w:szCs w:val="28"/>
        </w:rPr>
        <w:t>日</w:t>
      </w:r>
      <w:r>
        <w:rPr>
          <w:rFonts w:hint="eastAsia" w:ascii="Times New Roman" w:hAnsi="Times New Roman" w:eastAsia="仿宋"/>
          <w:snapToGrid w:val="0"/>
          <w:color w:val="auto"/>
          <w:kern w:val="0"/>
          <w:sz w:val="28"/>
          <w:szCs w:val="28"/>
        </w:rPr>
        <w:t>修正，</w:t>
      </w:r>
      <w:r>
        <w:rPr>
          <w:rFonts w:hint="eastAsia"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日起施行）；</w:t>
      </w:r>
    </w:p>
    <w:p w14:paraId="7E5F56A1">
      <w:pPr>
        <w:pStyle w:val="2"/>
        <w:ind w:firstLine="560"/>
        <w:rPr>
          <w:rFonts w:eastAsia="仿宋"/>
          <w:snapToGrid w:val="0"/>
          <w:color w:val="auto"/>
          <w:kern w:val="0"/>
          <w:sz w:val="28"/>
          <w:szCs w:val="28"/>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eastAsia="仿宋"/>
          <w:snapToGrid w:val="0"/>
          <w:color w:val="auto"/>
          <w:kern w:val="0"/>
          <w:sz w:val="28"/>
          <w:szCs w:val="28"/>
        </w:rPr>
        <w:t xml:space="preserve">）《建设项目环境保护管理条例》（国务院令第 </w:t>
      </w:r>
      <w:r>
        <w:rPr>
          <w:rFonts w:ascii="Times New Roman" w:hAnsi="Times New Roman" w:eastAsia="仿宋" w:cs="仿宋_GB2312"/>
          <w:snapToGrid w:val="0"/>
          <w:color w:val="auto"/>
          <w:kern w:val="0"/>
          <w:sz w:val="28"/>
          <w:szCs w:val="28"/>
        </w:rPr>
        <w:t>253</w:t>
      </w:r>
      <w:r>
        <w:rPr>
          <w:rFonts w:eastAsia="仿宋"/>
          <w:snapToGrid w:val="0"/>
          <w:color w:val="auto"/>
          <w:kern w:val="0"/>
          <w:sz w:val="28"/>
          <w:szCs w:val="28"/>
        </w:rPr>
        <w:t xml:space="preserve"> </w:t>
      </w:r>
      <w:r>
        <w:rPr>
          <w:rFonts w:hint="eastAsia" w:eastAsia="仿宋"/>
          <w:snapToGrid w:val="0"/>
          <w:color w:val="auto"/>
          <w:kern w:val="0"/>
          <w:sz w:val="28"/>
          <w:szCs w:val="28"/>
        </w:rPr>
        <w:t>号，</w:t>
      </w:r>
      <w:r>
        <w:rPr>
          <w:rFonts w:ascii="Times New Roman" w:hAnsi="Times New Roman" w:eastAsia="仿宋" w:cs="仿宋_GB2312"/>
          <w:snapToGrid w:val="0"/>
          <w:color w:val="auto"/>
          <w:kern w:val="0"/>
          <w:sz w:val="28"/>
          <w:szCs w:val="28"/>
        </w:rPr>
        <w:t>2017</w:t>
      </w:r>
      <w:r>
        <w:rPr>
          <w:rFonts w:eastAsia="仿宋"/>
          <w:snapToGrid w:val="0"/>
          <w:color w:val="auto"/>
          <w:kern w:val="0"/>
          <w:sz w:val="28"/>
          <w:szCs w:val="28"/>
        </w:rPr>
        <w:t xml:space="preserve"> </w:t>
      </w:r>
      <w:r>
        <w:rPr>
          <w:rFonts w:hint="eastAsia" w:eastAsia="仿宋"/>
          <w:snapToGrid w:val="0"/>
          <w:color w:val="auto"/>
          <w:kern w:val="0"/>
          <w:sz w:val="28"/>
          <w:szCs w:val="28"/>
        </w:rPr>
        <w:t>修订）；</w:t>
      </w:r>
    </w:p>
    <w:p w14:paraId="28C03070">
      <w:pPr>
        <w:pStyle w:val="2"/>
        <w:ind w:firstLine="560"/>
        <w:rPr>
          <w:color w:val="auto"/>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eastAsia="仿宋"/>
          <w:snapToGrid w:val="0"/>
          <w:color w:val="auto"/>
          <w:kern w:val="0"/>
          <w:sz w:val="28"/>
          <w:szCs w:val="28"/>
        </w:rPr>
        <w:t>）</w:t>
      </w:r>
      <w:r>
        <w:rPr>
          <w:rFonts w:eastAsia="仿宋"/>
          <w:snapToGrid w:val="0"/>
          <w:color w:val="auto"/>
          <w:kern w:val="0"/>
          <w:sz w:val="28"/>
          <w:szCs w:val="28"/>
        </w:rPr>
        <w:t>《中华人民共和国</w:t>
      </w:r>
      <w:r>
        <w:rPr>
          <w:rFonts w:hint="eastAsia" w:eastAsia="仿宋"/>
          <w:snapToGrid w:val="0"/>
          <w:color w:val="auto"/>
          <w:kern w:val="0"/>
          <w:sz w:val="28"/>
          <w:szCs w:val="28"/>
        </w:rPr>
        <w:t>环境影响评价法</w:t>
      </w:r>
      <w:r>
        <w:rPr>
          <w:rFonts w:eastAsia="仿宋"/>
          <w:snapToGrid w:val="0"/>
          <w:color w:val="auto"/>
          <w:kern w:val="0"/>
          <w:sz w:val="28"/>
          <w:szCs w:val="28"/>
        </w:rPr>
        <w:t>》</w:t>
      </w:r>
      <w:r>
        <w:rPr>
          <w:rFonts w:hint="eastAsia" w:eastAsia="仿宋"/>
          <w:snapToGrid w:val="0"/>
          <w:color w:val="auto"/>
          <w:kern w:val="0"/>
          <w:sz w:val="28"/>
          <w:szCs w:val="28"/>
        </w:rPr>
        <w:t>（</w:t>
      </w:r>
      <w:r>
        <w:rPr>
          <w:rFonts w:hint="eastAsia" w:ascii="Times New Roman" w:hAnsi="Times New Roman" w:eastAsia="仿宋" w:cs="仿宋_GB2312"/>
          <w:color w:val="auto"/>
          <w:sz w:val="28"/>
          <w:szCs w:val="28"/>
        </w:rPr>
        <w:t>2018</w:t>
      </w:r>
      <w:r>
        <w:rPr>
          <w:rFonts w:hint="eastAsia" w:eastAsia="仿宋"/>
          <w:snapToGrid w:val="0"/>
          <w:color w:val="auto"/>
          <w:kern w:val="0"/>
          <w:sz w:val="28"/>
          <w:szCs w:val="28"/>
        </w:rPr>
        <w:t>年</w:t>
      </w:r>
      <w:r>
        <w:rPr>
          <w:rFonts w:hint="eastAsia" w:ascii="Times New Roman" w:hAnsi="Times New Roman" w:eastAsia="仿宋" w:cs="仿宋_GB2312"/>
          <w:color w:val="auto"/>
          <w:sz w:val="28"/>
          <w:szCs w:val="28"/>
        </w:rPr>
        <w:t>12</w:t>
      </w:r>
      <w:r>
        <w:rPr>
          <w:rFonts w:hint="eastAsia" w:eastAsia="仿宋"/>
          <w:snapToGrid w:val="0"/>
          <w:color w:val="auto"/>
          <w:kern w:val="0"/>
          <w:sz w:val="28"/>
          <w:szCs w:val="28"/>
        </w:rPr>
        <w:t>月</w:t>
      </w:r>
      <w:r>
        <w:rPr>
          <w:rFonts w:hint="eastAsia" w:ascii="Times New Roman" w:hAnsi="Times New Roman" w:eastAsia="仿宋" w:cs="仿宋_GB2312"/>
          <w:color w:val="auto"/>
          <w:sz w:val="28"/>
          <w:szCs w:val="28"/>
        </w:rPr>
        <w:t>29</w:t>
      </w:r>
      <w:r>
        <w:rPr>
          <w:rFonts w:hint="eastAsia" w:eastAsia="仿宋"/>
          <w:snapToGrid w:val="0"/>
          <w:color w:val="auto"/>
          <w:kern w:val="0"/>
          <w:sz w:val="28"/>
          <w:szCs w:val="28"/>
        </w:rPr>
        <w:t>日修正）。</w:t>
      </w:r>
    </w:p>
    <w:p w14:paraId="7D57737B">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规</w:t>
      </w:r>
      <w:r>
        <w:rPr>
          <w:rFonts w:hint="eastAsia" w:eastAsia="仿宋_GB2312"/>
          <w:snapToGrid w:val="0"/>
          <w:color w:val="auto"/>
          <w:kern w:val="0"/>
          <w:sz w:val="28"/>
          <w:szCs w:val="28"/>
        </w:rPr>
        <w:t>程规范</w:t>
      </w:r>
    </w:p>
    <w:p w14:paraId="24DF90B5">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）《节水灌溉技术规范》（</w:t>
      </w:r>
      <w:r>
        <w:rPr>
          <w:rFonts w:ascii="Times New Roman" w:hAnsi="Times New Roman" w:eastAsia="仿宋" w:cs="仿宋_GB2312"/>
          <w:snapToGrid w:val="0"/>
          <w:color w:val="auto"/>
          <w:kern w:val="0"/>
          <w:sz w:val="28"/>
          <w:szCs w:val="28"/>
        </w:rPr>
        <w:t>SL207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98</w:t>
      </w:r>
      <w:r>
        <w:rPr>
          <w:rFonts w:hint="eastAsia" w:ascii="Times New Roman" w:hAnsi="Times New Roman" w:eastAsia="仿宋"/>
          <w:snapToGrid w:val="0"/>
          <w:color w:val="auto"/>
          <w:kern w:val="0"/>
          <w:sz w:val="28"/>
          <w:szCs w:val="28"/>
        </w:rPr>
        <w:t xml:space="preserve">）； </w:t>
      </w:r>
    </w:p>
    <w:p w14:paraId="4C75059F">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）《水土保持综合治理技术规范》（</w:t>
      </w:r>
      <w:r>
        <w:rPr>
          <w:rFonts w:ascii="Times New Roman" w:hAnsi="Times New Roman" w:eastAsia="仿宋" w:cs="仿宋_GB2312"/>
          <w:snapToGrid w:val="0"/>
          <w:color w:val="auto"/>
          <w:kern w:val="0"/>
          <w:sz w:val="28"/>
          <w:szCs w:val="28"/>
        </w:rPr>
        <w:t>GBT16453</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2008</w:t>
      </w:r>
      <w:r>
        <w:rPr>
          <w:rFonts w:hint="eastAsia" w:ascii="Times New Roman" w:hAnsi="Times New Roman" w:eastAsia="仿宋"/>
          <w:snapToGrid w:val="0"/>
          <w:color w:val="auto"/>
          <w:kern w:val="0"/>
          <w:sz w:val="28"/>
          <w:szCs w:val="28"/>
        </w:rPr>
        <w:t xml:space="preserve">）； </w:t>
      </w:r>
    </w:p>
    <w:p w14:paraId="5E59B3BA">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）《水资源规划规范》（</w:t>
      </w:r>
      <w:r>
        <w:rPr>
          <w:rFonts w:ascii="Times New Roman" w:hAnsi="Times New Roman" w:eastAsia="仿宋" w:cs="仿宋_GB2312"/>
          <w:snapToGrid w:val="0"/>
          <w:color w:val="auto"/>
          <w:kern w:val="0"/>
          <w:sz w:val="28"/>
          <w:szCs w:val="28"/>
        </w:rPr>
        <w:t>GB</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T51051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151AA1AE">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）《防洪标准》（</w:t>
      </w:r>
      <w:r>
        <w:rPr>
          <w:rFonts w:ascii="Times New Roman" w:hAnsi="Times New Roman" w:eastAsia="仿宋" w:cs="仿宋_GB2312"/>
          <w:snapToGrid w:val="0"/>
          <w:color w:val="auto"/>
          <w:kern w:val="0"/>
          <w:sz w:val="28"/>
          <w:szCs w:val="28"/>
        </w:rPr>
        <w:t>GB50201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4709A06C">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）《防洪规划编制规程》（</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669</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49074B29">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）《河湖生态环境需水计算规范》（</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Z712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674EE38C">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）《江河湖泊生态环境保护系列技术指南》（环办〔</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号）；</w:t>
      </w:r>
    </w:p>
    <w:p w14:paraId="0B3F888E">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）《饮用水水源保护区划分技术规范》（</w:t>
      </w:r>
      <w:r>
        <w:rPr>
          <w:rFonts w:ascii="Times New Roman" w:hAnsi="Times New Roman" w:eastAsia="仿宋" w:cs="仿宋_GB2312"/>
          <w:snapToGrid w:val="0"/>
          <w:color w:val="auto"/>
          <w:kern w:val="0"/>
          <w:sz w:val="28"/>
          <w:szCs w:val="28"/>
        </w:rPr>
        <w:t>HJ338</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 xml:space="preserve">）。 </w:t>
      </w:r>
    </w:p>
    <w:p w14:paraId="5451BD1B">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有关文件及会议精神</w:t>
      </w:r>
    </w:p>
    <w:p w14:paraId="4A1142F3">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）《中共中央、国务院关于加快生态文明建设的意见》（中发〔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14:paraId="6D7C4BD2">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）《国务院关于印发水污染防治行动计划的通知》（国发〔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 xml:space="preserve">号）； </w:t>
      </w:r>
    </w:p>
    <w:p w14:paraId="307CA71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）《国务院关于实行最严格水资源管理制度的意见》（国发〔</w:t>
      </w:r>
      <w:r>
        <w:rPr>
          <w:rFonts w:ascii="Times New Roman" w:hAnsi="Times New Roman" w:eastAsia="仿宋" w:cs="仿宋_GB2312"/>
          <w:snapToGrid w:val="0"/>
          <w:color w:val="auto"/>
          <w:kern w:val="0"/>
          <w:sz w:val="28"/>
          <w:szCs w:val="28"/>
        </w:rPr>
        <w:t>2012</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14:paraId="17AB403A">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）《中共中央国务院关于加快水利改革发展的决定》（</w:t>
      </w:r>
      <w:r>
        <w:rPr>
          <w:rFonts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年中央一号文件）；</w:t>
      </w:r>
    </w:p>
    <w:p w14:paraId="1B54C3C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）《美丽中国建设评估指标体系及实施方案》（发改环资〔</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296</w:t>
      </w:r>
      <w:r>
        <w:rPr>
          <w:rFonts w:hint="eastAsia" w:ascii="Times New Roman" w:hAnsi="Times New Roman" w:eastAsia="仿宋"/>
          <w:snapToGrid w:val="0"/>
          <w:color w:val="auto"/>
          <w:kern w:val="0"/>
          <w:sz w:val="28"/>
          <w:szCs w:val="28"/>
        </w:rPr>
        <w:t>号）；</w:t>
      </w:r>
    </w:p>
    <w:p w14:paraId="28B8972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）《黄河流域生态保护和高质量发展规划纲要》（中共中央办公厅秘书局</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日印发）； </w:t>
      </w:r>
    </w:p>
    <w:p w14:paraId="1F92C4E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）习近平总书记在黄河流域生态保护和高质量发展及视察山西时的重要讲话和重要指示精神；</w:t>
      </w:r>
    </w:p>
    <w:p w14:paraId="52EFF987">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）《山西省沁（丹）河流域生态修复与保护规划（</w:t>
      </w:r>
      <w:r>
        <w:rPr>
          <w:rFonts w:ascii="Times New Roman" w:hAnsi="Times New Roman" w:eastAsia="仿宋" w:cs="仿宋_GB2312"/>
          <w:snapToGrid w:val="0"/>
          <w:color w:val="auto"/>
          <w:kern w:val="0"/>
          <w:sz w:val="28"/>
          <w:szCs w:val="28"/>
        </w:rPr>
        <w:t>2017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2030</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年）》；</w:t>
      </w:r>
    </w:p>
    <w:p w14:paraId="6071F9D1">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&lt;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p>
    <w:p w14:paraId="1D29B270">
      <w:pPr>
        <w:snapToGrid w:val="0"/>
        <w:spacing w:line="360" w:lineRule="auto"/>
        <w:ind w:firstLine="560" w:firstLineChars="200"/>
        <w:rPr>
          <w:rFonts w:eastAsia="仿宋_GB2312"/>
          <w:snapToGrid w:val="0"/>
          <w:color w:val="auto"/>
          <w:kern w:val="0"/>
          <w:sz w:val="28"/>
          <w:szCs w:val="28"/>
        </w:rPr>
      </w:pPr>
      <w:bookmarkStart w:id="172" w:name="OLE_LINK4"/>
      <w:bookmarkStart w:id="173" w:name="OLE_LINK3"/>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《沁水县发展和改革局关于印发</w:t>
      </w:r>
      <w:r>
        <w:rPr>
          <w:rFonts w:hint="eastAsia" w:ascii="Times New Roman" w:hAnsi="Times New Roman" w:eastAsia="仿宋_GB2312"/>
          <w:snapToGrid w:val="0"/>
          <w:color w:val="auto"/>
          <w:kern w:val="0"/>
          <w:sz w:val="28"/>
          <w:szCs w:val="28"/>
        </w:rPr>
        <w:t>&lt;</w:t>
      </w:r>
      <w:r>
        <w:rPr>
          <w:rFonts w:hint="eastAsia" w:eastAsia="仿宋_GB2312"/>
          <w:snapToGrid w:val="0"/>
          <w:color w:val="auto"/>
          <w:kern w:val="0"/>
          <w:sz w:val="28"/>
          <w:szCs w:val="28"/>
        </w:rPr>
        <w:t>加快推进“十四五”规划编制相关工作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的通知》（沁规划办函</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2020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hint="eastAsia" w:eastAsia="仿宋_GB2312"/>
          <w:snapToGrid w:val="0"/>
          <w:color w:val="auto"/>
          <w:kern w:val="0"/>
          <w:sz w:val="28"/>
          <w:szCs w:val="28"/>
        </w:rPr>
        <w:t>号）</w:t>
      </w:r>
    </w:p>
    <w:bookmarkEnd w:id="172"/>
    <w:bookmarkEnd w:id="173"/>
    <w:p w14:paraId="6061035F">
      <w:pPr>
        <w:pStyle w:val="8"/>
        <w:snapToGrid w:val="0"/>
        <w:spacing w:before="140" w:after="140" w:line="360" w:lineRule="auto"/>
        <w:rPr>
          <w:color w:val="auto"/>
        </w:rPr>
      </w:pPr>
      <w:bookmarkStart w:id="174" w:name="_Toc6369"/>
      <w:bookmarkStart w:id="175" w:name="_Toc19139"/>
      <w:bookmarkStart w:id="176" w:name="_Toc31133"/>
      <w:bookmarkStart w:id="177" w:name="_Toc17558"/>
      <w:bookmarkStart w:id="178" w:name="_Toc12347"/>
      <w:bookmarkStart w:id="179" w:name="_Toc18025"/>
      <w:bookmarkStart w:id="180" w:name="_Toc25571"/>
      <w:bookmarkStart w:id="181" w:name="_Toc9857"/>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2</w:t>
      </w:r>
      <w:r>
        <w:rPr>
          <w:rFonts w:hint="eastAsia"/>
          <w:color w:val="auto"/>
        </w:rPr>
        <w:t xml:space="preserve">  </w:t>
      </w:r>
      <w:r>
        <w:rPr>
          <w:color w:val="auto"/>
        </w:rPr>
        <w:t>规划水平年</w:t>
      </w:r>
      <w:bookmarkEnd w:id="174"/>
      <w:bookmarkEnd w:id="175"/>
      <w:bookmarkEnd w:id="176"/>
      <w:bookmarkEnd w:id="177"/>
      <w:bookmarkEnd w:id="178"/>
      <w:bookmarkEnd w:id="179"/>
      <w:bookmarkEnd w:id="180"/>
      <w:bookmarkEnd w:id="181"/>
    </w:p>
    <w:p w14:paraId="258DFE29">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现状</w:t>
      </w:r>
      <w:r>
        <w:rPr>
          <w:rFonts w:eastAsia="仿宋_GB2312"/>
          <w:snapToGrid w:val="0"/>
          <w:color w:val="auto"/>
          <w:kern w:val="0"/>
          <w:sz w:val="28"/>
          <w:szCs w:val="28"/>
        </w:rPr>
        <w:t>水平年：</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p>
    <w:p w14:paraId="575DD18D">
      <w:pPr>
        <w:snapToGrid w:val="0"/>
        <w:spacing w:line="360" w:lineRule="auto"/>
        <w:ind w:firstLine="560" w:firstLineChars="200"/>
        <w:rPr>
          <w:rFonts w:eastAsia="仿宋_GB2312"/>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规划</w:t>
      </w:r>
      <w:r>
        <w:rPr>
          <w:rFonts w:hint="eastAsia" w:eastAsia="仿宋_GB2312"/>
          <w:snapToGrid w:val="0"/>
          <w:color w:val="auto"/>
          <w:kern w:val="0"/>
          <w:sz w:val="28"/>
          <w:szCs w:val="28"/>
        </w:rPr>
        <w:t>水平</w:t>
      </w:r>
      <w:r>
        <w:rPr>
          <w:rFonts w:eastAsia="仿宋_GB2312"/>
          <w:snapToGrid w:val="0"/>
          <w:color w:val="auto"/>
          <w:kern w:val="0"/>
          <w:sz w:val="28"/>
          <w:szCs w:val="28"/>
        </w:rPr>
        <w:t>年：</w:t>
      </w:r>
      <w:r>
        <w:rPr>
          <w:rFonts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w:t>
      </w:r>
      <w:r>
        <w:rPr>
          <w:rFonts w:hint="eastAsia" w:eastAsia="仿宋_GB2312"/>
          <w:snapToGrid w:val="0"/>
          <w:color w:val="auto"/>
          <w:kern w:val="0"/>
          <w:sz w:val="28"/>
          <w:szCs w:val="28"/>
        </w:rPr>
        <w:t>。</w:t>
      </w:r>
    </w:p>
    <w:p w14:paraId="27727E58">
      <w:pPr>
        <w:pStyle w:val="6"/>
        <w:jc w:val="center"/>
        <w:rPr>
          <w:color w:val="auto"/>
        </w:rPr>
      </w:pPr>
      <w:bookmarkStart w:id="182" w:name="_Toc10741"/>
      <w:bookmarkStart w:id="183" w:name="_Toc9954"/>
      <w:bookmarkStart w:id="184" w:name="_Toc16028"/>
      <w:bookmarkStart w:id="185" w:name="_Toc32596"/>
      <w:r>
        <w:rPr>
          <w:color w:val="auto"/>
        </w:rPr>
        <w:t>第</w:t>
      </w:r>
      <w:r>
        <w:rPr>
          <w:rFonts w:hint="eastAsia"/>
          <w:color w:val="auto"/>
        </w:rPr>
        <w:t>四</w:t>
      </w:r>
      <w:r>
        <w:rPr>
          <w:color w:val="auto"/>
        </w:rPr>
        <w:t>章</w:t>
      </w:r>
      <w:r>
        <w:rPr>
          <w:rFonts w:hint="eastAsia"/>
          <w:color w:val="auto"/>
        </w:rPr>
        <w:t xml:space="preserve">  水资源节约集约利用</w:t>
      </w:r>
      <w:bookmarkEnd w:id="182"/>
      <w:bookmarkEnd w:id="183"/>
      <w:bookmarkEnd w:id="184"/>
      <w:bookmarkEnd w:id="185"/>
    </w:p>
    <w:p w14:paraId="001515D0">
      <w:pPr>
        <w:pStyle w:val="35"/>
        <w:snapToGrid w:val="0"/>
        <w:spacing w:line="360" w:lineRule="auto"/>
        <w:ind w:firstLine="560" w:firstLineChars="200"/>
        <w:rPr>
          <w:rFonts w:cs="仿宋"/>
          <w:color w:val="auto"/>
          <w:kern w:val="0"/>
          <w:sz w:val="28"/>
          <w:szCs w:val="28"/>
        </w:rPr>
      </w:pPr>
      <w:r>
        <w:rPr>
          <w:rFonts w:hint="eastAsia" w:cs="仿宋"/>
          <w:color w:val="auto"/>
          <w:kern w:val="0"/>
          <w:sz w:val="28"/>
          <w:szCs w:val="28"/>
        </w:rPr>
        <w:t>牢固树立人口经济与资源环境相均衡的原则，坚持“有多少汤泡多少馍”，坚持以水定城、以水定地、以水定人、以水定产，严格用水总量控制，严格用水计划管理，加强取用水监管，确保完成年度用水总量控制任务。坚持“两手发力”，实施水资源统一调度和生态流量管控，强化水资源支撑。促进市场在资源配置中的作用，实现政府宏观调控，市场微观配置的目的，</w:t>
      </w:r>
      <w:r>
        <w:rPr>
          <w:rFonts w:cs="仿宋"/>
          <w:color w:val="auto"/>
          <w:kern w:val="0"/>
          <w:sz w:val="28"/>
          <w:szCs w:val="28"/>
        </w:rPr>
        <w:t xml:space="preserve">做好新时期用水统计调查工作，确立主要断面生态流量， </w:t>
      </w:r>
      <w:r>
        <w:rPr>
          <w:rFonts w:hint="eastAsia" w:cs="仿宋"/>
          <w:color w:val="auto"/>
          <w:kern w:val="0"/>
          <w:sz w:val="28"/>
          <w:szCs w:val="28"/>
        </w:rPr>
        <w:t>加强用水户监管，保护好地下水。</w:t>
      </w:r>
    </w:p>
    <w:p w14:paraId="5E24F1D2">
      <w:pPr>
        <w:pStyle w:val="7"/>
        <w:rPr>
          <w:color w:val="auto"/>
        </w:rPr>
      </w:pPr>
      <w:bookmarkStart w:id="186" w:name="_Toc4841"/>
      <w:bookmarkStart w:id="187" w:name="_Toc2657"/>
      <w:bookmarkStart w:id="188" w:name="_Toc28848"/>
      <w:bookmarkStart w:id="189" w:name="_Toc12457"/>
      <w:bookmarkStart w:id="190" w:name="_Toc8813"/>
      <w:bookmarkStart w:id="191" w:name="_Toc31594"/>
      <w:bookmarkStart w:id="192" w:name="_Toc2126"/>
      <w:bookmarkStart w:id="193" w:name="_Toc13473"/>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水资源评价</w:t>
      </w:r>
      <w:bookmarkEnd w:id="186"/>
      <w:bookmarkEnd w:id="187"/>
      <w:bookmarkEnd w:id="188"/>
      <w:bookmarkEnd w:id="189"/>
      <w:bookmarkEnd w:id="190"/>
      <w:bookmarkEnd w:id="191"/>
      <w:bookmarkEnd w:id="192"/>
      <w:bookmarkEnd w:id="193"/>
    </w:p>
    <w:p w14:paraId="4DC0981C">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水资源的开发利用，对保障各行业供水安全发挥了重要作用，但也存在用水效率不高、河道内径流及岩溶泉衰减等问题。为此，要严格“三条红线”的控制要求，加强水资源的节约和保护，提高水资源利用效率，在总量控制前提下，合理配置水资源，保证河流必要的生态需水要求，加大再生水等非常规水源利用力度，保障区域供水安全，促进沁水经济社会发展，维持沁河河流健康。</w:t>
      </w:r>
    </w:p>
    <w:p w14:paraId="46645B98">
      <w:pPr>
        <w:pStyle w:val="8"/>
        <w:rPr>
          <w:color w:val="auto"/>
        </w:rPr>
      </w:pPr>
      <w:bookmarkStart w:id="194" w:name="_Toc15023"/>
      <w:bookmarkStart w:id="195" w:name="_Toc32665"/>
      <w:bookmarkStart w:id="196" w:name="_Toc16254"/>
      <w:bookmarkStart w:id="197" w:name="_Toc127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水资源量</w:t>
      </w:r>
      <w:bookmarkEnd w:id="194"/>
      <w:bookmarkEnd w:id="195"/>
      <w:bookmarkEnd w:id="196"/>
      <w:bookmarkEnd w:id="197"/>
    </w:p>
    <w:p w14:paraId="7A5D6617">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根据晋城市</w:t>
      </w:r>
      <w:r>
        <w:rPr>
          <w:rFonts w:ascii="Times New Roman" w:hAnsi="Times New Roman" w:eastAsia="仿宋_GB2312" w:cs="仿宋_GB2312"/>
          <w:color w:val="auto"/>
          <w:sz w:val="28"/>
          <w:szCs w:val="28"/>
        </w:rPr>
        <w:t>2004</w:t>
      </w:r>
      <w:r>
        <w:rPr>
          <w:rFonts w:hint="eastAsia" w:ascii="仿宋_GB2312" w:hAnsi="仿宋_GB2312" w:eastAsia="仿宋_GB2312" w:cs="仿宋_GB2312"/>
          <w:color w:val="auto"/>
          <w:sz w:val="28"/>
          <w:szCs w:val="28"/>
        </w:rPr>
        <w:t>年第二次水资源评价</w:t>
      </w:r>
      <w:r>
        <w:rPr>
          <w:rFonts w:hint="eastAsia" w:ascii="Times New Roman" w:hAnsi="Times New Roman" w:eastAsia="仿宋_GB2312" w:cs="仿宋_GB2312"/>
          <w:color w:val="auto"/>
          <w:sz w:val="28"/>
          <w:szCs w:val="28"/>
        </w:rPr>
        <w:t>2008</w:t>
      </w:r>
      <w:r>
        <w:rPr>
          <w:rFonts w:hint="eastAsia" w:ascii="仿宋_GB2312" w:hAnsi="仿宋_GB2312" w:eastAsia="仿宋_GB2312" w:cs="仿宋_GB2312"/>
          <w:color w:val="auto"/>
          <w:sz w:val="28"/>
          <w:szCs w:val="28"/>
        </w:rPr>
        <w:t>年成果，沁水县水资源总量</w:t>
      </w:r>
      <w:r>
        <w:rPr>
          <w:rFonts w:hint="eastAsia" w:ascii="Times New Roman" w:hAnsi="Times New Roman" w:eastAsia="仿宋_GB2312" w:cs="仿宋_GB2312"/>
          <w:color w:val="auto"/>
          <w:sz w:val="28"/>
          <w:szCs w:val="28"/>
        </w:rPr>
        <w:t>6</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75</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，其中外来客水</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67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08</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，本地资源中，河川径流量</w:t>
      </w:r>
      <w:r>
        <w:rPr>
          <w:rFonts w:hint="eastAsia" w:ascii="Times New Roman" w:hAnsi="Times New Roman" w:eastAsia="仿宋_GB2312" w:cs="仿宋_GB2312"/>
          <w:color w:val="auto"/>
          <w:sz w:val="28"/>
          <w:szCs w:val="28"/>
        </w:rPr>
        <w:t>2</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93</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，地下水资源量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，重复计算量</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92</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（张峰水库库容</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94</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，不在水资源总量的计算内）。沁水县水资源可利用量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779</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，其中地表水可利用量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741</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不含现在张峰水库供沁水水量</w:t>
      </w:r>
      <w:r>
        <w:rPr>
          <w:rFonts w:hint="eastAsia" w:ascii="Times New Roman" w:hAnsi="Times New Roman" w:eastAsia="仿宋_GB2312" w:cs="仿宋_GB2312"/>
          <w:color w:val="auto"/>
          <w:sz w:val="28"/>
          <w:szCs w:val="28"/>
        </w:rPr>
        <w:t>750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），地下水可利用量</w:t>
      </w:r>
      <w:r>
        <w:rPr>
          <w:rFonts w:hint="eastAsia" w:ascii="Times New Roman" w:hAnsi="Times New Roman" w:eastAsia="仿宋_GB2312" w:cs="仿宋_GB2312"/>
          <w:color w:val="auto"/>
          <w:sz w:val="28"/>
          <w:szCs w:val="28"/>
        </w:rPr>
        <w:t>2530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，重复可利用量</w:t>
      </w:r>
      <w:r>
        <w:rPr>
          <w:rFonts w:hint="eastAsia" w:ascii="Times New Roman" w:hAnsi="Times New Roman" w:eastAsia="仿宋_GB2312" w:cs="仿宋_GB2312"/>
          <w:color w:val="auto"/>
          <w:sz w:val="28"/>
          <w:szCs w:val="28"/>
        </w:rPr>
        <w:t>2150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。本县水资源可利用系数为</w:t>
      </w:r>
      <w:r>
        <w:rPr>
          <w:rFonts w:hint="eastAsia" w:ascii="Times New Roman" w:hAnsi="Times New Roman" w:eastAsia="仿宋_GB2312" w:cs="仿宋_GB2312"/>
          <w:color w:val="auto"/>
          <w:sz w:val="28"/>
          <w:szCs w:val="28"/>
        </w:rPr>
        <w:t>57</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w:t>
      </w:r>
    </w:p>
    <w:p w14:paraId="3144E257">
      <w:pPr>
        <w:pStyle w:val="8"/>
        <w:rPr>
          <w:color w:val="auto"/>
        </w:rPr>
      </w:pPr>
      <w:bookmarkStart w:id="198" w:name="_Toc2011"/>
      <w:bookmarkStart w:id="199" w:name="_Toc27581"/>
      <w:bookmarkStart w:id="200" w:name="_Toc20843"/>
      <w:bookmarkStart w:id="201" w:name="_Toc28134"/>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水质评价</w:t>
      </w:r>
      <w:bookmarkEnd w:id="198"/>
      <w:bookmarkEnd w:id="199"/>
      <w:bookmarkEnd w:id="200"/>
      <w:bookmarkEnd w:id="201"/>
    </w:p>
    <w:p w14:paraId="1CED8429">
      <w:pPr>
        <w:pStyle w:val="37"/>
        <w:rPr>
          <w:rFonts w:ascii="仿宋" w:hAnsi="仿宋" w:eastAsia="仿宋" w:cs="仿宋"/>
          <w:color w:val="auto"/>
        </w:rPr>
      </w:pPr>
      <w:r>
        <w:rPr>
          <w:rFonts w:hint="eastAsia" w:ascii="仿宋" w:hAnsi="仿宋" w:eastAsia="仿宋" w:cs="仿宋"/>
          <w:color w:val="auto"/>
        </w:rPr>
        <w:t>沁水县共布设</w:t>
      </w:r>
      <w:r>
        <w:rPr>
          <w:rFonts w:hint="eastAsia" w:ascii="Times New Roman" w:hAnsi="Times New Roman" w:eastAsia="仿宋" w:cs="仿宋_GB2312"/>
          <w:color w:val="auto"/>
        </w:rPr>
        <w:t>7</w:t>
      </w:r>
      <w:r>
        <w:rPr>
          <w:rFonts w:hint="eastAsia" w:ascii="仿宋" w:hAnsi="仿宋" w:eastAsia="仿宋" w:cs="仿宋"/>
          <w:color w:val="auto"/>
        </w:rPr>
        <w:t>个监测断面，分别位于沁河、沁水县河和端氏河。其中，沁河沁水段河长</w:t>
      </w:r>
      <w:r>
        <w:rPr>
          <w:rFonts w:hint="eastAsia" w:ascii="Times New Roman" w:hAnsi="Times New Roman" w:eastAsia="仿宋" w:cs="仿宋_GB2312"/>
          <w:color w:val="auto"/>
        </w:rPr>
        <w:t>82km</w:t>
      </w:r>
      <w:r>
        <w:rPr>
          <w:rFonts w:hint="eastAsia" w:ascii="Times New Roman" w:hAnsi="Times New Roman" w:eastAsia="仿宋"/>
          <w:color w:val="auto"/>
        </w:rPr>
        <w:t>，</w:t>
      </w:r>
      <w:r>
        <w:rPr>
          <w:rFonts w:hint="eastAsia" w:ascii="仿宋" w:hAnsi="仿宋" w:eastAsia="仿宋" w:cs="仿宋"/>
          <w:color w:val="auto"/>
        </w:rPr>
        <w:t>其中对照断面</w:t>
      </w:r>
      <w:r>
        <w:rPr>
          <w:rFonts w:hint="eastAsia" w:ascii="Times New Roman" w:hAnsi="Times New Roman" w:eastAsia="仿宋" w:cs="仿宋_GB2312"/>
          <w:color w:val="auto"/>
        </w:rPr>
        <w:t>1</w:t>
      </w:r>
      <w:r>
        <w:rPr>
          <w:rFonts w:hint="eastAsia" w:ascii="仿宋" w:hAnsi="仿宋" w:eastAsia="仿宋" w:cs="仿宋"/>
          <w:color w:val="auto"/>
        </w:rPr>
        <w:t>个，为郑庄断面，控制断面</w:t>
      </w:r>
      <w:r>
        <w:rPr>
          <w:rFonts w:hint="eastAsia" w:ascii="Times New Roman" w:hAnsi="Times New Roman" w:eastAsia="仿宋" w:cs="仿宋_GB2312"/>
          <w:color w:val="auto"/>
        </w:rPr>
        <w:t>2</w:t>
      </w:r>
      <w:r>
        <w:rPr>
          <w:rFonts w:hint="eastAsia" w:ascii="仿宋" w:hAnsi="仿宋" w:eastAsia="仿宋" w:cs="仿宋"/>
          <w:color w:val="auto"/>
        </w:rPr>
        <w:t>个，分别是张峰水库出口断面和武安断面；沁水县河共布设</w:t>
      </w:r>
      <w:r>
        <w:rPr>
          <w:rFonts w:ascii="Times New Roman" w:hAnsi="Times New Roman" w:eastAsia="仿宋" w:cs="仿宋_GB2312"/>
          <w:color w:val="auto"/>
        </w:rPr>
        <w:t>2</w:t>
      </w:r>
      <w:r>
        <w:rPr>
          <w:rFonts w:hint="eastAsia" w:ascii="仿宋" w:hAnsi="仿宋" w:eastAsia="仿宋" w:cs="仿宋"/>
          <w:color w:val="auto"/>
        </w:rPr>
        <w:t>个监测断面，分别是五柳庄断面和湾则水库断面；端氏河共布设</w:t>
      </w:r>
      <w:r>
        <w:rPr>
          <w:rFonts w:ascii="Times New Roman" w:hAnsi="Times New Roman" w:eastAsia="仿宋" w:cs="仿宋_GB2312"/>
          <w:color w:val="auto"/>
        </w:rPr>
        <w:t>2</w:t>
      </w:r>
      <w:r>
        <w:rPr>
          <w:rFonts w:hint="eastAsia" w:ascii="仿宋" w:hAnsi="仿宋" w:eastAsia="仿宋" w:cs="仿宋"/>
          <w:color w:val="auto"/>
        </w:rPr>
        <w:t>个监测断面，分别是杏河断面和端氏断面</w:t>
      </w:r>
      <w:r>
        <w:rPr>
          <w:rFonts w:hint="eastAsia"/>
          <w:color w:val="auto"/>
        </w:rPr>
        <w:t>。</w:t>
      </w:r>
    </w:p>
    <w:p w14:paraId="09F7BAC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根据《</w:t>
      </w:r>
      <w:r>
        <w:rPr>
          <w:rFonts w:hint="eastAsia" w:ascii="Times New Roman" w:hAnsi="Times New Roman" w:eastAsia="仿宋" w:cs="仿宋_GB2312"/>
          <w:color w:val="auto"/>
          <w:kern w:val="0"/>
          <w:sz w:val="28"/>
          <w:szCs w:val="28"/>
        </w:rPr>
        <w:t>2019</w:t>
      </w:r>
      <w:r>
        <w:rPr>
          <w:rFonts w:hint="eastAsia" w:ascii="仿宋" w:hAnsi="仿宋" w:eastAsia="仿宋" w:cs="仿宋"/>
          <w:color w:val="auto"/>
          <w:kern w:val="0"/>
          <w:sz w:val="28"/>
          <w:szCs w:val="28"/>
        </w:rPr>
        <w:t>年晋城市地表水功能区监测分析报告》，参照沁水县地表水各断面水体功能，按中国环保部《地表水环境质量评价办法（试行）》关于断面水质类别与定性评价分级的对应关系评价，沁水县各断面水质监测结果详见表</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p>
    <w:p w14:paraId="300B5AD2">
      <w:pPr>
        <w:widowControl/>
        <w:snapToGrid w:val="0"/>
        <w:spacing w:line="360" w:lineRule="auto"/>
        <w:ind w:firstLine="560" w:firstLineChars="200"/>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ascii="Times New Roman" w:hAnsi="Times New Roman" w:eastAsia="仿宋"/>
          <w:color w:val="auto"/>
          <w:kern w:val="0"/>
          <w:sz w:val="28"/>
          <w:szCs w:val="28"/>
        </w:rPr>
        <w:t xml:space="preserve"> </w:t>
      </w:r>
      <w:r>
        <w:rPr>
          <w:rFonts w:hint="eastAsia" w:ascii="仿宋" w:hAnsi="仿宋" w:eastAsia="仿宋" w:cs="仿宋"/>
          <w:color w:val="auto"/>
          <w:kern w:val="0"/>
          <w:sz w:val="28"/>
          <w:szCs w:val="28"/>
        </w:rPr>
        <w:t xml:space="preserve">   </w:t>
      </w:r>
      <w:r>
        <w:rPr>
          <w:rFonts w:ascii="Times New Roman" w:hAnsi="Times New Roman" w:eastAsia="仿宋" w:cs="仿宋_GB2312"/>
          <w:color w:val="auto"/>
          <w:kern w:val="0"/>
          <w:sz w:val="28"/>
          <w:szCs w:val="28"/>
        </w:rPr>
        <w:t>201</w:t>
      </w:r>
      <w:r>
        <w:rPr>
          <w:rFonts w:hint="eastAsia" w:ascii="Times New Roman" w:hAnsi="Times New Roman" w:eastAsia="仿宋" w:cs="仿宋_GB2312"/>
          <w:color w:val="auto"/>
          <w:kern w:val="0"/>
          <w:sz w:val="28"/>
          <w:szCs w:val="28"/>
        </w:rPr>
        <w:t>9</w:t>
      </w:r>
      <w:r>
        <w:rPr>
          <w:rFonts w:hint="eastAsia" w:ascii="Times New Roman" w:hAnsi="Times New Roman" w:eastAsia="仿宋"/>
          <w:color w:val="auto"/>
          <w:kern w:val="0"/>
          <w:sz w:val="28"/>
          <w:szCs w:val="28"/>
        </w:rPr>
        <w:t>年晋城市水功能区每季度水质监测结果汇总</w:t>
      </w:r>
      <w:r>
        <w:rPr>
          <w:rFonts w:hint="eastAsia" w:ascii="仿宋" w:hAnsi="仿宋" w:eastAsia="仿宋" w:cs="仿宋"/>
          <w:color w:val="auto"/>
          <w:kern w:val="0"/>
          <w:sz w:val="28"/>
          <w:szCs w:val="28"/>
        </w:rPr>
        <w:t>表</w:t>
      </w:r>
    </w:p>
    <w:tbl>
      <w:tblPr>
        <w:tblStyle w:val="23"/>
        <w:tblW w:w="98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78"/>
        <w:gridCol w:w="995"/>
        <w:gridCol w:w="994"/>
        <w:gridCol w:w="1247"/>
        <w:gridCol w:w="657"/>
        <w:gridCol w:w="718"/>
        <w:gridCol w:w="732"/>
        <w:gridCol w:w="743"/>
        <w:gridCol w:w="706"/>
        <w:gridCol w:w="598"/>
        <w:gridCol w:w="810"/>
      </w:tblGrid>
      <w:tr w14:paraId="1C867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blHeader/>
          <w:jc w:val="center"/>
        </w:trPr>
        <w:tc>
          <w:tcPr>
            <w:tcW w:w="439" w:type="dxa"/>
            <w:vMerge w:val="restart"/>
            <w:vAlign w:val="center"/>
          </w:tcPr>
          <w:p w14:paraId="643DB75C">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178" w:type="dxa"/>
            <w:vMerge w:val="restart"/>
            <w:vAlign w:val="center"/>
          </w:tcPr>
          <w:p w14:paraId="59639ADC">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河流</w:t>
            </w:r>
          </w:p>
        </w:tc>
        <w:tc>
          <w:tcPr>
            <w:tcW w:w="1989" w:type="dxa"/>
            <w:gridSpan w:val="2"/>
            <w:tcBorders>
              <w:bottom w:val="single" w:color="auto" w:sz="12" w:space="0"/>
            </w:tcBorders>
            <w:vAlign w:val="center"/>
          </w:tcPr>
          <w:p w14:paraId="2832F0AD">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范围</w:t>
            </w:r>
          </w:p>
        </w:tc>
        <w:tc>
          <w:tcPr>
            <w:tcW w:w="1247" w:type="dxa"/>
            <w:vMerge w:val="restart"/>
            <w:vAlign w:val="center"/>
          </w:tcPr>
          <w:p w14:paraId="683C2B62">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断面名称</w:t>
            </w:r>
          </w:p>
        </w:tc>
        <w:tc>
          <w:tcPr>
            <w:tcW w:w="657" w:type="dxa"/>
            <w:vMerge w:val="restart"/>
            <w:vAlign w:val="center"/>
          </w:tcPr>
          <w:p w14:paraId="3647E2D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水质目标</w:t>
            </w:r>
          </w:p>
        </w:tc>
        <w:tc>
          <w:tcPr>
            <w:tcW w:w="2899" w:type="dxa"/>
            <w:gridSpan w:val="4"/>
            <w:tcBorders>
              <w:bottom w:val="single" w:color="auto" w:sz="12" w:space="0"/>
            </w:tcBorders>
            <w:vAlign w:val="center"/>
          </w:tcPr>
          <w:p w14:paraId="34F3C1F7">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水质监测结果</w:t>
            </w:r>
          </w:p>
        </w:tc>
        <w:tc>
          <w:tcPr>
            <w:tcW w:w="598" w:type="dxa"/>
            <w:vMerge w:val="restart"/>
            <w:vAlign w:val="center"/>
          </w:tcPr>
          <w:p w14:paraId="18195F71">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达标次数</w:t>
            </w:r>
          </w:p>
        </w:tc>
        <w:tc>
          <w:tcPr>
            <w:tcW w:w="810" w:type="dxa"/>
            <w:vMerge w:val="restart"/>
            <w:vAlign w:val="center"/>
          </w:tcPr>
          <w:p w14:paraId="0ADB066A">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达标率</w:t>
            </w:r>
          </w:p>
        </w:tc>
      </w:tr>
      <w:tr w14:paraId="234AB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439" w:type="dxa"/>
            <w:vMerge w:val="continue"/>
            <w:tcBorders>
              <w:bottom w:val="single" w:color="auto" w:sz="12" w:space="0"/>
            </w:tcBorders>
            <w:vAlign w:val="center"/>
          </w:tcPr>
          <w:p w14:paraId="265B5E58">
            <w:pPr>
              <w:widowControl/>
              <w:snapToGrid w:val="0"/>
              <w:jc w:val="center"/>
              <w:rPr>
                <w:rFonts w:ascii="仿宋" w:hAnsi="仿宋" w:eastAsia="仿宋" w:cs="仿宋"/>
                <w:b/>
                <w:bCs/>
                <w:color w:val="auto"/>
                <w:kern w:val="0"/>
                <w:sz w:val="24"/>
              </w:rPr>
            </w:pPr>
          </w:p>
        </w:tc>
        <w:tc>
          <w:tcPr>
            <w:tcW w:w="1178" w:type="dxa"/>
            <w:vMerge w:val="continue"/>
            <w:tcBorders>
              <w:bottom w:val="single" w:color="auto" w:sz="12" w:space="0"/>
            </w:tcBorders>
            <w:vAlign w:val="center"/>
          </w:tcPr>
          <w:p w14:paraId="5A85A5C9">
            <w:pPr>
              <w:widowControl/>
              <w:snapToGrid w:val="0"/>
              <w:jc w:val="center"/>
              <w:rPr>
                <w:rFonts w:ascii="仿宋" w:hAnsi="仿宋" w:eastAsia="仿宋" w:cs="仿宋"/>
                <w:b/>
                <w:bCs/>
                <w:color w:val="auto"/>
                <w:kern w:val="0"/>
                <w:sz w:val="24"/>
              </w:rPr>
            </w:pPr>
          </w:p>
        </w:tc>
        <w:tc>
          <w:tcPr>
            <w:tcW w:w="995" w:type="dxa"/>
            <w:tcBorders>
              <w:bottom w:val="single" w:color="auto" w:sz="12" w:space="0"/>
            </w:tcBorders>
            <w:vAlign w:val="center"/>
          </w:tcPr>
          <w:p w14:paraId="1F1FFFB8">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起</w:t>
            </w:r>
          </w:p>
        </w:tc>
        <w:tc>
          <w:tcPr>
            <w:tcW w:w="994" w:type="dxa"/>
            <w:tcBorders>
              <w:bottom w:val="single" w:color="auto" w:sz="12" w:space="0"/>
            </w:tcBorders>
            <w:vAlign w:val="center"/>
          </w:tcPr>
          <w:p w14:paraId="24A2F03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止</w:t>
            </w:r>
          </w:p>
        </w:tc>
        <w:tc>
          <w:tcPr>
            <w:tcW w:w="1247" w:type="dxa"/>
            <w:vMerge w:val="continue"/>
            <w:tcBorders>
              <w:bottom w:val="single" w:color="auto" w:sz="12" w:space="0"/>
            </w:tcBorders>
            <w:vAlign w:val="center"/>
          </w:tcPr>
          <w:p w14:paraId="3FDC265B">
            <w:pPr>
              <w:widowControl/>
              <w:snapToGrid w:val="0"/>
              <w:jc w:val="center"/>
              <w:rPr>
                <w:rFonts w:ascii="仿宋" w:hAnsi="仿宋" w:eastAsia="仿宋" w:cs="仿宋"/>
                <w:b/>
                <w:bCs/>
                <w:color w:val="auto"/>
                <w:kern w:val="0"/>
                <w:sz w:val="24"/>
              </w:rPr>
            </w:pPr>
          </w:p>
        </w:tc>
        <w:tc>
          <w:tcPr>
            <w:tcW w:w="657" w:type="dxa"/>
            <w:vMerge w:val="continue"/>
            <w:tcBorders>
              <w:bottom w:val="single" w:color="auto" w:sz="12" w:space="0"/>
            </w:tcBorders>
            <w:vAlign w:val="center"/>
          </w:tcPr>
          <w:p w14:paraId="52945908">
            <w:pPr>
              <w:widowControl/>
              <w:snapToGrid w:val="0"/>
              <w:jc w:val="center"/>
              <w:rPr>
                <w:rFonts w:ascii="仿宋" w:hAnsi="仿宋" w:eastAsia="仿宋" w:cs="仿宋"/>
                <w:b/>
                <w:bCs/>
                <w:color w:val="auto"/>
                <w:kern w:val="0"/>
                <w:sz w:val="24"/>
              </w:rPr>
            </w:pPr>
          </w:p>
        </w:tc>
        <w:tc>
          <w:tcPr>
            <w:tcW w:w="718" w:type="dxa"/>
            <w:tcBorders>
              <w:bottom w:val="single" w:color="auto" w:sz="12" w:space="0"/>
            </w:tcBorders>
            <w:vAlign w:val="center"/>
          </w:tcPr>
          <w:p w14:paraId="5E9DE258">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第一季度</w:t>
            </w:r>
          </w:p>
        </w:tc>
        <w:tc>
          <w:tcPr>
            <w:tcW w:w="732" w:type="dxa"/>
            <w:tcBorders>
              <w:bottom w:val="single" w:color="auto" w:sz="12" w:space="0"/>
            </w:tcBorders>
            <w:vAlign w:val="center"/>
          </w:tcPr>
          <w:p w14:paraId="285C156A">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w:t>
            </w:r>
          </w:p>
          <w:p w14:paraId="5C0AB96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季度</w:t>
            </w:r>
          </w:p>
        </w:tc>
        <w:tc>
          <w:tcPr>
            <w:tcW w:w="743" w:type="dxa"/>
            <w:tcBorders>
              <w:bottom w:val="single" w:color="auto" w:sz="12" w:space="0"/>
            </w:tcBorders>
            <w:vAlign w:val="center"/>
          </w:tcPr>
          <w:p w14:paraId="6BE71172">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第三季度</w:t>
            </w:r>
          </w:p>
        </w:tc>
        <w:tc>
          <w:tcPr>
            <w:tcW w:w="706" w:type="dxa"/>
            <w:tcBorders>
              <w:bottom w:val="single" w:color="auto" w:sz="12" w:space="0"/>
            </w:tcBorders>
            <w:vAlign w:val="center"/>
          </w:tcPr>
          <w:p w14:paraId="339D266E">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第四季度</w:t>
            </w:r>
          </w:p>
        </w:tc>
        <w:tc>
          <w:tcPr>
            <w:tcW w:w="598" w:type="dxa"/>
            <w:vMerge w:val="continue"/>
            <w:tcBorders>
              <w:bottom w:val="single" w:color="auto" w:sz="12" w:space="0"/>
            </w:tcBorders>
            <w:vAlign w:val="center"/>
          </w:tcPr>
          <w:p w14:paraId="7CE83F2F">
            <w:pPr>
              <w:widowControl/>
              <w:snapToGrid w:val="0"/>
              <w:jc w:val="center"/>
              <w:rPr>
                <w:rFonts w:ascii="仿宋" w:hAnsi="仿宋" w:eastAsia="仿宋" w:cs="仿宋"/>
                <w:b/>
                <w:bCs/>
                <w:color w:val="auto"/>
                <w:kern w:val="0"/>
                <w:sz w:val="24"/>
              </w:rPr>
            </w:pPr>
          </w:p>
        </w:tc>
        <w:tc>
          <w:tcPr>
            <w:tcW w:w="810" w:type="dxa"/>
            <w:vMerge w:val="continue"/>
            <w:tcBorders>
              <w:bottom w:val="single" w:color="auto" w:sz="12" w:space="0"/>
            </w:tcBorders>
            <w:vAlign w:val="center"/>
          </w:tcPr>
          <w:p w14:paraId="50CD0ADF">
            <w:pPr>
              <w:widowControl/>
              <w:snapToGrid w:val="0"/>
              <w:jc w:val="center"/>
              <w:rPr>
                <w:rFonts w:ascii="仿宋" w:hAnsi="仿宋" w:eastAsia="仿宋" w:cs="仿宋"/>
                <w:b/>
                <w:bCs/>
                <w:color w:val="auto"/>
                <w:kern w:val="0"/>
                <w:sz w:val="24"/>
              </w:rPr>
            </w:pPr>
          </w:p>
        </w:tc>
      </w:tr>
      <w:tr w14:paraId="2D263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387B0517">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1</w:t>
            </w:r>
          </w:p>
        </w:tc>
        <w:tc>
          <w:tcPr>
            <w:tcW w:w="1178" w:type="dxa"/>
            <w:vMerge w:val="restart"/>
            <w:tcBorders>
              <w:tl2br w:val="nil"/>
              <w:tr2bl w:val="nil"/>
            </w:tcBorders>
            <w:vAlign w:val="center"/>
          </w:tcPr>
          <w:p w14:paraId="13BFC39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沁河</w:t>
            </w:r>
          </w:p>
        </w:tc>
        <w:tc>
          <w:tcPr>
            <w:tcW w:w="995" w:type="dxa"/>
            <w:tcBorders>
              <w:tl2br w:val="nil"/>
              <w:tr2bl w:val="nil"/>
            </w:tcBorders>
            <w:vAlign w:val="center"/>
          </w:tcPr>
          <w:p w14:paraId="747C493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市界</w:t>
            </w:r>
          </w:p>
        </w:tc>
        <w:tc>
          <w:tcPr>
            <w:tcW w:w="994" w:type="dxa"/>
            <w:tcBorders>
              <w:tl2br w:val="nil"/>
              <w:tr2bl w:val="nil"/>
            </w:tcBorders>
            <w:vAlign w:val="center"/>
          </w:tcPr>
          <w:p w14:paraId="4A5C7B5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14:paraId="5B015B1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1247" w:type="dxa"/>
            <w:tcBorders>
              <w:tl2br w:val="nil"/>
              <w:tr2bl w:val="nil"/>
            </w:tcBorders>
            <w:vAlign w:val="center"/>
          </w:tcPr>
          <w:p w14:paraId="675C2FB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张峰水库</w:t>
            </w:r>
          </w:p>
        </w:tc>
        <w:tc>
          <w:tcPr>
            <w:tcW w:w="657" w:type="dxa"/>
            <w:tcBorders>
              <w:tl2br w:val="nil"/>
              <w:tr2bl w:val="nil"/>
            </w:tcBorders>
            <w:vAlign w:val="center"/>
          </w:tcPr>
          <w:p w14:paraId="3A9D6F7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18" w:type="dxa"/>
            <w:tcBorders>
              <w:tl2br w:val="nil"/>
              <w:tr2bl w:val="nil"/>
            </w:tcBorders>
            <w:vAlign w:val="center"/>
          </w:tcPr>
          <w:p w14:paraId="2607179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56A5F4B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057DC39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0F73AF3F">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77761E1B">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68D59790">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436B4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1F9AA177">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2</w:t>
            </w:r>
          </w:p>
        </w:tc>
        <w:tc>
          <w:tcPr>
            <w:tcW w:w="1178" w:type="dxa"/>
            <w:vMerge w:val="continue"/>
            <w:tcBorders>
              <w:tl2br w:val="nil"/>
              <w:tr2bl w:val="nil"/>
            </w:tcBorders>
            <w:vAlign w:val="center"/>
          </w:tcPr>
          <w:p w14:paraId="3284DF32">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179DDC9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14:paraId="0508DFC6">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994" w:type="dxa"/>
            <w:tcBorders>
              <w:tl2br w:val="nil"/>
              <w:tr2bl w:val="nil"/>
            </w:tcBorders>
            <w:vAlign w:val="center"/>
          </w:tcPr>
          <w:p w14:paraId="4244BE2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1247" w:type="dxa"/>
            <w:tcBorders>
              <w:tl2br w:val="nil"/>
              <w:tr2bl w:val="nil"/>
            </w:tcBorders>
            <w:vAlign w:val="center"/>
          </w:tcPr>
          <w:p w14:paraId="0F74719F">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657" w:type="dxa"/>
            <w:tcBorders>
              <w:tl2br w:val="nil"/>
              <w:tr2bl w:val="nil"/>
            </w:tcBorders>
            <w:vAlign w:val="center"/>
          </w:tcPr>
          <w:p w14:paraId="54D642ED">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7DB198BA">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14:paraId="43842191">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14:paraId="2E4BD605">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14:paraId="27D0DE03">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14:paraId="20A3817C">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14:paraId="3246630A">
            <w:pPr>
              <w:widowControl/>
              <w:snapToGrid w:val="0"/>
              <w:jc w:val="center"/>
              <w:rPr>
                <w:rFonts w:ascii="Times New Roman" w:hAnsi="Times New Roman" w:eastAsia="仿宋"/>
                <w:color w:val="auto"/>
                <w:kern w:val="0"/>
                <w:sz w:val="24"/>
              </w:rPr>
            </w:pPr>
          </w:p>
        </w:tc>
      </w:tr>
      <w:tr w14:paraId="09654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77578839">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3</w:t>
            </w:r>
          </w:p>
        </w:tc>
        <w:tc>
          <w:tcPr>
            <w:tcW w:w="1178" w:type="dxa"/>
            <w:vMerge w:val="continue"/>
            <w:tcBorders>
              <w:tl2br w:val="nil"/>
              <w:tr2bl w:val="nil"/>
            </w:tcBorders>
            <w:vAlign w:val="center"/>
          </w:tcPr>
          <w:p w14:paraId="754573CA">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502CB8E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994" w:type="dxa"/>
            <w:tcBorders>
              <w:tl2br w:val="nil"/>
              <w:tr2bl w:val="nil"/>
            </w:tcBorders>
            <w:vAlign w:val="center"/>
          </w:tcPr>
          <w:p w14:paraId="049EE9A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曹河</w:t>
            </w:r>
          </w:p>
        </w:tc>
        <w:tc>
          <w:tcPr>
            <w:tcW w:w="1247" w:type="dxa"/>
            <w:tcBorders>
              <w:tl2br w:val="nil"/>
              <w:tr2bl w:val="nil"/>
            </w:tcBorders>
            <w:vAlign w:val="center"/>
          </w:tcPr>
          <w:p w14:paraId="28A17E99">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武安</w:t>
            </w:r>
          </w:p>
        </w:tc>
        <w:tc>
          <w:tcPr>
            <w:tcW w:w="657" w:type="dxa"/>
            <w:tcBorders>
              <w:tl2br w:val="nil"/>
              <w:tr2bl w:val="nil"/>
            </w:tcBorders>
            <w:vAlign w:val="center"/>
          </w:tcPr>
          <w:p w14:paraId="6709550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1ED955B3">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2264C16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4094440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23C9259B">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7F58997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74414120">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5DC8B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676B9CC3">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1178" w:type="dxa"/>
            <w:vMerge w:val="restart"/>
            <w:tcBorders>
              <w:tl2br w:val="nil"/>
              <w:tr2bl w:val="nil"/>
            </w:tcBorders>
            <w:vAlign w:val="center"/>
          </w:tcPr>
          <w:p w14:paraId="2648D92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沁水县河</w:t>
            </w:r>
          </w:p>
        </w:tc>
        <w:tc>
          <w:tcPr>
            <w:tcW w:w="995" w:type="dxa"/>
            <w:tcBorders>
              <w:tl2br w:val="nil"/>
              <w:tr2bl w:val="nil"/>
            </w:tcBorders>
            <w:vAlign w:val="center"/>
          </w:tcPr>
          <w:p w14:paraId="5010F7A2">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14:paraId="391EA71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1247" w:type="dxa"/>
            <w:tcBorders>
              <w:tl2br w:val="nil"/>
              <w:tr2bl w:val="nil"/>
            </w:tcBorders>
            <w:vAlign w:val="center"/>
          </w:tcPr>
          <w:p w14:paraId="4E2A303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657" w:type="dxa"/>
            <w:tcBorders>
              <w:tl2br w:val="nil"/>
              <w:tr2bl w:val="nil"/>
            </w:tcBorders>
            <w:vAlign w:val="center"/>
          </w:tcPr>
          <w:p w14:paraId="09B91131">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66749574">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32" w:type="dxa"/>
            <w:tcBorders>
              <w:tl2br w:val="nil"/>
              <w:tr2bl w:val="nil"/>
            </w:tcBorders>
            <w:vAlign w:val="center"/>
          </w:tcPr>
          <w:p w14:paraId="2300386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43" w:type="dxa"/>
            <w:tcBorders>
              <w:tl2br w:val="nil"/>
              <w:tr2bl w:val="nil"/>
            </w:tcBorders>
            <w:vAlign w:val="center"/>
          </w:tcPr>
          <w:p w14:paraId="5426EF6D">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劣Ⅴ</w:t>
            </w:r>
          </w:p>
        </w:tc>
        <w:tc>
          <w:tcPr>
            <w:tcW w:w="706" w:type="dxa"/>
            <w:tcBorders>
              <w:tl2br w:val="nil"/>
              <w:tr2bl w:val="nil"/>
            </w:tcBorders>
            <w:vAlign w:val="center"/>
          </w:tcPr>
          <w:p w14:paraId="06AFC938">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14:paraId="1A530FAA">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p>
        </w:tc>
        <w:tc>
          <w:tcPr>
            <w:tcW w:w="810" w:type="dxa"/>
            <w:tcBorders>
              <w:tl2br w:val="nil"/>
              <w:tr2bl w:val="nil"/>
            </w:tcBorders>
            <w:vAlign w:val="center"/>
          </w:tcPr>
          <w:p w14:paraId="454EA2FA">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75</w:t>
            </w:r>
            <w:r>
              <w:rPr>
                <w:rFonts w:hint="eastAsia" w:ascii="Times New Roman" w:hAnsi="Times New Roman" w:eastAsia="仿宋"/>
                <w:color w:val="auto"/>
                <w:kern w:val="0"/>
                <w:sz w:val="24"/>
              </w:rPr>
              <w:t>%</w:t>
            </w:r>
          </w:p>
        </w:tc>
      </w:tr>
      <w:tr w14:paraId="4ABB7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5672FD52">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5</w:t>
            </w:r>
          </w:p>
        </w:tc>
        <w:tc>
          <w:tcPr>
            <w:tcW w:w="1178" w:type="dxa"/>
            <w:vMerge w:val="continue"/>
            <w:tcBorders>
              <w:tl2br w:val="nil"/>
              <w:tr2bl w:val="nil"/>
            </w:tcBorders>
            <w:vAlign w:val="center"/>
          </w:tcPr>
          <w:p w14:paraId="21D6C610">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4CEFC68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994" w:type="dxa"/>
            <w:tcBorders>
              <w:tl2br w:val="nil"/>
              <w:tr2bl w:val="nil"/>
            </w:tcBorders>
            <w:vAlign w:val="center"/>
          </w:tcPr>
          <w:p w14:paraId="530B8562">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14:paraId="2C6557D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湾则水库</w:t>
            </w:r>
          </w:p>
        </w:tc>
        <w:tc>
          <w:tcPr>
            <w:tcW w:w="657" w:type="dxa"/>
            <w:tcBorders>
              <w:tl2br w:val="nil"/>
              <w:tr2bl w:val="nil"/>
            </w:tcBorders>
            <w:vAlign w:val="center"/>
          </w:tcPr>
          <w:p w14:paraId="19D1C930">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14:paraId="2E6CE81C">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453BEA1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1C2903D6">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1BE02AA2">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14:paraId="68EC715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4A433FFC">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1D8C6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7F50D553">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6</w:t>
            </w:r>
          </w:p>
        </w:tc>
        <w:tc>
          <w:tcPr>
            <w:tcW w:w="1178" w:type="dxa"/>
            <w:vMerge w:val="restart"/>
            <w:tcBorders>
              <w:tl2br w:val="nil"/>
              <w:tr2bl w:val="nil"/>
            </w:tcBorders>
            <w:vAlign w:val="center"/>
          </w:tcPr>
          <w:p w14:paraId="7272AA5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端氏河</w:t>
            </w:r>
          </w:p>
        </w:tc>
        <w:tc>
          <w:tcPr>
            <w:tcW w:w="995" w:type="dxa"/>
            <w:tcBorders>
              <w:tl2br w:val="nil"/>
              <w:tr2bl w:val="nil"/>
            </w:tcBorders>
            <w:vAlign w:val="center"/>
          </w:tcPr>
          <w:p w14:paraId="2D5E539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14:paraId="42741A2C">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1247" w:type="dxa"/>
            <w:tcBorders>
              <w:tl2br w:val="nil"/>
              <w:tr2bl w:val="nil"/>
            </w:tcBorders>
            <w:vAlign w:val="center"/>
          </w:tcPr>
          <w:p w14:paraId="59AE0889">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657" w:type="dxa"/>
            <w:tcBorders>
              <w:tl2br w:val="nil"/>
              <w:tr2bl w:val="nil"/>
            </w:tcBorders>
            <w:vAlign w:val="center"/>
          </w:tcPr>
          <w:p w14:paraId="2458C33D">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1EC96FD9">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14:paraId="7C4A1335">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14:paraId="3BB45141">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14:paraId="15D178F3">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14:paraId="7F5B3E04">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14:paraId="20E5C407">
            <w:pPr>
              <w:widowControl/>
              <w:snapToGrid w:val="0"/>
              <w:jc w:val="center"/>
              <w:rPr>
                <w:rFonts w:ascii="Times New Roman" w:hAnsi="Times New Roman" w:eastAsia="仿宋"/>
                <w:color w:val="auto"/>
                <w:kern w:val="0"/>
                <w:sz w:val="24"/>
              </w:rPr>
            </w:pPr>
          </w:p>
        </w:tc>
      </w:tr>
      <w:tr w14:paraId="39F54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3B15C14E">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w:t>
            </w:r>
          </w:p>
        </w:tc>
        <w:tc>
          <w:tcPr>
            <w:tcW w:w="1178" w:type="dxa"/>
            <w:vMerge w:val="continue"/>
            <w:tcBorders>
              <w:tl2br w:val="nil"/>
              <w:tr2bl w:val="nil"/>
            </w:tcBorders>
            <w:vAlign w:val="center"/>
          </w:tcPr>
          <w:p w14:paraId="6EDD95E9">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09A1C16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994" w:type="dxa"/>
            <w:tcBorders>
              <w:tl2br w:val="nil"/>
              <w:tr2bl w:val="nil"/>
            </w:tcBorders>
            <w:vAlign w:val="center"/>
          </w:tcPr>
          <w:p w14:paraId="7BB07BB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14:paraId="415F5551">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w:t>
            </w:r>
          </w:p>
        </w:tc>
        <w:tc>
          <w:tcPr>
            <w:tcW w:w="657" w:type="dxa"/>
            <w:tcBorders>
              <w:tl2br w:val="nil"/>
              <w:tr2bl w:val="nil"/>
            </w:tcBorders>
            <w:vAlign w:val="center"/>
          </w:tcPr>
          <w:p w14:paraId="78CC9EE3">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14:paraId="1F7D880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32" w:type="dxa"/>
            <w:tcBorders>
              <w:tl2br w:val="nil"/>
              <w:tr2bl w:val="nil"/>
            </w:tcBorders>
            <w:vAlign w:val="center"/>
          </w:tcPr>
          <w:p w14:paraId="670433F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43" w:type="dxa"/>
            <w:tcBorders>
              <w:tl2br w:val="nil"/>
              <w:tr2bl w:val="nil"/>
            </w:tcBorders>
            <w:vAlign w:val="center"/>
          </w:tcPr>
          <w:p w14:paraId="2B56818A">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06" w:type="dxa"/>
            <w:tcBorders>
              <w:tl2br w:val="nil"/>
              <w:tr2bl w:val="nil"/>
            </w:tcBorders>
            <w:vAlign w:val="center"/>
          </w:tcPr>
          <w:p w14:paraId="62AE1DD5">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64677C04">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w:t>
            </w:r>
          </w:p>
        </w:tc>
        <w:tc>
          <w:tcPr>
            <w:tcW w:w="810" w:type="dxa"/>
            <w:tcBorders>
              <w:tl2br w:val="nil"/>
              <w:tr2bl w:val="nil"/>
            </w:tcBorders>
            <w:vAlign w:val="center"/>
          </w:tcPr>
          <w:p w14:paraId="4F8D28A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bl>
    <w:p w14:paraId="56203B27">
      <w:pPr>
        <w:widowControl/>
        <w:snapToGrid w:val="0"/>
        <w:spacing w:line="360" w:lineRule="auto"/>
        <w:ind w:firstLine="560" w:firstLineChars="200"/>
        <w:jc w:val="left"/>
        <w:rPr>
          <w:rFonts w:ascii="仿宋" w:hAnsi="仿宋" w:eastAsia="仿宋" w:cs="仿宋"/>
          <w:color w:val="auto"/>
          <w:kern w:val="0"/>
          <w:sz w:val="28"/>
          <w:szCs w:val="28"/>
        </w:rPr>
      </w:pPr>
      <w:bookmarkStart w:id="202" w:name="_Toc12855"/>
      <w:bookmarkStart w:id="203" w:name="_Toc9666"/>
      <w:bookmarkStart w:id="204" w:name="_Toc11474"/>
      <w:bookmarkStart w:id="205" w:name="_Toc28940"/>
      <w:bookmarkStart w:id="206" w:name="_Toc29797"/>
      <w:bookmarkStart w:id="207" w:name="_Toc4096"/>
      <w:bookmarkStart w:id="208" w:name="_Toc828"/>
      <w:bookmarkStart w:id="209" w:name="_Toc19888"/>
      <w:bookmarkStart w:id="210" w:name="_Toc28810"/>
      <w:bookmarkStart w:id="211" w:name="_Toc20583"/>
    </w:p>
    <w:p w14:paraId="4C3C998D">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沁水县农村供水工程水质每年由县农村饮水安全工程水质检测中心负责进行检测，水质方面符合《生活饮用水卫生标准》（</w:t>
      </w:r>
      <w:r>
        <w:rPr>
          <w:rFonts w:hint="eastAsia" w:ascii="Times New Roman" w:hAnsi="Times New Roman" w:eastAsia="仿宋" w:cs="仿宋_GB2312"/>
          <w:color w:val="auto"/>
          <w:kern w:val="0"/>
          <w:sz w:val="28"/>
          <w:szCs w:val="28"/>
        </w:rPr>
        <w:t>GB5749—2006</w:t>
      </w:r>
      <w:r>
        <w:rPr>
          <w:rFonts w:hint="eastAsia" w:ascii="仿宋" w:hAnsi="仿宋" w:eastAsia="仿宋" w:cs="仿宋"/>
          <w:color w:val="auto"/>
          <w:kern w:val="0"/>
          <w:sz w:val="28"/>
          <w:szCs w:val="28"/>
        </w:rPr>
        <w:t>）以及有关评价标准的规定，保障了全县农村居民的供水安全。</w:t>
      </w:r>
    </w:p>
    <w:p w14:paraId="72189E93">
      <w:pPr>
        <w:pStyle w:val="7"/>
        <w:rPr>
          <w:color w:val="auto"/>
        </w:rPr>
      </w:pPr>
      <w:bookmarkStart w:id="212" w:name="_Toc21953"/>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水资源开发利用</w:t>
      </w:r>
      <w:bookmarkEnd w:id="202"/>
      <w:bookmarkEnd w:id="203"/>
      <w:bookmarkEnd w:id="204"/>
      <w:bookmarkEnd w:id="212"/>
    </w:p>
    <w:p w14:paraId="6DC85A3E">
      <w:pPr>
        <w:pStyle w:val="8"/>
        <w:rPr>
          <w:color w:val="auto"/>
        </w:rPr>
      </w:pPr>
      <w:bookmarkStart w:id="213" w:name="_Toc2228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水资源开发利用现状</w:t>
      </w:r>
      <w:bookmarkEnd w:id="213"/>
    </w:p>
    <w:p w14:paraId="6E4E4F9D">
      <w:pPr>
        <w:snapToGrid w:val="0"/>
        <w:spacing w:line="360" w:lineRule="auto"/>
        <w:ind w:firstLine="560" w:firstLineChars="200"/>
        <w:jc w:val="left"/>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根据《</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年度晋城市水资源公报》，</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年沁水县流域分区水资源总量表、用水指标表和供用水量统计表详见表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和</w:t>
      </w:r>
      <w:r>
        <w:rPr>
          <w:rFonts w:ascii="Times New Roman" w:hAnsi="Times New Roman" w:eastAsia="仿宋"/>
          <w:snapToGrid w:val="0"/>
          <w:color w:val="auto"/>
          <w:kern w:val="0"/>
          <w:sz w:val="28"/>
          <w:szCs w:val="28"/>
        </w:rPr>
        <w:t>表</w:t>
      </w:r>
      <w:r>
        <w:rPr>
          <w:rFonts w:ascii="Times New Roman" w:hAnsi="Times New Roman" w:eastAsia="仿宋" w:cs="仿宋_GB2312"/>
          <w:snapToGrid w:val="0"/>
          <w:color w:val="auto"/>
          <w:kern w:val="0"/>
          <w:sz w:val="28"/>
          <w:szCs w:val="28"/>
        </w:rPr>
        <w:t>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w:t>
      </w:r>
    </w:p>
    <w:p w14:paraId="4520961E">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3</w:t>
      </w:r>
      <w:r>
        <w:rPr>
          <w:rFonts w:hint="eastAsia" w:ascii="Times New Roman" w:hAnsi="Times New Roman" w:eastAsia="仿宋"/>
          <w:color w:val="auto"/>
          <w:kern w:val="0"/>
          <w:sz w:val="28"/>
          <w:szCs w:val="28"/>
        </w:rPr>
        <w:t xml:space="preserve">    沁水县用水指标表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63"/>
        <w:gridCol w:w="1866"/>
        <w:gridCol w:w="1470"/>
        <w:gridCol w:w="1517"/>
      </w:tblGrid>
      <w:tr w14:paraId="521E7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188" w:type="dxa"/>
            <w:vMerge w:val="restart"/>
            <w:tcBorders>
              <w:tl2br w:val="nil"/>
              <w:tr2bl w:val="nil"/>
            </w:tcBorders>
            <w:vAlign w:val="center"/>
          </w:tcPr>
          <w:p w14:paraId="4558BC0D">
            <w:pPr>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行政分区</w:t>
            </w:r>
          </w:p>
        </w:tc>
        <w:tc>
          <w:tcPr>
            <w:tcW w:w="1463" w:type="dxa"/>
            <w:vMerge w:val="restart"/>
            <w:tcBorders>
              <w:tl2br w:val="nil"/>
              <w:tr2bl w:val="nil"/>
            </w:tcBorders>
            <w:vAlign w:val="center"/>
          </w:tcPr>
          <w:p w14:paraId="20835517">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w:t>
            </w:r>
          </w:p>
        </w:tc>
        <w:tc>
          <w:tcPr>
            <w:tcW w:w="1866" w:type="dxa"/>
            <w:vMerge w:val="restart"/>
            <w:tcBorders>
              <w:tl2br w:val="nil"/>
              <w:tr2bl w:val="nil"/>
            </w:tcBorders>
            <w:vAlign w:val="center"/>
          </w:tcPr>
          <w:p w14:paraId="245F11DF">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农田灌溉亩均用水量（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/亩）</w:t>
            </w:r>
          </w:p>
        </w:tc>
        <w:tc>
          <w:tcPr>
            <w:tcW w:w="2987" w:type="dxa"/>
            <w:gridSpan w:val="2"/>
            <w:tcBorders>
              <w:tl2br w:val="nil"/>
              <w:tr2bl w:val="nil"/>
            </w:tcBorders>
            <w:vAlign w:val="center"/>
          </w:tcPr>
          <w:p w14:paraId="42453875">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人均生活用水量（</w:t>
            </w:r>
            <w:r>
              <w:rPr>
                <w:rFonts w:ascii="Times New Roman" w:hAnsi="Times New Roman" w:eastAsia="仿宋" w:cs="仿宋_GB2312"/>
                <w:b/>
                <w:bCs/>
                <w:color w:val="auto"/>
                <w:kern w:val="0"/>
                <w:sz w:val="24"/>
              </w:rPr>
              <w:t>l</w:t>
            </w:r>
            <w:r>
              <w:rPr>
                <w:rFonts w:ascii="Times New Roman" w:hAnsi="Times New Roman" w:eastAsia="仿宋"/>
                <w:b/>
                <w:bCs/>
                <w:color w:val="auto"/>
                <w:kern w:val="0"/>
                <w:sz w:val="24"/>
              </w:rPr>
              <w:t>/</w:t>
            </w:r>
            <w:r>
              <w:rPr>
                <w:rFonts w:ascii="Times New Roman" w:hAnsi="Times New Roman" w:eastAsia="仿宋" w:cs="仿宋_GB2312"/>
                <w:b/>
                <w:bCs/>
                <w:color w:val="auto"/>
                <w:kern w:val="0"/>
                <w:sz w:val="24"/>
              </w:rPr>
              <w:t>d</w:t>
            </w:r>
            <w:r>
              <w:rPr>
                <w:rFonts w:hint="eastAsia" w:ascii="仿宋" w:hAnsi="仿宋" w:eastAsia="仿宋" w:cs="仿宋"/>
                <w:b/>
                <w:bCs/>
                <w:color w:val="auto"/>
                <w:kern w:val="0"/>
                <w:sz w:val="24"/>
              </w:rPr>
              <w:t>·人）</w:t>
            </w:r>
          </w:p>
        </w:tc>
      </w:tr>
      <w:tr w14:paraId="66085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88" w:type="dxa"/>
            <w:vMerge w:val="continue"/>
            <w:tcBorders>
              <w:tl2br w:val="nil"/>
              <w:tr2bl w:val="nil"/>
            </w:tcBorders>
            <w:vAlign w:val="center"/>
          </w:tcPr>
          <w:p w14:paraId="6B6965A0">
            <w:pPr>
              <w:widowControl/>
              <w:snapToGrid w:val="0"/>
              <w:jc w:val="center"/>
              <w:rPr>
                <w:rFonts w:ascii="仿宋" w:hAnsi="仿宋" w:eastAsia="仿宋" w:cs="仿宋"/>
                <w:b/>
                <w:bCs/>
                <w:color w:val="auto"/>
                <w:kern w:val="0"/>
                <w:sz w:val="24"/>
              </w:rPr>
            </w:pPr>
          </w:p>
        </w:tc>
        <w:tc>
          <w:tcPr>
            <w:tcW w:w="1463" w:type="dxa"/>
            <w:vMerge w:val="continue"/>
            <w:tcBorders>
              <w:tl2br w:val="nil"/>
              <w:tr2bl w:val="nil"/>
            </w:tcBorders>
            <w:vAlign w:val="center"/>
          </w:tcPr>
          <w:p w14:paraId="6653139F">
            <w:pPr>
              <w:widowControl/>
              <w:snapToGrid w:val="0"/>
              <w:jc w:val="center"/>
              <w:rPr>
                <w:rFonts w:ascii="仿宋" w:hAnsi="仿宋" w:eastAsia="仿宋" w:cs="仿宋"/>
                <w:b/>
                <w:bCs/>
                <w:color w:val="auto"/>
                <w:kern w:val="0"/>
                <w:sz w:val="24"/>
              </w:rPr>
            </w:pPr>
          </w:p>
        </w:tc>
        <w:tc>
          <w:tcPr>
            <w:tcW w:w="1866" w:type="dxa"/>
            <w:vMerge w:val="continue"/>
            <w:tcBorders>
              <w:tl2br w:val="nil"/>
              <w:tr2bl w:val="nil"/>
            </w:tcBorders>
            <w:vAlign w:val="center"/>
          </w:tcPr>
          <w:p w14:paraId="3D3D6E9B">
            <w:pPr>
              <w:widowControl/>
              <w:snapToGrid w:val="0"/>
              <w:jc w:val="center"/>
              <w:rPr>
                <w:rFonts w:ascii="仿宋" w:hAnsi="仿宋" w:eastAsia="仿宋" w:cs="仿宋"/>
                <w:b/>
                <w:bCs/>
                <w:color w:val="auto"/>
                <w:kern w:val="0"/>
                <w:sz w:val="24"/>
              </w:rPr>
            </w:pPr>
          </w:p>
        </w:tc>
        <w:tc>
          <w:tcPr>
            <w:tcW w:w="1470" w:type="dxa"/>
            <w:tcBorders>
              <w:tl2br w:val="nil"/>
              <w:tr2bl w:val="nil"/>
            </w:tcBorders>
            <w:vAlign w:val="center"/>
          </w:tcPr>
          <w:p w14:paraId="78AC0013">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城镇生活</w:t>
            </w:r>
          </w:p>
        </w:tc>
        <w:tc>
          <w:tcPr>
            <w:tcW w:w="1517" w:type="dxa"/>
            <w:tcBorders>
              <w:tl2br w:val="nil"/>
              <w:tr2bl w:val="nil"/>
            </w:tcBorders>
            <w:vAlign w:val="center"/>
          </w:tcPr>
          <w:p w14:paraId="69346C5F">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农村生活</w:t>
            </w:r>
          </w:p>
        </w:tc>
      </w:tr>
      <w:tr w14:paraId="7C5EF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14:paraId="2160BE6D">
            <w:pPr>
              <w:snapToGrid w:val="0"/>
              <w:jc w:val="center"/>
              <w:rPr>
                <w:rFonts w:eastAsia="仿宋" w:cs="仿宋"/>
                <w:color w:val="auto"/>
                <w:sz w:val="24"/>
                <w:shd w:val="clear" w:color="auto" w:fill="FFFFFF"/>
              </w:rPr>
            </w:pPr>
            <w:r>
              <w:rPr>
                <w:rFonts w:ascii="仿宋" w:hAnsi="仿宋" w:eastAsia="仿宋" w:cs="仿宋"/>
                <w:color w:val="auto"/>
                <w:kern w:val="0"/>
                <w:sz w:val="24"/>
              </w:rPr>
              <w:t>沁水县</w:t>
            </w:r>
          </w:p>
        </w:tc>
        <w:tc>
          <w:tcPr>
            <w:tcW w:w="1463" w:type="dxa"/>
            <w:tcBorders>
              <w:tl2br w:val="nil"/>
              <w:tr2bl w:val="nil"/>
            </w:tcBorders>
            <w:vAlign w:val="center"/>
          </w:tcPr>
          <w:p w14:paraId="67C9C8A2">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262</w:t>
            </w:r>
          </w:p>
        </w:tc>
        <w:tc>
          <w:tcPr>
            <w:tcW w:w="1866" w:type="dxa"/>
            <w:tcBorders>
              <w:tl2br w:val="nil"/>
              <w:tr2bl w:val="nil"/>
            </w:tcBorders>
            <w:vAlign w:val="center"/>
          </w:tcPr>
          <w:p w14:paraId="1596A753">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172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w:t>
            </w:r>
          </w:p>
        </w:tc>
        <w:tc>
          <w:tcPr>
            <w:tcW w:w="1470" w:type="dxa"/>
            <w:tcBorders>
              <w:tl2br w:val="nil"/>
              <w:tr2bl w:val="nil"/>
            </w:tcBorders>
            <w:vAlign w:val="center"/>
          </w:tcPr>
          <w:p w14:paraId="292096F6">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112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517" w:type="dxa"/>
            <w:tcBorders>
              <w:tl2br w:val="nil"/>
              <w:tr2bl w:val="nil"/>
            </w:tcBorders>
            <w:vAlign w:val="center"/>
          </w:tcPr>
          <w:p w14:paraId="0F0382F0">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65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9</w:t>
            </w:r>
          </w:p>
        </w:tc>
      </w:tr>
    </w:tbl>
    <w:p w14:paraId="44C92882">
      <w:pPr>
        <w:pStyle w:val="2"/>
        <w:ind w:firstLine="480"/>
        <w:rPr>
          <w:color w:val="auto"/>
        </w:rPr>
      </w:pPr>
    </w:p>
    <w:p w14:paraId="5540A467">
      <w:pPr>
        <w:snapToGrid w:val="0"/>
        <w:spacing w:line="360" w:lineRule="auto"/>
        <w:ind w:firstLine="560" w:firstLineChars="200"/>
        <w:jc w:val="left"/>
        <w:rPr>
          <w:rFonts w:ascii="Times New Roman" w:hAnsi="Times New Roman" w:eastAsia="仿宋_GB2312" w:cs="仿宋_GB2312"/>
          <w:color w:val="auto"/>
          <w:sz w:val="28"/>
        </w:rPr>
      </w:pPr>
      <w:r>
        <w:rPr>
          <w:rFonts w:hint="eastAsia" w:ascii="Times New Roman" w:hAnsi="Times New Roman" w:eastAsia="仿宋_GB2312" w:cs="仿宋_GB2312"/>
          <w:color w:val="auto"/>
          <w:sz w:val="28"/>
        </w:rPr>
        <w:t>2020年，全县用水总量为0.53万</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（目标值0.598</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），其中地表水用量0.286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地下水用水量0.205</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其它水源用水量0.0396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。万元地区生产总值用水量为26.5m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，万元工业增加值用水量10.8m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，万元地区生产总值用水量降幅2.68％（年度指标为2.6%），万元工业增加值用水量降幅1.1％（年度指标为1%）。</w:t>
      </w:r>
    </w:p>
    <w:p w14:paraId="1A248436">
      <w:pPr>
        <w:pStyle w:val="8"/>
        <w:rPr>
          <w:color w:val="auto"/>
        </w:rPr>
      </w:pPr>
      <w:bookmarkStart w:id="214" w:name="_Toc2999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水资源开发利用保护措施</w:t>
      </w:r>
      <w:bookmarkEnd w:id="214"/>
    </w:p>
    <w:p w14:paraId="13E448C3">
      <w:pPr>
        <w:snapToGrid w:val="0"/>
        <w:spacing w:line="360" w:lineRule="auto"/>
        <w:ind w:firstLine="562" w:firstLineChars="200"/>
        <w:rPr>
          <w:rFonts w:hint="eastAsia" w:ascii="仿宋" w:hAnsi="仿宋" w:eastAsia="仿宋" w:cs="仿宋"/>
          <w:b/>
          <w:bCs w:val="0"/>
          <w:color w:val="auto"/>
          <w:kern w:val="0"/>
          <w:sz w:val="28"/>
          <w:szCs w:val="28"/>
        </w:rPr>
      </w:pPr>
      <w:r>
        <w:rPr>
          <w:rFonts w:hint="eastAsia" w:ascii="仿宋" w:hAnsi="仿宋" w:eastAsia="仿宋" w:cs="仿宋"/>
          <w:b/>
          <w:bCs w:val="0"/>
          <w:color w:val="auto"/>
          <w:kern w:val="0"/>
          <w:sz w:val="28"/>
          <w:szCs w:val="28"/>
        </w:rPr>
        <w:t>一</w:t>
      </w:r>
      <w:r>
        <w:rPr>
          <w:rFonts w:hint="eastAsia" w:ascii="仿宋" w:hAnsi="仿宋" w:eastAsia="仿宋" w:cs="仿宋"/>
          <w:b/>
          <w:bCs w:val="0"/>
          <w:color w:val="auto"/>
          <w:kern w:val="0"/>
          <w:sz w:val="28"/>
          <w:szCs w:val="28"/>
          <w:lang w:eastAsia="zh-CN"/>
        </w:rPr>
        <w:t>、</w:t>
      </w:r>
      <w:r>
        <w:rPr>
          <w:rFonts w:hint="eastAsia" w:ascii="仿宋" w:hAnsi="仿宋" w:eastAsia="仿宋" w:cs="仿宋"/>
          <w:b/>
          <w:bCs w:val="0"/>
          <w:color w:val="auto"/>
          <w:kern w:val="0"/>
          <w:sz w:val="28"/>
          <w:szCs w:val="28"/>
        </w:rPr>
        <w:t>以沁水水资源和水环境承载能力为约束，协调经济社会发展对水资源的需求与水资源保护的关系，并为将来经济社会发展需求留有余地，以水资源可持续利用保障经济社会可持续发展。</w:t>
      </w:r>
    </w:p>
    <w:p w14:paraId="69C0997B">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bCs/>
          <w:color w:val="auto"/>
          <w:kern w:val="0"/>
          <w:sz w:val="28"/>
          <w:szCs w:val="28"/>
        </w:rPr>
        <w:t>充分认识水资源的资源属性，统筹水量保障、水质安全和水生态安全，发挥水资源对沁水经济社会发展的支撑功能和对水生态系统安全的保障作用。统筹协调上下游、左右岸、地表与地下、城市和乡村、局部与整体、当前和长远、资源与环境等各个方面的关系，优先考虑重要水域的保护与修复。按照实行最严格的水资源管理制度的要求，确立水功能区限制纳污红线，严格控制入河排污总量，逐步完善水资源保护和水污染防治协调机制。</w:t>
      </w:r>
    </w:p>
    <w:p w14:paraId="2741D2BE">
      <w:pPr>
        <w:numPr>
          <w:ilvl w:val="0"/>
          <w:numId w:val="4"/>
        </w:numPr>
        <w:snapToGrid w:val="0"/>
        <w:spacing w:line="360" w:lineRule="auto"/>
        <w:ind w:firstLine="562" w:firstLineChars="200"/>
        <w:rPr>
          <w:rFonts w:hint="eastAsia" w:ascii="仿宋" w:hAnsi="仿宋" w:eastAsia="仿宋" w:cs="仿宋"/>
          <w:b/>
          <w:bCs w:val="0"/>
          <w:color w:val="auto"/>
          <w:kern w:val="0"/>
          <w:sz w:val="28"/>
          <w:szCs w:val="28"/>
          <w:lang w:val="zh-CN"/>
        </w:rPr>
      </w:pPr>
      <w:r>
        <w:rPr>
          <w:rFonts w:hint="eastAsia" w:ascii="仿宋" w:hAnsi="仿宋" w:eastAsia="仿宋" w:cs="仿宋"/>
          <w:b/>
          <w:bCs w:val="0"/>
          <w:color w:val="auto"/>
          <w:kern w:val="0"/>
          <w:sz w:val="28"/>
          <w:szCs w:val="28"/>
          <w:lang w:val="zh-CN"/>
        </w:rPr>
        <w:t>从水安全的角度全面加强节约用水管理，切实推进节水型社会建设，开展节水型农业、节水型企业示范点建设。</w:t>
      </w:r>
    </w:p>
    <w:p w14:paraId="6D153D7D">
      <w:pPr>
        <w:numPr>
          <w:ilvl w:val="0"/>
          <w:numId w:val="0"/>
        </w:numPr>
        <w:snapToGrid w:val="0"/>
        <w:spacing w:line="360" w:lineRule="auto"/>
        <w:ind w:firstLine="560" w:firstLineChars="200"/>
        <w:rPr>
          <w:rFonts w:ascii="仿宋" w:hAnsi="仿宋" w:eastAsia="仿宋" w:cs="仿宋"/>
          <w:bCs/>
          <w:color w:val="auto"/>
          <w:kern w:val="0"/>
          <w:sz w:val="28"/>
          <w:szCs w:val="28"/>
          <w:lang w:val="zh-CN"/>
        </w:rPr>
      </w:pPr>
      <w:r>
        <w:rPr>
          <w:rFonts w:hint="eastAsia" w:ascii="仿宋" w:hAnsi="仿宋" w:eastAsia="仿宋" w:cs="仿宋"/>
          <w:bCs/>
          <w:color w:val="auto"/>
          <w:kern w:val="0"/>
          <w:sz w:val="28"/>
          <w:szCs w:val="28"/>
          <w:lang w:val="zh-CN"/>
        </w:rPr>
        <w:t>通过建立完善水功能区限制纳污控制指标体系、水资源保护监测体系和监督管理体系，全面加强水功能区限制纳污“红线”管理，确保沁水水功能区保持三级以上地表水条件。促进沁水水生态环境有效改善，保障饮用水安全、水生态安全，为沁水经济社会可持续发展提供坚实的水资源保障。</w:t>
      </w:r>
    </w:p>
    <w:p w14:paraId="5ECF6198">
      <w:pPr>
        <w:snapToGrid w:val="0"/>
        <w:spacing w:line="360" w:lineRule="auto"/>
        <w:ind w:firstLine="562" w:firstLineChars="200"/>
        <w:rPr>
          <w:rFonts w:hint="eastAsia" w:ascii="仿宋_GB2312" w:hAnsi="仿宋_GB2312" w:eastAsia="仿宋_GB2312" w:cs="仿宋_GB2312"/>
          <w:b/>
          <w:bCs/>
          <w:color w:val="auto"/>
          <w:sz w:val="28"/>
          <w:szCs w:val="28"/>
          <w:lang w:val="zh-CN"/>
        </w:rPr>
      </w:pPr>
      <w:r>
        <w:rPr>
          <w:rFonts w:hint="eastAsia" w:ascii="仿宋_GB2312" w:hAnsi="仿宋_GB2312" w:eastAsia="仿宋_GB2312" w:cs="仿宋_GB2312"/>
          <w:b/>
          <w:bCs/>
          <w:color w:val="auto"/>
          <w:sz w:val="28"/>
          <w:szCs w:val="28"/>
        </w:rPr>
        <w:t>三</w:t>
      </w:r>
      <w:r>
        <w:rPr>
          <w:rFonts w:hint="eastAsia" w:ascii="仿宋_GB2312" w:hAnsi="仿宋_GB2312" w:eastAsia="仿宋_GB2312" w:cs="仿宋_GB2312"/>
          <w:b/>
          <w:bCs/>
          <w:color w:val="auto"/>
          <w:sz w:val="28"/>
          <w:szCs w:val="28"/>
          <w:lang w:val="zh-CN"/>
        </w:rPr>
        <w:t>、提升水资源节约集约利用水平。</w:t>
      </w:r>
    </w:p>
    <w:p w14:paraId="3DF2AC47">
      <w:pPr>
        <w:snapToGrid w:val="0"/>
        <w:spacing w:line="360" w:lineRule="auto"/>
        <w:ind w:firstLine="560" w:firstLineChars="200"/>
        <w:rPr>
          <w:color w:val="auto"/>
          <w:lang w:val="zh-CN"/>
        </w:rPr>
      </w:pPr>
      <w:r>
        <w:rPr>
          <w:rFonts w:hint="eastAsia" w:ascii="仿宋_GB2312" w:hAnsi="仿宋_GB2312" w:eastAsia="仿宋_GB2312" w:cs="仿宋_GB2312"/>
          <w:color w:val="auto"/>
          <w:sz w:val="28"/>
          <w:szCs w:val="28"/>
          <w:lang w:val="zh-CN"/>
        </w:rPr>
        <w:t>按照“挖潜力、强骨干、成网络”的思路，完善水资源配置体系，提高水资源统筹调配能力和供水安全保障能力。要实施国家节水行动，建立水资源刚性约束制度，大力推进农业农村节水，深入推进工业节水，加快形成节水型生活方式，切实提高水资源利用效率和效益。要推进重大引调水工程建设，加快完善水资源配置体系，支撑经济社会发展格局。</w:t>
      </w:r>
      <w:r>
        <w:rPr>
          <w:rFonts w:hint="eastAsia" w:ascii="Times New Roman" w:hAnsi="Times New Roman" w:eastAsia="华文仿宋"/>
          <w:color w:val="auto"/>
          <w:sz w:val="28"/>
          <w:szCs w:val="28"/>
        </w:rPr>
        <w:t>“</w:t>
      </w:r>
      <w:r>
        <w:rPr>
          <w:rFonts w:hint="eastAsia" w:ascii="仿宋_GB2312" w:hAnsi="仿宋_GB2312" w:eastAsia="仿宋_GB2312" w:cs="仿宋_GB2312"/>
          <w:color w:val="auto"/>
          <w:kern w:val="2"/>
          <w:sz w:val="28"/>
          <w:szCs w:val="28"/>
          <w:lang w:val="zh-CN" w:eastAsia="zh-CN" w:bidi="ar-SA"/>
        </w:rPr>
        <w:t>十四五”时期</w:t>
      </w:r>
      <w:r>
        <w:rPr>
          <w:rFonts w:hint="eastAsia" w:ascii="仿宋_GB2312" w:hAnsi="仿宋_GB2312" w:eastAsia="仿宋_GB2312" w:cs="仿宋_GB2312"/>
          <w:color w:val="auto"/>
          <w:kern w:val="2"/>
          <w:sz w:val="28"/>
          <w:szCs w:val="28"/>
          <w:lang w:val="en-US" w:eastAsia="zh-CN" w:bidi="ar-SA"/>
        </w:rPr>
        <w:t>我县将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14:paraId="705F5735">
      <w:pPr>
        <w:pStyle w:val="7"/>
        <w:rPr>
          <w:color w:val="auto"/>
        </w:rPr>
      </w:pPr>
      <w:bookmarkStart w:id="215" w:name="_Toc357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水资源供需形势</w:t>
      </w:r>
      <w:bookmarkEnd w:id="215"/>
    </w:p>
    <w:p w14:paraId="6EA7DF79">
      <w:pPr>
        <w:pStyle w:val="8"/>
        <w:spacing w:line="360" w:lineRule="auto"/>
        <w:rPr>
          <w:color w:val="auto"/>
        </w:rPr>
      </w:pPr>
      <w:bookmarkStart w:id="216" w:name="_Toc13939"/>
      <w:bookmarkStart w:id="217" w:name="_Toc26261"/>
      <w:bookmarkStart w:id="218" w:name="_Toc2270"/>
      <w:bookmarkStart w:id="219" w:name="_Toc26331"/>
      <w:bookmarkStart w:id="220" w:name="_Toc27878"/>
      <w:bookmarkStart w:id="221" w:name="_Toc7846"/>
      <w:bookmarkStart w:id="222" w:name="_Toc11505"/>
      <w:bookmarkStart w:id="223" w:name="_Toc17715"/>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需水预测</w:t>
      </w:r>
      <w:bookmarkEnd w:id="216"/>
      <w:bookmarkEnd w:id="217"/>
      <w:bookmarkEnd w:id="218"/>
      <w:bookmarkEnd w:id="219"/>
      <w:bookmarkEnd w:id="220"/>
      <w:bookmarkEnd w:id="221"/>
      <w:bookmarkEnd w:id="222"/>
      <w:bookmarkEnd w:id="223"/>
    </w:p>
    <w:p w14:paraId="4F31B341">
      <w:pPr>
        <w:snapToGrid w:val="0"/>
        <w:spacing w:line="360" w:lineRule="auto"/>
        <w:ind w:firstLine="482"/>
        <w:rPr>
          <w:rFonts w:ascii="Times New Roman" w:hAnsi="Times New Roman" w:eastAsia="仿宋"/>
          <w:color w:val="auto"/>
          <w:sz w:val="30"/>
          <w:szCs w:val="30"/>
        </w:rPr>
      </w:pPr>
      <w:r>
        <w:rPr>
          <w:rFonts w:hint="eastAsia" w:ascii="Times New Roman" w:hAnsi="Times New Roman" w:eastAsia="仿宋"/>
          <w:color w:val="auto"/>
          <w:sz w:val="28"/>
        </w:rPr>
        <w:t>现状年采用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rPr>
        <w:t>年，根据当地发展规划和社会经济发展水平，确定规划水平年</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rPr>
        <w:t>年所需水量。本次需水量计算包括生活需水量、生产需水量和生态需水量三部分。</w:t>
      </w:r>
    </w:p>
    <w:p w14:paraId="3E7312CF">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生活需水量预测</w:t>
      </w:r>
    </w:p>
    <w:p w14:paraId="7B613B76">
      <w:pPr>
        <w:snapToGrid w:val="0"/>
        <w:spacing w:line="480" w:lineRule="auto"/>
        <w:ind w:firstLine="562" w:firstLineChars="200"/>
        <w:rPr>
          <w:rFonts w:ascii="Times New Roman" w:hAnsi="Times New Roman" w:eastAsia="仿宋"/>
          <w:b/>
          <w:bCs/>
          <w:color w:val="auto"/>
          <w:sz w:val="28"/>
          <w:szCs w:val="28"/>
        </w:rPr>
      </w:pPr>
      <w:bookmarkStart w:id="224" w:name="_Toc441481422"/>
      <w:bookmarkStart w:id="225" w:name="_Toc441481423"/>
      <w:r>
        <w:rPr>
          <w:rFonts w:ascii="Times New Roman" w:hAnsi="Times New Roman" w:eastAsia="仿宋" w:cs="仿宋_GB2312"/>
          <w:b/>
          <w:bCs/>
          <w:color w:val="auto"/>
          <w:sz w:val="28"/>
          <w:szCs w:val="28"/>
        </w:rPr>
        <w:t>1</w:t>
      </w:r>
      <w:r>
        <w:rPr>
          <w:rFonts w:ascii="Times New Roman" w:hAnsi="Times New Roman" w:eastAsia="仿宋"/>
          <w:b/>
          <w:bCs/>
          <w:color w:val="auto"/>
          <w:sz w:val="28"/>
          <w:szCs w:val="28"/>
        </w:rPr>
        <w:t>.</w:t>
      </w:r>
      <w:r>
        <w:rPr>
          <w:rFonts w:hint="eastAsia" w:ascii="Times New Roman" w:hAnsi="Times New Roman" w:eastAsia="仿宋"/>
          <w:b/>
          <w:bCs/>
          <w:color w:val="auto"/>
          <w:sz w:val="28"/>
          <w:szCs w:val="28"/>
        </w:rPr>
        <w:t>人口</w:t>
      </w:r>
      <w:bookmarkEnd w:id="224"/>
      <w:r>
        <w:rPr>
          <w:rFonts w:hint="eastAsia" w:ascii="Times New Roman" w:hAnsi="Times New Roman" w:eastAsia="仿宋"/>
          <w:b/>
          <w:bCs/>
          <w:color w:val="auto"/>
          <w:sz w:val="28"/>
          <w:szCs w:val="28"/>
        </w:rPr>
        <w:t>及城镇化指标</w:t>
      </w:r>
    </w:p>
    <w:p w14:paraId="742B68AA">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沁水统计年鉴》中常住人口统计的数据，</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年末，全县</w:t>
      </w:r>
      <w:r>
        <w:rPr>
          <w:rFonts w:hint="eastAsia" w:ascii="仿宋" w:hAnsi="仿宋" w:eastAsia="仿宋" w:cs="仿宋"/>
          <w:color w:val="auto"/>
          <w:sz w:val="28"/>
          <w:szCs w:val="28"/>
        </w:rPr>
        <w:t>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r>
        <w:rPr>
          <w:rFonts w:hint="eastAsia" w:ascii="Times New Roman" w:hAnsi="Times New Roman" w:eastAsia="仿宋"/>
          <w:color w:val="auto"/>
          <w:sz w:val="28"/>
          <w:szCs w:val="28"/>
        </w:rPr>
        <w:t>远远低于晋城市的城镇化率</w:t>
      </w:r>
      <w:r>
        <w:rPr>
          <w:rFonts w:hint="eastAsia" w:ascii="Times New Roman" w:hAnsi="Times New Roman" w:eastAsia="仿宋" w:cs="仿宋_GB2312"/>
          <w:color w:val="auto"/>
          <w:sz w:val="28"/>
          <w:szCs w:val="28"/>
        </w:rPr>
        <w:t>60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79</w:t>
      </w:r>
      <w:r>
        <w:rPr>
          <w:rFonts w:hint="eastAsia" w:ascii="Times New Roman" w:hAnsi="Times New Roman" w:eastAsia="仿宋"/>
          <w:color w:val="auto"/>
          <w:sz w:val="28"/>
          <w:szCs w:val="28"/>
        </w:rPr>
        <w:t>%和山西省的城镇化率</w:t>
      </w:r>
      <w:r>
        <w:rPr>
          <w:rFonts w:hint="eastAsia" w:ascii="Times New Roman" w:hAnsi="Times New Roman" w:eastAsia="仿宋" w:cs="仿宋_GB2312"/>
          <w:color w:val="auto"/>
          <w:sz w:val="28"/>
          <w:szCs w:val="28"/>
        </w:rPr>
        <w:t>59</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55</w:t>
      </w:r>
      <w:r>
        <w:rPr>
          <w:rFonts w:hint="eastAsia" w:ascii="Times New Roman" w:hAnsi="Times New Roman" w:eastAsia="仿宋"/>
          <w:color w:val="auto"/>
          <w:sz w:val="28"/>
          <w:szCs w:val="28"/>
        </w:rPr>
        <w:t>%，更低于发达国家近</w:t>
      </w:r>
      <w:r>
        <w:rPr>
          <w:rFonts w:hint="eastAsia" w:ascii="Times New Roman" w:hAnsi="Times New Roman" w:eastAsia="仿宋" w:cs="仿宋_GB2312"/>
          <w:color w:val="auto"/>
          <w:sz w:val="28"/>
          <w:szCs w:val="28"/>
        </w:rPr>
        <w:t>80</w:t>
      </w:r>
      <w:r>
        <w:rPr>
          <w:rFonts w:hint="eastAsia" w:ascii="Times New Roman" w:hAnsi="Times New Roman" w:eastAsia="仿宋"/>
          <w:color w:val="auto"/>
          <w:sz w:val="28"/>
          <w:szCs w:val="28"/>
        </w:rPr>
        <w:t>%的平均水平。</w:t>
      </w:r>
    </w:p>
    <w:p w14:paraId="260453AD">
      <w:pPr>
        <w:pStyle w:val="80"/>
        <w:snapToGrid w:val="0"/>
        <w:ind w:firstLine="560" w:firstLineChars="200"/>
        <w:rPr>
          <w:rFonts w:ascii="Times New Roman" w:hAnsi="Times New Roman" w:eastAsia="仿宋"/>
          <w:color w:val="auto"/>
          <w:sz w:val="28"/>
          <w:szCs w:val="28"/>
        </w:rPr>
      </w:pPr>
      <w:r>
        <w:rPr>
          <w:rFonts w:hint="eastAsia" w:ascii="Times New Roman" w:hAnsi="Times New Roman" w:eastAsia="仿宋" w:cs="仿宋_GB2312"/>
          <w:color w:val="auto"/>
          <w:sz w:val="28"/>
          <w:szCs w:val="28"/>
        </w:rPr>
        <w:t>2015</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年全县总人口减少</w:t>
      </w:r>
      <w:r>
        <w:rPr>
          <w:rFonts w:hint="eastAsia" w:ascii="Times New Roman" w:hAnsi="Times New Roman" w:eastAsia="仿宋" w:cs="仿宋_GB2312"/>
          <w:color w:val="auto"/>
          <w:sz w:val="28"/>
          <w:szCs w:val="28"/>
          <w:lang w:val="en-US" w:eastAsia="zh-CN"/>
        </w:rPr>
        <w:t>2279</w:t>
      </w:r>
      <w:r>
        <w:rPr>
          <w:rFonts w:hint="eastAsia" w:ascii="Times New Roman" w:hAnsi="Times New Roman" w:eastAsia="仿宋"/>
          <w:color w:val="auto"/>
          <w:sz w:val="28"/>
          <w:szCs w:val="28"/>
        </w:rPr>
        <w:t>人，减少了</w:t>
      </w:r>
      <w:r>
        <w:rPr>
          <w:rFonts w:hint="eastAsia" w:ascii="Times New Roman" w:hAnsi="Times New Roman" w:eastAsia="仿宋" w:cs="仿宋_GB2312"/>
          <w:color w:val="auto"/>
          <w:sz w:val="28"/>
          <w:szCs w:val="28"/>
          <w:lang w:val="en-US" w:eastAsia="zh-CN"/>
        </w:rPr>
        <w:t>1</w:t>
      </w:r>
      <w:r>
        <w:rPr>
          <w:rFonts w:hint="eastAsia" w:ascii="Times New Roman" w:hAnsi="Times New Roman" w:eastAsia="仿宋"/>
          <w:color w:val="auto"/>
          <w:sz w:val="28"/>
          <w:szCs w:val="28"/>
        </w:rPr>
        <w:t>%，年均增长率为</w:t>
      </w:r>
      <w:r>
        <w:rPr>
          <w:rFonts w:hint="eastAsia" w:ascii="Times New Roman" w:hAnsi="Times New Roman" w:eastAsia="仿宋"/>
          <w:color w:val="auto"/>
          <w:sz w:val="28"/>
          <w:szCs w:val="28"/>
          <w:lang w:val="en-US" w:eastAsia="zh-CN"/>
        </w:rPr>
        <w:t>2.5</w:t>
      </w:r>
      <w:r>
        <w:rPr>
          <w:rFonts w:ascii="Times New Roman" w:hAnsi="Times New Roman" w:eastAsia="仿宋"/>
          <w:color w:val="auto"/>
          <w:sz w:val="28"/>
          <w:szCs w:val="28"/>
        </w:rPr>
        <w:t>‰</w:t>
      </w:r>
      <w:r>
        <w:rPr>
          <w:rFonts w:hint="eastAsia" w:ascii="Times New Roman" w:hAnsi="Times New Roman" w:eastAsia="仿宋"/>
          <w:color w:val="auto"/>
          <w:sz w:val="28"/>
          <w:szCs w:val="28"/>
        </w:rPr>
        <w:t>。根据人口综合年均增长率预测人口规模，按下式计算：</w:t>
      </w:r>
    </w:p>
    <w:p w14:paraId="28E0157B">
      <w:pPr>
        <w:pStyle w:val="80"/>
        <w:snapToGrid w:val="0"/>
        <w:jc w:val="center"/>
        <w:rPr>
          <w:rFonts w:ascii="Times New Roman" w:hAnsi="Times New Roman" w:eastAsia="仿宋"/>
          <w:color w:val="auto"/>
          <w:sz w:val="28"/>
          <w:szCs w:val="28"/>
          <w:vertAlign w:val="subscript"/>
        </w:rPr>
      </w:pP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w:t>
      </w:r>
      <w:r>
        <w:rPr>
          <w:rFonts w:ascii="Times New Roman" w:hAnsi="Times New Roman" w:eastAsia="仿宋" w:cs="仿宋_GB2312"/>
          <w:color w:val="auto"/>
          <w:sz w:val="28"/>
          <w:szCs w:val="28"/>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r</w:t>
      </w:r>
      <w:r>
        <w:rPr>
          <w:rFonts w:ascii="Times New Roman" w:hAnsi="Times New Roman" w:eastAsia="仿宋"/>
          <w:color w:val="auto"/>
          <w:sz w:val="28"/>
          <w:szCs w:val="28"/>
        </w:rPr>
        <w:t>）</w:t>
      </w:r>
      <w:r>
        <w:rPr>
          <w:rFonts w:ascii="Times New Roman" w:hAnsi="Times New Roman" w:eastAsia="仿宋" w:cs="仿宋_GB2312"/>
          <w:color w:val="auto"/>
          <w:sz w:val="28"/>
          <w:szCs w:val="28"/>
          <w:vertAlign w:val="superscript"/>
        </w:rPr>
        <w:t>n</w:t>
      </w:r>
      <w:r>
        <w:rPr>
          <w:rFonts w:ascii="Times New Roman" w:hAnsi="Times New Roman" w:eastAsia="仿宋"/>
          <w:color w:val="auto"/>
          <w:sz w:val="28"/>
          <w:szCs w:val="28"/>
          <w:vertAlign w:val="superscript"/>
        </w:rPr>
        <w:t xml:space="preserve"> </w:t>
      </w:r>
    </w:p>
    <w:p w14:paraId="0FF158C1">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预测目标年末人口规模</w:t>
      </w:r>
      <w:r>
        <w:rPr>
          <w:rFonts w:ascii="Times New Roman" w:hAnsi="Times New Roman" w:eastAsia="仿宋"/>
          <w:color w:val="auto"/>
          <w:sz w:val="28"/>
          <w:szCs w:val="28"/>
        </w:rPr>
        <w:t>；</w:t>
      </w:r>
    </w:p>
    <w:p w14:paraId="4B950F76">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—现状常住人口，其中包括无当地户籍的常住人口（人）；</w:t>
      </w:r>
    </w:p>
    <w:p w14:paraId="5E751EDB">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r</w:t>
      </w:r>
      <w:r>
        <w:rPr>
          <w:rFonts w:ascii="Times New Roman" w:hAnsi="Times New Roman" w:eastAsia="仿宋"/>
          <w:color w:val="auto"/>
          <w:sz w:val="28"/>
          <w:szCs w:val="28"/>
        </w:rPr>
        <w:t>—人口</w:t>
      </w:r>
      <w:r>
        <w:rPr>
          <w:rFonts w:hint="eastAsia" w:ascii="Times New Roman" w:hAnsi="Times New Roman" w:eastAsia="仿宋"/>
          <w:color w:val="auto"/>
          <w:sz w:val="28"/>
          <w:szCs w:val="28"/>
        </w:rPr>
        <w:t>年均</w:t>
      </w:r>
      <w:r>
        <w:rPr>
          <w:rFonts w:ascii="Times New Roman" w:hAnsi="Times New Roman" w:eastAsia="仿宋"/>
          <w:color w:val="auto"/>
          <w:sz w:val="28"/>
          <w:szCs w:val="28"/>
        </w:rPr>
        <w:t>增长率；</w:t>
      </w:r>
    </w:p>
    <w:p w14:paraId="12CA5BA7">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n</w:t>
      </w:r>
      <w:r>
        <w:rPr>
          <w:rFonts w:ascii="Times New Roman" w:hAnsi="Times New Roman" w:eastAsia="仿宋"/>
          <w:color w:val="auto"/>
          <w:sz w:val="28"/>
          <w:szCs w:val="28"/>
        </w:rPr>
        <w:t>—</w:t>
      </w:r>
      <w:r>
        <w:rPr>
          <w:rFonts w:hint="eastAsia" w:ascii="Times New Roman" w:hAnsi="Times New Roman" w:eastAsia="仿宋"/>
          <w:color w:val="auto"/>
          <w:sz w:val="28"/>
          <w:szCs w:val="28"/>
        </w:rPr>
        <w:t>预测</w:t>
      </w:r>
      <w:r>
        <w:rPr>
          <w:rFonts w:ascii="Times New Roman" w:hAnsi="Times New Roman" w:eastAsia="仿宋"/>
          <w:color w:val="auto"/>
          <w:sz w:val="28"/>
          <w:szCs w:val="28"/>
        </w:rPr>
        <w:t>年限（</w:t>
      </w:r>
      <w:r>
        <w:rPr>
          <w:rFonts w:ascii="Times New Roman" w:hAnsi="Times New Roman" w:eastAsia="仿宋" w:cs="仿宋_GB2312"/>
          <w:color w:val="auto"/>
          <w:sz w:val="28"/>
          <w:szCs w:val="28"/>
        </w:rPr>
        <w:t>a</w:t>
      </w:r>
      <w:r>
        <w:rPr>
          <w:rFonts w:ascii="Times New Roman" w:hAnsi="Times New Roman" w:eastAsia="仿宋"/>
          <w:color w:val="auto"/>
          <w:sz w:val="28"/>
          <w:szCs w:val="28"/>
        </w:rPr>
        <w:t>）；</w:t>
      </w:r>
    </w:p>
    <w:p w14:paraId="08F74DEC">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随着中央对新型城镇化的方向和内容的调整，今后将更加重点关注城镇化的存量、质量以及已转移至城市的常住人口的市民化，弱化单纯推进城镇化数量增长的速度。因此，今后常住人口的城镇化进程将有可能进一步放缓，取而代之的将是在保持一定增幅的基础上着力提升城镇化发展质量。</w:t>
      </w:r>
    </w:p>
    <w:p w14:paraId="7AD2F39A">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年全县总人口为</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2</w:t>
      </w:r>
      <w:r>
        <w:rPr>
          <w:rFonts w:hint="eastAsia" w:ascii="Times New Roman" w:hAnsi="Times New Roman" w:eastAsia="仿宋"/>
          <w:color w:val="auto"/>
          <w:sz w:val="28"/>
          <w:szCs w:val="28"/>
        </w:rPr>
        <w:t>万</w:t>
      </w:r>
      <w:r>
        <w:rPr>
          <w:rFonts w:ascii="Times New Roman" w:hAnsi="Times New Roman" w:eastAsia="仿宋"/>
          <w:color w:val="auto"/>
          <w:sz w:val="28"/>
          <w:szCs w:val="28"/>
        </w:rPr>
        <w:t>人</w:t>
      </w:r>
      <w:r>
        <w:rPr>
          <w:rFonts w:hint="eastAsia" w:ascii="Times New Roman" w:hAnsi="Times New Roman" w:eastAsia="仿宋"/>
          <w:color w:val="auto"/>
          <w:sz w:val="28"/>
          <w:szCs w:val="28"/>
        </w:rPr>
        <w:t>，其中：城镇人口</w:t>
      </w:r>
      <w:r>
        <w:rPr>
          <w:rFonts w:hint="eastAsia" w:ascii="Times New Roman" w:hAnsi="Times New Roman" w:eastAsia="仿宋" w:cs="仿宋_GB2312"/>
          <w:color w:val="auto"/>
          <w:sz w:val="28"/>
          <w:szCs w:val="28"/>
          <w:lang w:val="en-US" w:eastAsia="zh-CN"/>
        </w:rPr>
        <w:t>10.03</w:t>
      </w:r>
      <w:r>
        <w:rPr>
          <w:rFonts w:hint="eastAsia" w:ascii="Times New Roman" w:hAnsi="Times New Roman" w:eastAsia="仿宋"/>
          <w:color w:val="auto"/>
          <w:sz w:val="28"/>
          <w:szCs w:val="28"/>
        </w:rPr>
        <w:t>万人，乡村人口</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1.96</w:t>
      </w:r>
      <w:r>
        <w:rPr>
          <w:rFonts w:hint="eastAsia" w:ascii="Times New Roman" w:hAnsi="Times New Roman" w:eastAsia="仿宋"/>
          <w:color w:val="auto"/>
          <w:sz w:val="28"/>
          <w:szCs w:val="28"/>
        </w:rPr>
        <w:t>万人，城镇化率达到</w:t>
      </w:r>
      <w:r>
        <w:rPr>
          <w:rFonts w:hint="eastAsia" w:ascii="Times New Roman" w:hAnsi="Times New Roman" w:eastAsia="仿宋" w:cs="仿宋_GB2312"/>
          <w:color w:val="auto"/>
          <w:sz w:val="28"/>
          <w:szCs w:val="28"/>
          <w:lang w:val="en-US" w:eastAsia="zh-CN"/>
        </w:rPr>
        <w:t>45.6</w:t>
      </w:r>
      <w:r>
        <w:rPr>
          <w:rFonts w:hint="eastAsia" w:ascii="Times New Roman" w:hAnsi="Times New Roman" w:eastAsia="仿宋"/>
          <w:color w:val="auto"/>
          <w:sz w:val="28"/>
          <w:szCs w:val="28"/>
        </w:rPr>
        <w:t>%</w:t>
      </w:r>
      <w:r>
        <w:rPr>
          <w:rFonts w:ascii="Times New Roman" w:hAnsi="Times New Roman" w:eastAsia="仿宋"/>
          <w:color w:val="auto"/>
          <w:sz w:val="28"/>
          <w:szCs w:val="28"/>
        </w:rPr>
        <w:t>。</w:t>
      </w:r>
    </w:p>
    <w:p w14:paraId="02E13C62">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ascii="Times New Roman" w:hAnsi="Times New Roman" w:eastAsia="仿宋"/>
          <w:b/>
          <w:bCs/>
          <w:color w:val="auto"/>
          <w:sz w:val="28"/>
          <w:szCs w:val="28"/>
        </w:rPr>
        <w:t>.</w:t>
      </w:r>
      <w:bookmarkEnd w:id="225"/>
      <w:r>
        <w:rPr>
          <w:rFonts w:hint="eastAsia" w:ascii="Times New Roman" w:hAnsi="Times New Roman" w:eastAsia="仿宋"/>
          <w:b/>
          <w:bCs/>
          <w:color w:val="auto"/>
          <w:sz w:val="28"/>
          <w:szCs w:val="28"/>
        </w:rPr>
        <w:t>生活需水预测</w:t>
      </w:r>
    </w:p>
    <w:p w14:paraId="630AFC01">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结合沁水县人口及城镇化指标的预测结果，</w:t>
      </w:r>
      <w:r>
        <w:rPr>
          <w:rFonts w:ascii="Times New Roman" w:hAnsi="Times New Roman" w:eastAsia="仿宋"/>
          <w:color w:val="auto"/>
          <w:sz w:val="28"/>
          <w:szCs w:val="28"/>
        </w:rPr>
        <w:t>根据《</w:t>
      </w:r>
      <w:r>
        <w:rPr>
          <w:rFonts w:hint="eastAsia" w:ascii="Times New Roman" w:hAnsi="Times New Roman" w:eastAsia="仿宋"/>
          <w:color w:val="auto"/>
          <w:sz w:val="28"/>
          <w:szCs w:val="28"/>
        </w:rPr>
        <w:t>山西省用水定额</w:t>
      </w:r>
      <w:r>
        <w:rPr>
          <w:rFonts w:ascii="Times New Roman" w:hAnsi="Times New Roman" w:eastAsia="仿宋"/>
          <w:color w:val="auto"/>
          <w:sz w:val="28"/>
          <w:szCs w:val="28"/>
        </w:rPr>
        <w:t>》</w:t>
      </w:r>
      <w:r>
        <w:rPr>
          <w:rFonts w:hint="eastAsia" w:ascii="Times New Roman" w:hAnsi="Times New Roman" w:eastAsia="仿宋"/>
          <w:color w:val="auto"/>
          <w:sz w:val="28"/>
          <w:szCs w:val="28"/>
        </w:rPr>
        <w:t>的不同规模的城镇居民生活用水定额，规划沁水县</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年城镇居民净用水定额取</w:t>
      </w:r>
      <w:r>
        <w:rPr>
          <w:rFonts w:hint="eastAsia" w:ascii="Times New Roman" w:hAnsi="Times New Roman" w:eastAsia="仿宋" w:cs="仿宋_GB2312"/>
          <w:color w:val="auto"/>
          <w:sz w:val="28"/>
          <w:szCs w:val="28"/>
        </w:rPr>
        <w:t>93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；农村居民生活净用水定额为</w:t>
      </w:r>
      <w:r>
        <w:rPr>
          <w:rFonts w:hint="eastAsia" w:ascii="Times New Roman" w:hAnsi="Times New Roman" w:eastAsia="仿宋" w:cs="仿宋_GB2312"/>
          <w:color w:val="auto"/>
          <w:sz w:val="28"/>
          <w:szCs w:val="28"/>
        </w:rPr>
        <w:t>66</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18</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水平年居民生活用水量</w:t>
      </w:r>
      <w:r>
        <w:rPr>
          <w:rFonts w:hint="eastAsia" w:ascii="Times New Roman" w:hAnsi="Times New Roman" w:eastAsia="仿宋"/>
          <w:color w:val="auto"/>
          <w:sz w:val="28"/>
          <w:szCs w:val="28"/>
        </w:rPr>
        <w:t>，按下式计算：</w:t>
      </w:r>
    </w:p>
    <w:p w14:paraId="7557AD7E">
      <w:pPr>
        <w:pStyle w:val="80"/>
        <w:tabs>
          <w:tab w:val="center" w:pos="4620"/>
          <w:tab w:val="left" w:pos="6136"/>
        </w:tabs>
        <w:snapToGrid w:val="0"/>
        <w:jc w:val="left"/>
        <w:rPr>
          <w:rFonts w:ascii="Times New Roman" w:hAnsi="Times New Roman" w:eastAsia="仿宋"/>
          <w:color w:val="auto"/>
          <w:sz w:val="28"/>
          <w:szCs w:val="28"/>
        </w:rPr>
      </w:pPr>
      <w:r>
        <w:rPr>
          <w:rFonts w:ascii="Times New Roman" w:hAnsi="Times New Roman" w:eastAsia="仿宋"/>
          <w:color w:val="auto"/>
          <w:sz w:val="28"/>
          <w:szCs w:val="28"/>
        </w:rPr>
        <w:tab/>
      </w:r>
      <w:r>
        <w:rPr>
          <w:rFonts w:ascii="Times New Roman" w:hAnsi="Times New Roman" w:eastAsia="仿宋" w:cs="仿宋_GB2312"/>
          <w:color w:val="auto"/>
          <w:sz w:val="28"/>
          <w:szCs w:val="28"/>
        </w:rPr>
        <w:t>Q</w:t>
      </w:r>
      <w:r>
        <w:rPr>
          <w:rFonts w:ascii="Times New Roman" w:hAnsi="Times New Roman" w:eastAsia="仿宋" w:cs="仿宋_GB2312"/>
          <w:color w:val="auto"/>
          <w:sz w:val="28"/>
          <w:szCs w:val="28"/>
          <w:vertAlign w:val="subscript"/>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Pq</w:t>
      </w:r>
      <w:r>
        <w:rPr>
          <w:rFonts w:ascii="Times New Roman" w:hAnsi="Times New Roman" w:eastAsia="仿宋"/>
          <w:color w:val="auto"/>
          <w:sz w:val="28"/>
          <w:szCs w:val="28"/>
        </w:rPr>
        <w:t>/</w:t>
      </w:r>
      <w:r>
        <w:rPr>
          <w:rFonts w:ascii="Times New Roman" w:hAnsi="Times New Roman" w:eastAsia="仿宋" w:cs="仿宋_GB2312"/>
          <w:color w:val="auto"/>
          <w:sz w:val="28"/>
          <w:szCs w:val="28"/>
        </w:rPr>
        <w:t>1000</w:t>
      </w:r>
      <w:r>
        <w:rPr>
          <w:rFonts w:ascii="Times New Roman" w:hAnsi="Times New Roman" w:eastAsia="仿宋"/>
          <w:color w:val="auto"/>
          <w:sz w:val="28"/>
          <w:szCs w:val="28"/>
        </w:rPr>
        <w:tab/>
      </w:r>
    </w:p>
    <w:p w14:paraId="7FDF84B9">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人口</w:t>
      </w:r>
    </w:p>
    <w:p w14:paraId="7BC5AE97">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q</w:t>
      </w:r>
      <w:r>
        <w:rPr>
          <w:rFonts w:ascii="Times New Roman" w:hAnsi="Times New Roman" w:eastAsia="仿宋"/>
          <w:color w:val="auto"/>
          <w:sz w:val="28"/>
          <w:szCs w:val="28"/>
        </w:rPr>
        <w:t>—最高日居民生活用水定额，</w:t>
      </w:r>
      <w:r>
        <w:rPr>
          <w:rFonts w:ascii="Times New Roman" w:hAnsi="Times New Roman" w:eastAsia="仿宋" w:cs="仿宋_GB2312"/>
          <w:color w:val="auto"/>
          <w:sz w:val="28"/>
          <w:szCs w:val="28"/>
        </w:rPr>
        <w:t>L</w:t>
      </w:r>
      <w:r>
        <w:rPr>
          <w:rFonts w:ascii="Times New Roman" w:hAnsi="Times New Roman" w:eastAsia="仿宋"/>
          <w:color w:val="auto"/>
          <w:sz w:val="28"/>
          <w:szCs w:val="28"/>
        </w:rPr>
        <w:t>/（人·</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p>
    <w:p w14:paraId="3A29FDD7">
      <w:pPr>
        <w:pStyle w:val="80"/>
        <w:snapToGrid w:val="0"/>
        <w:ind w:firstLine="560" w:firstLineChars="200"/>
        <w:rPr>
          <w:rFonts w:ascii="Times New Roman" w:hAnsi="Times New Roman" w:eastAsia="仿宋"/>
          <w:b/>
          <w:bCs/>
          <w:color w:val="auto"/>
          <w:sz w:val="28"/>
          <w:szCs w:val="28"/>
        </w:rPr>
      </w:pPr>
      <w:r>
        <w:rPr>
          <w:rFonts w:hint="eastAsia" w:ascii="Times New Roman" w:hAnsi="Times New Roman" w:eastAsia="仿宋"/>
          <w:color w:val="auto"/>
          <w:sz w:val="28"/>
          <w:szCs w:val="28"/>
        </w:rPr>
        <w:t>经计算，</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年沁水县城镇居民生活毛需水量为</w:t>
      </w:r>
      <w:r>
        <w:rPr>
          <w:rFonts w:hint="eastAsia" w:ascii="Times New Roman" w:hAnsi="Times New Roman" w:eastAsia="仿宋" w:cs="仿宋_GB2312"/>
          <w:color w:val="auto"/>
          <w:sz w:val="28"/>
          <w:szCs w:val="28"/>
          <w:lang w:val="en-US" w:eastAsia="zh-CN"/>
        </w:rPr>
        <w:t>378.31</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；农村居民生活毛需水量为</w:t>
      </w:r>
      <w:r>
        <w:rPr>
          <w:rFonts w:hint="eastAsia" w:ascii="Times New Roman" w:hAnsi="Times New Roman" w:eastAsia="仿宋"/>
          <w:color w:val="auto"/>
          <w:sz w:val="28"/>
          <w:szCs w:val="28"/>
          <w:lang w:val="en-US" w:eastAsia="zh-CN"/>
        </w:rPr>
        <w:t>290.49</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，居民生活需水量共计为</w:t>
      </w:r>
      <w:r>
        <w:rPr>
          <w:rFonts w:hint="eastAsia" w:ascii="Times New Roman" w:hAnsi="Times New Roman" w:eastAsia="仿宋" w:cs="仿宋_GB2312"/>
          <w:color w:val="auto"/>
          <w:sz w:val="28"/>
          <w:szCs w:val="28"/>
          <w:lang w:val="en-US" w:eastAsia="zh-CN"/>
        </w:rPr>
        <w:t>668.8</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p>
    <w:p w14:paraId="1D7E84E8">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2</w:t>
      </w:r>
      <w:r>
        <w:rPr>
          <w:rFonts w:hint="eastAsia" w:ascii="Times New Roman" w:hAnsi="Times New Roman" w:eastAsia="仿宋"/>
          <w:color w:val="auto"/>
        </w:rPr>
        <w:t>生产需水量预测</w:t>
      </w:r>
    </w:p>
    <w:p w14:paraId="3E0290B3">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1</w:t>
      </w:r>
      <w:r>
        <w:rPr>
          <w:rFonts w:hint="eastAsia" w:ascii="Times New Roman" w:hAnsi="Times New Roman" w:eastAsia="仿宋"/>
          <w:b/>
          <w:bCs/>
          <w:color w:val="auto"/>
          <w:sz w:val="28"/>
          <w:szCs w:val="28"/>
        </w:rPr>
        <w:t>.第一产业需水预测</w:t>
      </w:r>
    </w:p>
    <w:p w14:paraId="509420C0">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1</w:t>
      </w:r>
      <w:r>
        <w:rPr>
          <w:rFonts w:hint="eastAsia" w:eastAsia="仿宋"/>
          <w:color w:val="auto"/>
          <w:sz w:val="28"/>
          <w:szCs w:val="28"/>
        </w:rPr>
        <w:t>）农业</w:t>
      </w:r>
    </w:p>
    <w:p w14:paraId="09564B92">
      <w:pPr>
        <w:pStyle w:val="2"/>
        <w:ind w:firstLine="560"/>
        <w:jc w:val="left"/>
        <w:rPr>
          <w:rFonts w:eastAsia="仿宋"/>
          <w:color w:val="auto"/>
          <w:sz w:val="28"/>
          <w:szCs w:val="28"/>
        </w:rPr>
      </w:pPr>
      <w:r>
        <w:rPr>
          <w:rFonts w:hint="eastAsia" w:eastAsia="仿宋"/>
          <w:color w:val="auto"/>
          <w:sz w:val="28"/>
          <w:szCs w:val="28"/>
        </w:rPr>
        <w:t>沁水县的农作物主要有以小麦和玉米为主的谷物，另外还有豆类、薯类、油料作物、棉花和蔬菜等，根据《山西省用水定额》，结合作物种植结构综合分析，将其实际灌溉净定额作为保证率为</w:t>
      </w:r>
      <w:r>
        <w:rPr>
          <w:rFonts w:hint="eastAsia" w:ascii="Times New Roman" w:hAnsi="Times New Roman" w:eastAsia="仿宋" w:cs="仿宋_GB2312"/>
          <w:color w:val="auto"/>
          <w:sz w:val="28"/>
          <w:szCs w:val="28"/>
        </w:rPr>
        <w:t>75</w:t>
      </w:r>
      <w:r>
        <w:rPr>
          <w:rFonts w:hint="eastAsia" w:eastAsia="仿宋"/>
          <w:color w:val="auto"/>
          <w:sz w:val="28"/>
          <w:szCs w:val="28"/>
        </w:rPr>
        <w:t>%的灌溉净定额。</w:t>
      </w:r>
    </w:p>
    <w:p w14:paraId="6A492DF0">
      <w:pPr>
        <w:pStyle w:val="2"/>
        <w:ind w:firstLine="560"/>
        <w:jc w:val="left"/>
        <w:rPr>
          <w:rFonts w:eastAsia="仿宋"/>
          <w:color w:val="auto"/>
          <w:sz w:val="28"/>
          <w:szCs w:val="28"/>
        </w:rPr>
      </w:pPr>
      <w:r>
        <w:rPr>
          <w:rFonts w:hint="eastAsia" w:eastAsia="仿宋"/>
          <w:color w:val="auto"/>
          <w:sz w:val="28"/>
          <w:szCs w:val="28"/>
        </w:rPr>
        <w:t>经计算，当保证率为</w:t>
      </w:r>
      <w:r>
        <w:rPr>
          <w:rFonts w:hint="eastAsia" w:ascii="Times New Roman" w:hAnsi="Times New Roman" w:eastAsia="仿宋" w:cs="仿宋_GB2312"/>
          <w:color w:val="auto"/>
          <w:sz w:val="28"/>
          <w:szCs w:val="28"/>
        </w:rPr>
        <w:t>P</w:t>
      </w:r>
      <w:r>
        <w:rPr>
          <w:rFonts w:hint="eastAsia" w:eastAsia="仿宋"/>
          <w:color w:val="auto"/>
          <w:sz w:val="28"/>
          <w:szCs w:val="28"/>
        </w:rPr>
        <w:t>=</w:t>
      </w:r>
      <w:r>
        <w:rPr>
          <w:rFonts w:hint="eastAsia" w:ascii="Times New Roman" w:hAnsi="Times New Roman" w:eastAsia="仿宋" w:cs="仿宋_GB2312"/>
          <w:color w:val="auto"/>
          <w:sz w:val="28"/>
          <w:szCs w:val="28"/>
        </w:rPr>
        <w:t>75</w:t>
      </w:r>
      <w:r>
        <w:rPr>
          <w:rFonts w:hint="eastAsia" w:eastAsia="仿宋"/>
          <w:color w:val="auto"/>
          <w:sz w:val="28"/>
          <w:szCs w:val="28"/>
        </w:rPr>
        <w:t>%时，规划</w:t>
      </w:r>
      <w:r>
        <w:rPr>
          <w:rFonts w:hint="eastAsia" w:ascii="Times New Roman" w:hAnsi="Times New Roman" w:eastAsia="仿宋" w:cs="仿宋_GB2312"/>
          <w:color w:val="auto"/>
          <w:sz w:val="28"/>
          <w:szCs w:val="28"/>
        </w:rPr>
        <w:t>2025</w:t>
      </w:r>
      <w:r>
        <w:rPr>
          <w:rFonts w:hint="eastAsia" w:eastAsia="仿宋"/>
          <w:color w:val="auto"/>
          <w:sz w:val="28"/>
          <w:szCs w:val="28"/>
        </w:rPr>
        <w:t>年有效灌溉面积</w:t>
      </w:r>
      <w:r>
        <w:rPr>
          <w:rFonts w:hint="eastAsia" w:ascii="Times New Roman" w:hAnsi="Times New Roman" w:eastAsia="仿宋" w:cs="仿宋_GB2312"/>
          <w:color w:val="auto"/>
          <w:sz w:val="28"/>
          <w:szCs w:val="28"/>
        </w:rPr>
        <w:t>14</w:t>
      </w:r>
      <w:r>
        <w:rPr>
          <w:rFonts w:hint="eastAsia" w:eastAsia="仿宋"/>
          <w:color w:val="auto"/>
          <w:sz w:val="28"/>
          <w:szCs w:val="28"/>
        </w:rPr>
        <w:t>.</w:t>
      </w:r>
      <w:r>
        <w:rPr>
          <w:rFonts w:hint="eastAsia" w:ascii="Times New Roman" w:hAnsi="Times New Roman" w:eastAsia="仿宋" w:cs="仿宋_GB2312"/>
          <w:color w:val="auto"/>
          <w:sz w:val="28"/>
          <w:szCs w:val="28"/>
        </w:rPr>
        <w:t>8</w:t>
      </w:r>
      <w:r>
        <w:rPr>
          <w:rFonts w:hint="eastAsia" w:eastAsia="仿宋"/>
          <w:color w:val="auto"/>
          <w:sz w:val="28"/>
          <w:szCs w:val="28"/>
        </w:rPr>
        <w:t>万亩，净用水定额为</w:t>
      </w:r>
      <w:r>
        <w:rPr>
          <w:rFonts w:hint="eastAsia" w:ascii="Times New Roman" w:hAnsi="Times New Roman" w:eastAsia="仿宋" w:cs="仿宋_GB2312"/>
          <w:color w:val="auto"/>
          <w:sz w:val="28"/>
          <w:szCs w:val="28"/>
        </w:rPr>
        <w:t>111</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7</w:t>
      </w:r>
      <w:r>
        <w:rPr>
          <w:rFonts w:hint="eastAsia" w:ascii="Times New Roman" w:hAnsi="Times New Roman" w:eastAsia="仿宋" w:cs="仿宋_GB2312"/>
          <w:color w:val="auto"/>
          <w:sz w:val="28"/>
          <w:szCs w:val="28"/>
        </w:rPr>
        <w:t>4m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/亩，净需水量</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653</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，灌溉水利用系数为</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66</w:t>
      </w:r>
      <w:r>
        <w:rPr>
          <w:rFonts w:hint="eastAsia" w:eastAsia="仿宋"/>
          <w:color w:val="auto"/>
          <w:sz w:val="28"/>
          <w:szCs w:val="28"/>
        </w:rPr>
        <w:t>，毛需用水定额为</w:t>
      </w:r>
      <w:r>
        <w:rPr>
          <w:rFonts w:hint="eastAsia" w:ascii="Times New Roman" w:hAnsi="Times New Roman" w:eastAsia="仿宋" w:cs="仿宋_GB2312"/>
          <w:color w:val="auto"/>
          <w:sz w:val="28"/>
          <w:szCs w:val="28"/>
        </w:rPr>
        <w:t>169</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3</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/亩，毛需水量</w:t>
      </w:r>
      <w:r>
        <w:rPr>
          <w:rFonts w:hint="eastAsia" w:ascii="Times New Roman" w:hAnsi="Times New Roman" w:eastAsia="仿宋" w:cs="仿宋_GB2312"/>
          <w:color w:val="auto"/>
          <w:sz w:val="28"/>
          <w:szCs w:val="28"/>
        </w:rPr>
        <w:t>250</w:t>
      </w:r>
      <w:r>
        <w:rPr>
          <w:rFonts w:hint="eastAsia" w:ascii="Times New Roman" w:hAnsi="Times New Roman" w:eastAsia="仿宋" w:cs="仿宋_GB2312"/>
          <w:color w:val="auto"/>
          <w:sz w:val="28"/>
          <w:szCs w:val="28"/>
          <w:lang w:val="en-US" w:eastAsia="zh-CN"/>
        </w:rPr>
        <w:t>5</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68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w:t>
      </w:r>
    </w:p>
    <w:p w14:paraId="4FAE9D99">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2</w:t>
      </w:r>
      <w:r>
        <w:rPr>
          <w:rFonts w:hint="eastAsia" w:eastAsia="仿宋"/>
          <w:color w:val="auto"/>
          <w:sz w:val="28"/>
          <w:szCs w:val="28"/>
        </w:rPr>
        <w:t>）林牧渔业</w:t>
      </w:r>
    </w:p>
    <w:p w14:paraId="09A732E0">
      <w:pPr>
        <w:pStyle w:val="2"/>
        <w:ind w:firstLine="560"/>
        <w:jc w:val="left"/>
        <w:rPr>
          <w:rFonts w:eastAsia="仿宋"/>
          <w:color w:val="auto"/>
          <w:sz w:val="28"/>
          <w:szCs w:val="28"/>
        </w:rPr>
      </w:pPr>
      <w:r>
        <w:rPr>
          <w:rFonts w:hint="eastAsia" w:eastAsia="仿宋"/>
          <w:color w:val="auto"/>
          <w:sz w:val="28"/>
          <w:szCs w:val="28"/>
        </w:rPr>
        <w:t>根据《山西省用水定额》选择鱼塘补水净需水定额为</w:t>
      </w:r>
      <w:r>
        <w:rPr>
          <w:rFonts w:hint="eastAsia" w:ascii="Times New Roman" w:hAnsi="Times New Roman" w:eastAsia="仿宋" w:cs="仿宋_GB2312"/>
          <w:color w:val="auto"/>
          <w:sz w:val="28"/>
          <w:szCs w:val="28"/>
        </w:rPr>
        <w:t>1550m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/亩，林果地灌溉和牲畜养殖净用水定额分别</w:t>
      </w:r>
      <w:r>
        <w:rPr>
          <w:rFonts w:hint="eastAsia" w:ascii="Times New Roman" w:hAnsi="Times New Roman" w:eastAsia="仿宋" w:cs="仿宋_GB2312"/>
          <w:color w:val="auto"/>
          <w:sz w:val="28"/>
          <w:szCs w:val="28"/>
        </w:rPr>
        <w:t>85</w:t>
      </w:r>
      <w:r>
        <w:rPr>
          <w:rFonts w:hint="eastAsia" w:eastAsia="仿宋"/>
          <w:color w:val="auto"/>
          <w:sz w:val="28"/>
          <w:szCs w:val="28"/>
        </w:rPr>
        <w:t>.</w:t>
      </w:r>
      <w:r>
        <w:rPr>
          <w:rFonts w:hint="eastAsia" w:ascii="Times New Roman" w:hAnsi="Times New Roman" w:eastAsia="仿宋" w:cs="仿宋_GB2312"/>
          <w:color w:val="auto"/>
          <w:sz w:val="28"/>
          <w:szCs w:val="28"/>
        </w:rPr>
        <w:t>35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和</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。牲畜养殖用水指标采用</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58L</w:t>
      </w:r>
      <w:r>
        <w:rPr>
          <w:rFonts w:hint="eastAsia" w:eastAsia="仿宋"/>
          <w:color w:val="auto"/>
          <w:sz w:val="28"/>
          <w:szCs w:val="28"/>
        </w:rPr>
        <w:t>/（头</w:t>
      </w:r>
      <w:r>
        <w:rPr>
          <w:rFonts w:eastAsia="仿宋"/>
          <w:color w:val="auto"/>
          <w:sz w:val="28"/>
          <w:szCs w:val="28"/>
        </w:rPr>
        <w:t>•</w:t>
      </w:r>
      <w:r>
        <w:rPr>
          <w:rFonts w:ascii="Times New Roman" w:hAnsi="Times New Roman" w:eastAsia="仿宋" w:cs="仿宋_GB2312"/>
          <w:color w:val="auto"/>
          <w:sz w:val="28"/>
          <w:szCs w:val="28"/>
        </w:rPr>
        <w:t>d</w:t>
      </w:r>
      <w:r>
        <w:rPr>
          <w:rFonts w:hint="eastAsia" w:eastAsia="仿宋"/>
          <w:color w:val="auto"/>
          <w:sz w:val="28"/>
          <w:szCs w:val="28"/>
        </w:rPr>
        <w:t>）。结合晋城市的实际情况，林果地灌溉、牲畜养殖和鱼塘补水的水利用系数均取</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85</w:t>
      </w:r>
      <w:r>
        <w:rPr>
          <w:rFonts w:hint="eastAsia" w:eastAsia="仿宋"/>
          <w:color w:val="auto"/>
          <w:sz w:val="28"/>
          <w:szCs w:val="28"/>
        </w:rPr>
        <w:t>。</w:t>
      </w:r>
    </w:p>
    <w:p w14:paraId="77D05B15">
      <w:pPr>
        <w:pStyle w:val="2"/>
        <w:ind w:firstLine="560"/>
        <w:jc w:val="left"/>
        <w:rPr>
          <w:rFonts w:eastAsia="仿宋"/>
          <w:color w:val="auto"/>
          <w:sz w:val="28"/>
          <w:szCs w:val="28"/>
        </w:rPr>
      </w:pPr>
      <w:r>
        <w:rPr>
          <w:rFonts w:hint="eastAsia" w:eastAsia="仿宋"/>
          <w:color w:val="auto"/>
          <w:sz w:val="28"/>
          <w:szCs w:val="28"/>
        </w:rPr>
        <w:t>经计算，</w:t>
      </w:r>
      <w:r>
        <w:rPr>
          <w:rFonts w:hint="eastAsia" w:ascii="Times New Roman" w:hAnsi="Times New Roman" w:eastAsia="仿宋" w:cs="仿宋_GB2312"/>
          <w:color w:val="auto"/>
          <w:sz w:val="28"/>
          <w:szCs w:val="28"/>
        </w:rPr>
        <w:t>2025</w:t>
      </w:r>
      <w:r>
        <w:rPr>
          <w:rFonts w:hint="eastAsia" w:eastAsia="仿宋"/>
          <w:color w:val="auto"/>
          <w:sz w:val="28"/>
          <w:szCs w:val="28"/>
        </w:rPr>
        <w:t>年，灌溉林果地毛需水量</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68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1</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，牲畜养殖毛需水量</w:t>
      </w:r>
      <w:r>
        <w:rPr>
          <w:rFonts w:hint="eastAsia" w:ascii="Times New Roman" w:hAnsi="Times New Roman" w:eastAsia="仿宋" w:cs="仿宋_GB2312"/>
          <w:color w:val="auto"/>
          <w:sz w:val="28"/>
          <w:szCs w:val="28"/>
        </w:rPr>
        <w:t>3</w:t>
      </w:r>
      <w:r>
        <w:rPr>
          <w:rFonts w:hint="eastAsia" w:ascii="Times New Roman" w:hAnsi="Times New Roman" w:eastAsia="仿宋" w:cs="仿宋_GB2312"/>
          <w:color w:val="auto"/>
          <w:sz w:val="28"/>
          <w:szCs w:val="28"/>
          <w:lang w:val="en-US" w:eastAsia="zh-CN"/>
        </w:rPr>
        <w:t>19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59</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，鱼塘补水毛需水量</w:t>
      </w:r>
      <w:r>
        <w:rPr>
          <w:rFonts w:hint="eastAsia" w:ascii="Times New Roman" w:hAnsi="Times New Roman" w:eastAsia="仿宋" w:cs="仿宋_GB2312"/>
          <w:color w:val="auto"/>
          <w:sz w:val="28"/>
          <w:szCs w:val="28"/>
        </w:rPr>
        <w:t>118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53</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3E0A3C0B">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hint="eastAsia" w:ascii="Times New Roman" w:hAnsi="Times New Roman" w:eastAsia="仿宋"/>
          <w:b/>
          <w:bCs/>
          <w:color w:val="auto"/>
          <w:sz w:val="28"/>
          <w:szCs w:val="28"/>
        </w:rPr>
        <w:t>.第二产业需水预测</w:t>
      </w:r>
    </w:p>
    <w:p w14:paraId="348F426A">
      <w:pPr>
        <w:pStyle w:val="2"/>
        <w:ind w:firstLine="560"/>
        <w:jc w:val="left"/>
        <w:rPr>
          <w:rFonts w:eastAsia="仿宋"/>
          <w:color w:val="auto"/>
          <w:sz w:val="28"/>
          <w:szCs w:val="28"/>
        </w:rPr>
      </w:pPr>
      <w:r>
        <w:rPr>
          <w:rFonts w:eastAsia="仿宋"/>
          <w:color w:val="auto"/>
          <w:sz w:val="28"/>
          <w:szCs w:val="28"/>
        </w:rPr>
        <w:t>根据工业和建筑业需水预测的结果</w:t>
      </w:r>
      <w:r>
        <w:rPr>
          <w:rFonts w:hint="eastAsia" w:eastAsia="仿宋"/>
          <w:color w:val="auto"/>
          <w:sz w:val="28"/>
          <w:szCs w:val="28"/>
        </w:rPr>
        <w:t>，</w:t>
      </w:r>
      <w:r>
        <w:rPr>
          <w:rFonts w:eastAsia="仿宋"/>
          <w:color w:val="auto"/>
          <w:sz w:val="28"/>
          <w:szCs w:val="28"/>
        </w:rPr>
        <w:t>汇总第二产业</w:t>
      </w:r>
      <w:r>
        <w:rPr>
          <w:rFonts w:hint="eastAsia" w:ascii="Times New Roman" w:hAnsi="Times New Roman" w:eastAsia="仿宋" w:cs="仿宋_GB2312"/>
          <w:color w:val="auto"/>
          <w:sz w:val="28"/>
          <w:szCs w:val="28"/>
        </w:rPr>
        <w:t>2025</w:t>
      </w:r>
      <w:r>
        <w:rPr>
          <w:rFonts w:hint="eastAsia" w:eastAsia="仿宋"/>
          <w:color w:val="auto"/>
          <w:sz w:val="28"/>
          <w:szCs w:val="28"/>
        </w:rPr>
        <w:t>年</w:t>
      </w:r>
      <w:r>
        <w:rPr>
          <w:rFonts w:eastAsia="仿宋"/>
          <w:color w:val="auto"/>
          <w:sz w:val="28"/>
          <w:szCs w:val="28"/>
        </w:rPr>
        <w:t>的需水情况</w:t>
      </w:r>
      <w:r>
        <w:rPr>
          <w:rFonts w:hint="eastAsia" w:eastAsia="仿宋"/>
          <w:color w:val="auto"/>
          <w:sz w:val="28"/>
          <w:szCs w:val="28"/>
        </w:rPr>
        <w:t>，</w:t>
      </w:r>
      <w:r>
        <w:rPr>
          <w:rFonts w:eastAsia="仿宋"/>
          <w:color w:val="auto"/>
          <w:sz w:val="28"/>
          <w:szCs w:val="28"/>
        </w:rPr>
        <w:t>工业用水主要涉及冶金、电</w:t>
      </w:r>
      <w:r>
        <w:rPr>
          <w:rFonts w:hint="eastAsia" w:eastAsia="仿宋"/>
          <w:color w:val="auto"/>
          <w:sz w:val="28"/>
          <w:szCs w:val="28"/>
        </w:rPr>
        <w:t>力</w:t>
      </w:r>
      <w:r>
        <w:rPr>
          <w:rFonts w:eastAsia="仿宋"/>
          <w:color w:val="auto"/>
          <w:sz w:val="28"/>
          <w:szCs w:val="28"/>
        </w:rPr>
        <w:t>煤炭、化工、机械、建材、纺织、食品和其他</w:t>
      </w:r>
      <w:r>
        <w:rPr>
          <w:rFonts w:ascii="Times New Roman" w:hAnsi="Times New Roman" w:eastAsia="仿宋" w:cs="仿宋_GB2312"/>
          <w:color w:val="auto"/>
          <w:sz w:val="28"/>
          <w:szCs w:val="28"/>
        </w:rPr>
        <w:t>10</w:t>
      </w:r>
      <w:r>
        <w:rPr>
          <w:rFonts w:eastAsia="仿宋"/>
          <w:color w:val="auto"/>
          <w:sz w:val="28"/>
          <w:szCs w:val="28"/>
        </w:rPr>
        <w:t>个行业，其中冶金、化工和纺织为高用水</w:t>
      </w:r>
      <w:r>
        <w:rPr>
          <w:rFonts w:hint="eastAsia" w:eastAsia="仿宋"/>
          <w:color w:val="auto"/>
          <w:sz w:val="28"/>
          <w:szCs w:val="28"/>
        </w:rPr>
        <w:t>行</w:t>
      </w:r>
      <w:r>
        <w:rPr>
          <w:rFonts w:eastAsia="仿宋"/>
          <w:color w:val="auto"/>
          <w:sz w:val="28"/>
          <w:szCs w:val="28"/>
        </w:rPr>
        <w:t>业，高用水工业占规模以上工业增加值的</w:t>
      </w:r>
      <w:r>
        <w:rPr>
          <w:rFonts w:ascii="Times New Roman" w:hAnsi="Times New Roman" w:eastAsia="仿宋" w:cs="仿宋_GB2312"/>
          <w:color w:val="auto"/>
          <w:sz w:val="28"/>
          <w:szCs w:val="28"/>
        </w:rPr>
        <w:t>29</w:t>
      </w:r>
      <w:r>
        <w:rPr>
          <w:rFonts w:eastAsia="仿宋"/>
          <w:color w:val="auto"/>
          <w:sz w:val="28"/>
          <w:szCs w:val="28"/>
        </w:rPr>
        <w:t>.</w:t>
      </w:r>
      <w:r>
        <w:rPr>
          <w:rFonts w:ascii="Times New Roman" w:hAnsi="Times New Roman" w:eastAsia="仿宋" w:cs="仿宋_GB2312"/>
          <w:color w:val="auto"/>
          <w:sz w:val="28"/>
          <w:szCs w:val="28"/>
        </w:rPr>
        <w:t>8</w:t>
      </w:r>
      <w:r>
        <w:rPr>
          <w:rFonts w:eastAsia="仿宋"/>
          <w:color w:val="auto"/>
          <w:sz w:val="28"/>
          <w:szCs w:val="28"/>
        </w:rPr>
        <w:t>%。</w:t>
      </w:r>
      <w:r>
        <w:rPr>
          <w:rFonts w:hint="eastAsia" w:eastAsia="仿宋"/>
          <w:color w:val="auto"/>
          <w:sz w:val="28"/>
          <w:szCs w:val="28"/>
        </w:rPr>
        <w:t>而</w:t>
      </w:r>
      <w:r>
        <w:rPr>
          <w:rFonts w:eastAsia="仿宋"/>
          <w:color w:val="auto"/>
          <w:sz w:val="28"/>
          <w:szCs w:val="28"/>
        </w:rPr>
        <w:t>电力行业分为水电和火电，以火电为主，占总发电量的</w:t>
      </w:r>
      <w:r>
        <w:rPr>
          <w:rFonts w:ascii="Times New Roman" w:hAnsi="Times New Roman" w:eastAsia="仿宋" w:cs="仿宋_GB2312"/>
          <w:color w:val="auto"/>
          <w:sz w:val="28"/>
          <w:szCs w:val="28"/>
        </w:rPr>
        <w:t>95</w:t>
      </w:r>
      <w:r>
        <w:rPr>
          <w:rFonts w:eastAsia="仿宋"/>
          <w:color w:val="auto"/>
          <w:sz w:val="28"/>
          <w:szCs w:val="28"/>
        </w:rPr>
        <w:t>.</w:t>
      </w:r>
      <w:r>
        <w:rPr>
          <w:rFonts w:ascii="Times New Roman" w:hAnsi="Times New Roman" w:eastAsia="仿宋" w:cs="仿宋_GB2312"/>
          <w:color w:val="auto"/>
          <w:sz w:val="28"/>
          <w:szCs w:val="28"/>
        </w:rPr>
        <w:t>6</w:t>
      </w:r>
      <w:r>
        <w:rPr>
          <w:rFonts w:eastAsia="仿宋"/>
          <w:color w:val="auto"/>
          <w:sz w:val="28"/>
          <w:szCs w:val="28"/>
        </w:rPr>
        <w:t>%。根据《山西省用水定额》和规模以上各行业所占工业产值的比重，采用分行业需水指标预测法</w:t>
      </w:r>
      <w:r>
        <w:rPr>
          <w:rFonts w:hint="eastAsia" w:eastAsia="仿宋"/>
          <w:color w:val="auto"/>
          <w:sz w:val="28"/>
          <w:szCs w:val="28"/>
        </w:rPr>
        <w:t>，</w:t>
      </w:r>
      <w:r>
        <w:rPr>
          <w:rFonts w:eastAsia="仿宋"/>
          <w:color w:val="auto"/>
          <w:sz w:val="28"/>
          <w:szCs w:val="28"/>
        </w:rPr>
        <w:t>结合现状年行业工业产值取水量情况，</w:t>
      </w:r>
      <w:r>
        <w:rPr>
          <w:rFonts w:hint="eastAsia"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eastAsia="仿宋"/>
          <w:color w:val="auto"/>
          <w:sz w:val="28"/>
          <w:szCs w:val="28"/>
        </w:rPr>
        <w:t>年工业需水量为</w:t>
      </w:r>
      <w:r>
        <w:rPr>
          <w:rFonts w:hint="eastAsia" w:ascii="Times New Roman" w:hAnsi="Times New Roman" w:eastAsia="仿宋" w:cs="仿宋_GB2312"/>
          <w:color w:val="auto"/>
          <w:sz w:val="28"/>
          <w:szCs w:val="28"/>
        </w:rPr>
        <w:t>18</w:t>
      </w:r>
      <w:r>
        <w:rPr>
          <w:rFonts w:hint="eastAsia" w:ascii="Times New Roman" w:hAnsi="Times New Roman" w:eastAsia="仿宋" w:cs="仿宋_GB2312"/>
          <w:color w:val="auto"/>
          <w:sz w:val="28"/>
          <w:szCs w:val="28"/>
          <w:lang w:val="en-US" w:eastAsia="zh-CN"/>
        </w:rPr>
        <w:t>39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95</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，建筑业需水量为</w:t>
      </w:r>
      <w:r>
        <w:rPr>
          <w:rFonts w:hint="eastAsia" w:ascii="Times New Roman" w:hAnsi="Times New Roman" w:eastAsia="仿宋" w:cs="仿宋_GB2312"/>
          <w:color w:val="auto"/>
          <w:sz w:val="28"/>
          <w:szCs w:val="28"/>
        </w:rPr>
        <w:t>7</w:t>
      </w:r>
      <w:r>
        <w:rPr>
          <w:rFonts w:hint="eastAsia" w:ascii="Times New Roman" w:hAnsi="Times New Roman" w:eastAsia="仿宋" w:cs="仿宋_GB2312"/>
          <w:color w:val="auto"/>
          <w:sz w:val="28"/>
          <w:szCs w:val="28"/>
          <w:lang w:val="en-US" w:eastAsia="zh-CN"/>
        </w:rPr>
        <w:t>4</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2F9F6F59">
      <w:pPr>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3</w:t>
      </w:r>
      <w:r>
        <w:rPr>
          <w:rFonts w:hint="eastAsia" w:ascii="Times New Roman" w:hAnsi="Times New Roman" w:eastAsia="仿宋"/>
          <w:b/>
          <w:bCs/>
          <w:color w:val="auto"/>
          <w:sz w:val="28"/>
          <w:szCs w:val="28"/>
        </w:rPr>
        <w:t>.第三产业需水预测</w:t>
      </w:r>
    </w:p>
    <w:p w14:paraId="428E92FB">
      <w:pPr>
        <w:pStyle w:val="2"/>
        <w:ind w:firstLine="560"/>
        <w:jc w:val="left"/>
        <w:rPr>
          <w:rFonts w:eastAsia="仿宋"/>
          <w:color w:val="auto"/>
          <w:sz w:val="28"/>
          <w:szCs w:val="28"/>
          <w:vertAlign w:val="superscript"/>
        </w:rPr>
      </w:pPr>
      <w:r>
        <w:rPr>
          <w:rFonts w:eastAsia="仿宋"/>
          <w:color w:val="auto"/>
          <w:sz w:val="28"/>
          <w:szCs w:val="28"/>
        </w:rPr>
        <w:t>根据</w:t>
      </w:r>
      <w:r>
        <w:rPr>
          <w:rFonts w:hint="eastAsia" w:eastAsia="仿宋"/>
          <w:color w:val="auto"/>
          <w:sz w:val="28"/>
          <w:szCs w:val="28"/>
        </w:rPr>
        <w:t>沁水县发展水平，全县范围内</w:t>
      </w:r>
      <w:r>
        <w:rPr>
          <w:rFonts w:eastAsia="仿宋"/>
          <w:color w:val="auto"/>
          <w:sz w:val="28"/>
          <w:szCs w:val="28"/>
        </w:rPr>
        <w:t>住宿餐饮业、批发零售贸易业和邮电通信业等比例均有所增长，随着生活、消费水平</w:t>
      </w:r>
      <w:r>
        <w:rPr>
          <w:rFonts w:hint="eastAsia" w:eastAsia="仿宋"/>
          <w:color w:val="auto"/>
          <w:sz w:val="28"/>
          <w:szCs w:val="28"/>
        </w:rPr>
        <w:t>的提高</w:t>
      </w:r>
      <w:r>
        <w:rPr>
          <w:rFonts w:eastAsia="仿宋"/>
          <w:color w:val="auto"/>
          <w:sz w:val="28"/>
          <w:szCs w:val="28"/>
        </w:rPr>
        <w:t>，</w:t>
      </w:r>
      <w:r>
        <w:rPr>
          <w:rFonts w:hint="eastAsia" w:eastAsia="仿宋"/>
          <w:color w:val="auto"/>
          <w:sz w:val="28"/>
          <w:szCs w:val="28"/>
        </w:rPr>
        <w:t>用水量也有所提高，</w:t>
      </w:r>
      <w:r>
        <w:rPr>
          <w:rFonts w:eastAsia="仿宋"/>
          <w:color w:val="auto"/>
          <w:sz w:val="28"/>
          <w:szCs w:val="28"/>
        </w:rPr>
        <w:t>在</w:t>
      </w:r>
      <w:r>
        <w:rPr>
          <w:rFonts w:hint="eastAsia" w:eastAsia="仿宋"/>
          <w:color w:val="auto"/>
          <w:sz w:val="28"/>
          <w:szCs w:val="28"/>
        </w:rPr>
        <w:t>强化节水方案</w:t>
      </w:r>
      <w:r>
        <w:rPr>
          <w:rFonts w:eastAsia="仿宋"/>
          <w:color w:val="auto"/>
          <w:sz w:val="28"/>
          <w:szCs w:val="28"/>
        </w:rPr>
        <w:t>下，采用万元增加值用水量法，规划</w:t>
      </w:r>
      <w:r>
        <w:rPr>
          <w:rFonts w:ascii="Times New Roman" w:hAnsi="Times New Roman" w:eastAsia="仿宋" w:cs="仿宋_GB2312"/>
          <w:color w:val="auto"/>
          <w:sz w:val="28"/>
          <w:szCs w:val="28"/>
        </w:rPr>
        <w:t>202</w:t>
      </w:r>
      <w:r>
        <w:rPr>
          <w:rFonts w:hint="eastAsia" w:ascii="Times New Roman" w:hAnsi="Times New Roman" w:eastAsia="仿宋" w:cs="仿宋_GB2312"/>
          <w:color w:val="auto"/>
          <w:sz w:val="28"/>
          <w:szCs w:val="28"/>
        </w:rPr>
        <w:t>5</w:t>
      </w:r>
      <w:r>
        <w:rPr>
          <w:rFonts w:eastAsia="仿宋"/>
          <w:color w:val="auto"/>
          <w:sz w:val="28"/>
          <w:szCs w:val="28"/>
        </w:rPr>
        <w:t>年第三产业需水量为</w:t>
      </w:r>
      <w:r>
        <w:rPr>
          <w:rFonts w:hint="eastAsia" w:ascii="Times New Roman" w:hAnsi="Times New Roman" w:eastAsia="仿宋" w:cs="仿宋_GB2312"/>
          <w:color w:val="auto"/>
          <w:sz w:val="28"/>
          <w:szCs w:val="28"/>
        </w:rPr>
        <w:t>243</w:t>
      </w:r>
      <w:r>
        <w:rPr>
          <w:rFonts w:hint="eastAsia" w:eastAsia="仿宋"/>
          <w:color w:val="auto"/>
          <w:sz w:val="28"/>
          <w:szCs w:val="28"/>
        </w:rPr>
        <w:t>.</w:t>
      </w:r>
      <w:r>
        <w:rPr>
          <w:rFonts w:hint="eastAsia" w:ascii="Times New Roman" w:hAnsi="Times New Roman" w:eastAsia="仿宋" w:cs="仿宋_GB2312"/>
          <w:color w:val="auto"/>
          <w:sz w:val="28"/>
          <w:szCs w:val="28"/>
        </w:rPr>
        <w:t>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，采用水利用系数为</w:t>
      </w:r>
      <w:r>
        <w:rPr>
          <w:rFonts w:hint="eastAsia" w:ascii="Times New Roman" w:hAnsi="Times New Roman" w:eastAsia="仿宋" w:cs="仿宋_GB2312"/>
          <w:color w:val="auto"/>
          <w:sz w:val="28"/>
          <w:szCs w:val="28"/>
        </w:rPr>
        <w:t>90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%，经计算，</w:t>
      </w:r>
      <w:r>
        <w:rPr>
          <w:rFonts w:ascii="Times New Roman" w:hAnsi="Times New Roman" w:eastAsia="仿宋" w:cs="仿宋_GB2312"/>
          <w:color w:val="auto"/>
          <w:sz w:val="28"/>
          <w:szCs w:val="28"/>
        </w:rPr>
        <w:t>20</w:t>
      </w:r>
      <w:r>
        <w:rPr>
          <w:rFonts w:hint="eastAsia" w:ascii="Times New Roman" w:hAnsi="Times New Roman" w:eastAsia="仿宋" w:cs="仿宋_GB2312"/>
          <w:color w:val="auto"/>
          <w:sz w:val="28"/>
          <w:szCs w:val="28"/>
        </w:rPr>
        <w:t>25</w:t>
      </w:r>
      <w:r>
        <w:rPr>
          <w:rFonts w:eastAsia="仿宋"/>
          <w:color w:val="auto"/>
          <w:sz w:val="28"/>
          <w:szCs w:val="28"/>
        </w:rPr>
        <w:t xml:space="preserve"> 年第三产业</w:t>
      </w:r>
      <w:r>
        <w:rPr>
          <w:rFonts w:hint="eastAsia" w:eastAsia="仿宋"/>
          <w:color w:val="auto"/>
          <w:sz w:val="28"/>
          <w:szCs w:val="28"/>
        </w:rPr>
        <w:t>毛</w:t>
      </w:r>
      <w:r>
        <w:rPr>
          <w:rFonts w:eastAsia="仿宋"/>
          <w:color w:val="auto"/>
          <w:sz w:val="28"/>
          <w:szCs w:val="28"/>
        </w:rPr>
        <w:t>需水量为</w:t>
      </w:r>
      <w:r>
        <w:rPr>
          <w:rFonts w:hint="eastAsia" w:ascii="Times New Roman" w:hAnsi="Times New Roman" w:eastAsia="仿宋" w:cs="仿宋_GB2312"/>
          <w:color w:val="auto"/>
          <w:sz w:val="28"/>
          <w:szCs w:val="28"/>
        </w:rPr>
        <w:t>269</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51A67E3E">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生态需水量预测</w:t>
      </w:r>
    </w:p>
    <w:p w14:paraId="7FB9FF91">
      <w:pPr>
        <w:pStyle w:val="2"/>
        <w:ind w:firstLine="560"/>
        <w:jc w:val="left"/>
        <w:rPr>
          <w:rFonts w:eastAsia="仿宋"/>
          <w:color w:val="auto"/>
          <w:sz w:val="28"/>
          <w:szCs w:val="28"/>
        </w:rPr>
      </w:pPr>
      <w:r>
        <w:rPr>
          <w:rFonts w:hint="eastAsia" w:eastAsia="仿宋"/>
          <w:color w:val="auto"/>
          <w:sz w:val="28"/>
          <w:szCs w:val="28"/>
        </w:rPr>
        <w:t>生态环境需水包括河道内生态需水和河道外生态需水，由于河道内生态需水不参与到供需分析中，因此，本次规划仅考虑河道外生态需水。沁水县河道外生态环境用水主要包括城镇绿化用水和环境卫生用水，绿化用水主要指绿地灌溉用水，环境卫生用水主要指道路的浇酒用水。规划</w:t>
      </w:r>
      <w:r>
        <w:rPr>
          <w:rFonts w:hint="eastAsia" w:ascii="Times New Roman" w:hAnsi="Times New Roman" w:eastAsia="仿宋" w:cs="仿宋_GB2312"/>
          <w:color w:val="auto"/>
          <w:sz w:val="28"/>
          <w:szCs w:val="28"/>
        </w:rPr>
        <w:t>2025</w:t>
      </w:r>
      <w:r>
        <w:rPr>
          <w:rFonts w:hint="eastAsia" w:eastAsia="仿宋"/>
          <w:color w:val="auto"/>
          <w:sz w:val="28"/>
          <w:szCs w:val="28"/>
        </w:rPr>
        <w:t>年绿化用水量</w:t>
      </w:r>
      <w:r>
        <w:rPr>
          <w:rFonts w:hint="eastAsia" w:ascii="Times New Roman" w:hAnsi="Times New Roman" w:eastAsia="仿宋" w:cs="仿宋_GB2312"/>
          <w:color w:val="auto"/>
          <w:sz w:val="28"/>
          <w:szCs w:val="28"/>
        </w:rPr>
        <w:t>79</w:t>
      </w:r>
      <w:r>
        <w:rPr>
          <w:rFonts w:hint="eastAsia" w:eastAsia="仿宋"/>
          <w:color w:val="auto"/>
          <w:sz w:val="28"/>
          <w:szCs w:val="28"/>
        </w:rPr>
        <w:t>.</w:t>
      </w:r>
      <w:r>
        <w:rPr>
          <w:rFonts w:hint="eastAsia" w:ascii="Times New Roman" w:hAnsi="Times New Roman" w:eastAsia="仿宋" w:cs="仿宋_GB2312"/>
          <w:color w:val="auto"/>
          <w:sz w:val="28"/>
          <w:szCs w:val="28"/>
        </w:rPr>
        <w:t>94</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，道路浇洒用水量</w:t>
      </w:r>
      <w:r>
        <w:rPr>
          <w:rFonts w:hint="eastAsia" w:ascii="Times New Roman" w:hAnsi="Times New Roman" w:eastAsia="仿宋" w:cs="仿宋_GB2312"/>
          <w:color w:val="auto"/>
          <w:sz w:val="28"/>
          <w:szCs w:val="28"/>
        </w:rPr>
        <w:t>3</w:t>
      </w:r>
      <w:r>
        <w:rPr>
          <w:rFonts w:hint="eastAsia" w:eastAsia="仿宋"/>
          <w:color w:val="auto"/>
          <w:sz w:val="28"/>
          <w:szCs w:val="28"/>
        </w:rPr>
        <w:t>.</w:t>
      </w:r>
      <w:r>
        <w:rPr>
          <w:rFonts w:hint="eastAsia" w:ascii="Times New Roman" w:hAnsi="Times New Roman" w:eastAsia="仿宋" w:cs="仿宋_GB2312"/>
          <w:color w:val="auto"/>
          <w:sz w:val="28"/>
          <w:szCs w:val="28"/>
        </w:rPr>
        <w:t>55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，共计需水量</w:t>
      </w:r>
      <w:r>
        <w:rPr>
          <w:rFonts w:hint="eastAsia" w:ascii="Times New Roman" w:hAnsi="Times New Roman" w:eastAsia="仿宋" w:cs="仿宋_GB2312"/>
          <w:color w:val="auto"/>
          <w:sz w:val="28"/>
          <w:szCs w:val="28"/>
        </w:rPr>
        <w:t>83</w:t>
      </w:r>
      <w:r>
        <w:rPr>
          <w:rFonts w:hint="eastAsia" w:eastAsia="仿宋"/>
          <w:color w:val="auto"/>
          <w:sz w:val="28"/>
          <w:szCs w:val="28"/>
        </w:rPr>
        <w:t>.</w:t>
      </w:r>
      <w:r>
        <w:rPr>
          <w:rFonts w:hint="eastAsia" w:ascii="Times New Roman" w:hAnsi="Times New Roman" w:eastAsia="仿宋" w:cs="仿宋_GB2312"/>
          <w:color w:val="auto"/>
          <w:sz w:val="28"/>
          <w:szCs w:val="28"/>
        </w:rPr>
        <w:t>49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731249CB">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4</w:t>
      </w:r>
      <w:r>
        <w:rPr>
          <w:rFonts w:hint="eastAsia" w:ascii="Times New Roman" w:hAnsi="Times New Roman" w:eastAsia="仿宋"/>
          <w:color w:val="auto"/>
        </w:rPr>
        <w:t>需水预测汇总</w:t>
      </w:r>
    </w:p>
    <w:p w14:paraId="75D76FA8">
      <w:pPr>
        <w:snapToGrid w:val="0"/>
        <w:spacing w:line="360" w:lineRule="auto"/>
        <w:ind w:firstLine="560" w:firstLineChars="200"/>
        <w:rPr>
          <w:rFonts w:eastAsia="仿宋"/>
          <w:color w:val="auto"/>
          <w:sz w:val="28"/>
          <w:szCs w:val="28"/>
        </w:rPr>
      </w:pPr>
      <w:r>
        <w:rPr>
          <w:rFonts w:ascii="Times New Roman" w:hAnsi="Times New Roman" w:eastAsia="仿宋"/>
          <w:color w:val="auto"/>
          <w:sz w:val="28"/>
        </w:rPr>
        <w:t>以满足和保障供水区未来产业结构调整及国民经济重点发展方向的用水需求为出发点，在现状用水水平的基础上，考虑各行业强化节水，采用定额法，对未来生活、生产及生态</w:t>
      </w:r>
      <w:r>
        <w:rPr>
          <w:rFonts w:hint="eastAsia" w:ascii="Times New Roman" w:hAnsi="Times New Roman" w:eastAsia="仿宋"/>
          <w:color w:val="auto"/>
          <w:sz w:val="28"/>
        </w:rPr>
        <w:t>环境</w:t>
      </w:r>
      <w:r>
        <w:rPr>
          <w:rFonts w:ascii="Times New Roman" w:hAnsi="Times New Roman" w:eastAsia="仿宋"/>
          <w:color w:val="auto"/>
          <w:sz w:val="28"/>
        </w:rPr>
        <w:t>需水作出合理预测。预测</w:t>
      </w:r>
      <w:r>
        <w:rPr>
          <w:rFonts w:ascii="Times New Roman" w:hAnsi="Times New Roman" w:eastAsia="仿宋" w:cs="仿宋_GB2312"/>
          <w:color w:val="auto"/>
          <w:sz w:val="28"/>
        </w:rPr>
        <w:t>2025</w:t>
      </w:r>
      <w:r>
        <w:rPr>
          <w:rFonts w:ascii="Times New Roman" w:hAnsi="Times New Roman" w:eastAsia="仿宋"/>
          <w:color w:val="auto"/>
          <w:sz w:val="28"/>
        </w:rPr>
        <w:t>水平年需水量</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hint="eastAsia" w:ascii="Times New Roman" w:hAnsi="Times New Roman" w:eastAsia="仿宋"/>
          <w:color w:val="auto"/>
          <w:sz w:val="28"/>
          <w:szCs w:val="28"/>
        </w:rPr>
        <w:t>见表</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w:t>
      </w:r>
    </w:p>
    <w:p w14:paraId="2B5C1C63">
      <w:pPr>
        <w:pStyle w:val="8"/>
        <w:rPr>
          <w:color w:val="auto"/>
        </w:rPr>
      </w:pPr>
      <w:bookmarkStart w:id="226" w:name="_Toc21510"/>
      <w:bookmarkStart w:id="227" w:name="_Toc23248"/>
      <w:bookmarkStart w:id="228" w:name="_Toc32292"/>
      <w:bookmarkStart w:id="229" w:name="_Toc7341"/>
      <w:bookmarkStart w:id="230" w:name="_Toc7141"/>
      <w:bookmarkStart w:id="231" w:name="_Toc17775"/>
      <w:bookmarkStart w:id="232" w:name="_Toc9317"/>
      <w:bookmarkStart w:id="233" w:name="_Toc655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水量平衡分析</w:t>
      </w:r>
      <w:bookmarkEnd w:id="226"/>
      <w:bookmarkEnd w:id="227"/>
      <w:bookmarkEnd w:id="228"/>
      <w:bookmarkEnd w:id="229"/>
      <w:bookmarkEnd w:id="230"/>
      <w:bookmarkEnd w:id="231"/>
      <w:bookmarkEnd w:id="232"/>
      <w:bookmarkEnd w:id="233"/>
    </w:p>
    <w:p w14:paraId="15D4B845">
      <w:pPr>
        <w:snapToGrid w:val="0"/>
        <w:spacing w:line="360" w:lineRule="auto"/>
        <w:ind w:firstLine="560" w:firstLineChars="200"/>
        <w:rPr>
          <w:rFonts w:eastAsia="仿宋_GB2312"/>
          <w:color w:val="auto"/>
          <w:sz w:val="28"/>
        </w:rPr>
      </w:pPr>
      <w:r>
        <w:rPr>
          <w:rFonts w:hint="eastAsia" w:ascii="Times New Roman" w:hAnsi="Times New Roman" w:eastAsia="仿宋"/>
          <w:color w:val="auto"/>
          <w:sz w:val="28"/>
        </w:rPr>
        <w:t>经分析</w:t>
      </w:r>
      <w:r>
        <w:rPr>
          <w:rFonts w:hint="eastAsia" w:ascii="Times New Roman" w:hAnsi="Times New Roman" w:eastAsia="仿宋" w:cs="仿宋_GB2312"/>
          <w:color w:val="auto"/>
          <w:sz w:val="28"/>
        </w:rPr>
        <w:t>2025</w:t>
      </w:r>
      <w:r>
        <w:rPr>
          <w:rFonts w:hint="eastAsia" w:ascii="Times New Roman" w:hAnsi="Times New Roman" w:eastAsia="仿宋"/>
          <w:color w:val="auto"/>
          <w:sz w:val="28"/>
        </w:rPr>
        <w:t>年底全县需水量为</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eastAsia="仿宋_GB2312"/>
          <w:color w:val="auto"/>
          <w:sz w:val="28"/>
        </w:rPr>
        <w:t>截至</w:t>
      </w:r>
      <w:r>
        <w:rPr>
          <w:rFonts w:hint="eastAsia" w:ascii="Times New Roman" w:hAnsi="Times New Roman" w:eastAsia="仿宋_GB2312" w:cs="仿宋_GB2312"/>
          <w:color w:val="auto"/>
          <w:sz w:val="28"/>
        </w:rPr>
        <w:t>2020</w:t>
      </w:r>
      <w:r>
        <w:rPr>
          <w:rFonts w:eastAsia="仿宋_GB2312"/>
          <w:color w:val="auto"/>
          <w:sz w:val="28"/>
        </w:rPr>
        <w:t>年年底，现状总供水能力为</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53</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eastAsia="仿宋_GB2312"/>
          <w:color w:val="auto"/>
          <w:sz w:val="28"/>
        </w:rPr>
        <w:t>。</w:t>
      </w:r>
      <w:r>
        <w:rPr>
          <w:rFonts w:hint="eastAsia" w:eastAsia="仿宋_GB2312"/>
          <w:color w:val="auto"/>
          <w:sz w:val="28"/>
        </w:rPr>
        <w:t>“</w:t>
      </w:r>
      <w:r>
        <w:rPr>
          <w:rFonts w:eastAsia="仿宋_GB2312"/>
          <w:color w:val="auto"/>
          <w:sz w:val="28"/>
        </w:rPr>
        <w:t>十</w:t>
      </w:r>
      <w:r>
        <w:rPr>
          <w:rFonts w:hint="eastAsia" w:eastAsia="仿宋_GB2312"/>
          <w:color w:val="auto"/>
          <w:sz w:val="28"/>
        </w:rPr>
        <w:t>四</w:t>
      </w:r>
      <w:r>
        <w:rPr>
          <w:rFonts w:eastAsia="仿宋_GB2312"/>
          <w:color w:val="auto"/>
          <w:sz w:val="28"/>
        </w:rPr>
        <w:t>五</w:t>
      </w:r>
      <w:r>
        <w:rPr>
          <w:rFonts w:hint="eastAsia" w:eastAsia="仿宋_GB2312"/>
          <w:color w:val="auto"/>
          <w:sz w:val="28"/>
        </w:rPr>
        <w:t>”</w:t>
      </w:r>
      <w:r>
        <w:rPr>
          <w:rFonts w:eastAsia="仿宋_GB2312"/>
          <w:color w:val="auto"/>
          <w:sz w:val="28"/>
        </w:rPr>
        <w:t>期间，规划建设多处</w:t>
      </w:r>
      <w:r>
        <w:rPr>
          <w:rFonts w:hint="eastAsia" w:eastAsia="仿宋_GB2312"/>
          <w:color w:val="auto"/>
          <w:sz w:val="28"/>
        </w:rPr>
        <w:t>供水</w:t>
      </w:r>
      <w:r>
        <w:rPr>
          <w:rFonts w:eastAsia="仿宋_GB2312"/>
          <w:color w:val="auto"/>
          <w:sz w:val="28"/>
        </w:rPr>
        <w:t>工程和蓄水工程，预计至</w:t>
      </w:r>
      <w:r>
        <w:rPr>
          <w:rFonts w:hint="eastAsia" w:ascii="Times New Roman" w:hAnsi="Times New Roman" w:eastAsia="仿宋_GB2312" w:cs="仿宋_GB2312"/>
          <w:color w:val="auto"/>
          <w:sz w:val="28"/>
        </w:rPr>
        <w:t>2025</w:t>
      </w:r>
      <w:r>
        <w:rPr>
          <w:rFonts w:hint="eastAsia" w:ascii="Times New Roman" w:hAnsi="Times New Roman" w:eastAsia="仿宋" w:cs="Times New Roman"/>
          <w:color w:val="auto"/>
          <w:kern w:val="2"/>
          <w:sz w:val="28"/>
          <w:szCs w:val="28"/>
          <w:lang w:val="en-US" w:eastAsia="zh-CN" w:bidi="ar-SA"/>
        </w:rPr>
        <w:t>年底全县总供水能力可达到</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69</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hint="eastAsia" w:eastAsia="仿宋_GB2312"/>
          <w:color w:val="auto"/>
          <w:sz w:val="28"/>
        </w:rPr>
        <w:t>，</w:t>
      </w:r>
      <w:r>
        <w:rPr>
          <w:rFonts w:hint="eastAsia" w:ascii="Times New Roman" w:hAnsi="Times New Roman" w:eastAsia="仿宋" w:cs="Times New Roman"/>
          <w:color w:val="auto"/>
          <w:kern w:val="2"/>
          <w:sz w:val="28"/>
          <w:szCs w:val="28"/>
          <w:lang w:val="en-US" w:eastAsia="zh-CN" w:bidi="ar-SA"/>
        </w:rPr>
        <w:t>供需可满足</w:t>
      </w:r>
      <w:r>
        <w:rPr>
          <w:rFonts w:hint="eastAsia" w:ascii="Times New Roman" w:hAnsi="Times New Roman" w:eastAsia="仿宋" w:cs="仿宋_GB2312"/>
          <w:color w:val="auto"/>
          <w:sz w:val="28"/>
        </w:rPr>
        <w:t>2025</w:t>
      </w:r>
      <w:r>
        <w:rPr>
          <w:rFonts w:hint="eastAsia" w:ascii="Times New Roman" w:hAnsi="Times New Roman" w:eastAsia="仿宋" w:cs="Times New Roman"/>
          <w:color w:val="auto"/>
          <w:kern w:val="2"/>
          <w:sz w:val="28"/>
          <w:szCs w:val="28"/>
          <w:lang w:val="en-US" w:eastAsia="zh-CN" w:bidi="ar-SA"/>
        </w:rPr>
        <w:t>年需水量要求</w:t>
      </w:r>
      <w:r>
        <w:rPr>
          <w:rFonts w:eastAsia="仿宋_GB2312"/>
          <w:color w:val="auto"/>
          <w:sz w:val="28"/>
        </w:rPr>
        <w:t>。</w:t>
      </w:r>
    </w:p>
    <w:p w14:paraId="7006BA1D">
      <w:pPr>
        <w:pStyle w:val="4"/>
        <w:rPr>
          <w:color w:val="auto"/>
          <w:lang w:val="en-US"/>
        </w:rPr>
        <w:sectPr>
          <w:pgSz w:w="11906" w:h="16838"/>
          <w:pgMar w:top="1531" w:right="1247" w:bottom="1247" w:left="1417" w:header="850" w:footer="992" w:gutter="0"/>
          <w:pgNumType w:fmt="numberInDash"/>
          <w:cols w:space="720" w:num="1"/>
          <w:docGrid w:type="lines" w:linePitch="312" w:charSpace="0"/>
        </w:sectPr>
      </w:pPr>
    </w:p>
    <w:p w14:paraId="7EE04F4A">
      <w:pPr>
        <w:rPr>
          <w:color w:val="auto"/>
        </w:rPr>
      </w:pPr>
    </w:p>
    <w:p w14:paraId="6DE4EF47">
      <w:pPr>
        <w:rPr>
          <w:color w:val="auto"/>
        </w:rPr>
      </w:pPr>
    </w:p>
    <w:tbl>
      <w:tblPr>
        <w:tblStyle w:val="22"/>
        <w:tblW w:w="13362" w:type="dxa"/>
        <w:jc w:val="center"/>
        <w:tblLayout w:type="fixed"/>
        <w:tblCellMar>
          <w:top w:w="0" w:type="dxa"/>
          <w:left w:w="108" w:type="dxa"/>
          <w:bottom w:w="0" w:type="dxa"/>
          <w:right w:w="108" w:type="dxa"/>
        </w:tblCellMar>
      </w:tblPr>
      <w:tblGrid>
        <w:gridCol w:w="1046"/>
        <w:gridCol w:w="1071"/>
        <w:gridCol w:w="998"/>
        <w:gridCol w:w="770"/>
        <w:gridCol w:w="915"/>
        <w:gridCol w:w="771"/>
        <w:gridCol w:w="770"/>
        <w:gridCol w:w="1247"/>
        <w:gridCol w:w="922"/>
        <w:gridCol w:w="1111"/>
        <w:gridCol w:w="843"/>
        <w:gridCol w:w="801"/>
        <w:gridCol w:w="894"/>
        <w:gridCol w:w="1203"/>
      </w:tblGrid>
      <w:tr w14:paraId="7D5FD6DB">
        <w:tblPrEx>
          <w:tblCellMar>
            <w:top w:w="0" w:type="dxa"/>
            <w:left w:w="108" w:type="dxa"/>
            <w:bottom w:w="0" w:type="dxa"/>
            <w:right w:w="108" w:type="dxa"/>
          </w:tblCellMar>
        </w:tblPrEx>
        <w:trPr>
          <w:trHeight w:val="361" w:hRule="atLeast"/>
          <w:jc w:val="center"/>
        </w:trPr>
        <w:tc>
          <w:tcPr>
            <w:tcW w:w="13362" w:type="dxa"/>
            <w:gridSpan w:val="14"/>
            <w:tcBorders>
              <w:top w:val="nil"/>
              <w:left w:val="nil"/>
              <w:bottom w:val="single" w:color="auto" w:sz="12" w:space="0"/>
              <w:right w:val="nil"/>
            </w:tcBorders>
            <w:vAlign w:val="bottom"/>
          </w:tcPr>
          <w:p w14:paraId="7BB294E8">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 xml:space="preserve">    </w:t>
            </w:r>
            <w:r>
              <w:rPr>
                <w:rFonts w:hint="eastAsia" w:ascii="Times New Roman" w:hAnsi="Times New Roman" w:eastAsia="仿宋" w:cs="仿宋_GB2312"/>
                <w:color w:val="auto"/>
                <w:kern w:val="0"/>
                <w:sz w:val="28"/>
                <w:szCs w:val="28"/>
              </w:rPr>
              <w:t>2019</w:t>
            </w:r>
            <w:r>
              <w:rPr>
                <w:rFonts w:hint="eastAsia" w:ascii="Times New Roman" w:hAnsi="Times New Roman" w:eastAsia="仿宋"/>
                <w:color w:val="auto"/>
                <w:kern w:val="0"/>
                <w:sz w:val="28"/>
                <w:szCs w:val="28"/>
              </w:rPr>
              <w:t>年沁水县流域分区水资源总量表</w:t>
            </w:r>
          </w:p>
          <w:p w14:paraId="7474A680">
            <w:pPr>
              <w:snapToGrid w:val="0"/>
              <w:spacing w:line="360" w:lineRule="auto"/>
              <w:ind w:firstLine="560" w:firstLineChars="200"/>
              <w:rPr>
                <w:rFonts w:ascii="Times New Roman" w:hAnsi="Times New Roman" w:eastAsia="仿宋"/>
                <w:color w:val="auto"/>
                <w:kern w:val="0"/>
                <w:sz w:val="24"/>
              </w:rPr>
            </w:pPr>
            <w:r>
              <w:rPr>
                <w:rFonts w:hint="eastAsia" w:eastAsia="仿宋" w:cs="仿宋"/>
                <w:color w:val="auto"/>
                <w:sz w:val="28"/>
                <w:szCs w:val="28"/>
              </w:rPr>
              <w:t xml:space="preserve">                                                                        </w:t>
            </w:r>
            <w:r>
              <w:rPr>
                <w:rFonts w:hint="eastAsia" w:ascii="Times New Roman" w:hAnsi="Times New Roman" w:eastAsia="仿宋"/>
                <w:color w:val="auto"/>
                <w:kern w:val="0"/>
                <w:sz w:val="24"/>
              </w:rPr>
              <w:t>水量单位：亿</w:t>
            </w:r>
            <w:r>
              <w:rPr>
                <w:rFonts w:hint="eastAsia" w:ascii="Times New Roman" w:hAnsi="Times New Roman" w:eastAsia="仿宋" w:cs="仿宋_GB2312"/>
                <w:color w:val="auto"/>
                <w:kern w:val="0"/>
                <w:sz w:val="24"/>
              </w:rPr>
              <w:t>m</w:t>
            </w:r>
            <w:r>
              <w:rPr>
                <w:rFonts w:hint="eastAsia" w:ascii="Times New Roman" w:hAnsi="Times New Roman" w:eastAsia="仿宋" w:cs="仿宋_GB2312"/>
                <w:color w:val="auto"/>
                <w:kern w:val="0"/>
                <w:sz w:val="24"/>
                <w:vertAlign w:val="superscript"/>
              </w:rPr>
              <w:t>3</w:t>
            </w:r>
          </w:p>
          <w:tbl>
            <w:tblPr>
              <w:tblStyle w:val="22"/>
              <w:tblW w:w="125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698"/>
              <w:gridCol w:w="1432"/>
              <w:gridCol w:w="1034"/>
              <w:gridCol w:w="932"/>
              <w:gridCol w:w="1132"/>
              <w:gridCol w:w="1072"/>
              <w:gridCol w:w="1109"/>
              <w:gridCol w:w="1084"/>
              <w:gridCol w:w="1223"/>
              <w:gridCol w:w="1645"/>
            </w:tblGrid>
            <w:tr w14:paraId="720D0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91" w:type="dxa"/>
                  <w:vAlign w:val="center"/>
                </w:tcPr>
                <w:p w14:paraId="65E51CA8">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流域</w:t>
                  </w:r>
                </w:p>
              </w:tc>
              <w:tc>
                <w:tcPr>
                  <w:tcW w:w="2130" w:type="dxa"/>
                  <w:gridSpan w:val="2"/>
                  <w:vAlign w:val="center"/>
                </w:tcPr>
                <w:p w14:paraId="62B5C69B">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分区名称</w:t>
                  </w:r>
                </w:p>
              </w:tc>
              <w:tc>
                <w:tcPr>
                  <w:tcW w:w="1034" w:type="dxa"/>
                  <w:vAlign w:val="center"/>
                </w:tcPr>
                <w:p w14:paraId="47999856">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计算</w:t>
                  </w:r>
                </w:p>
                <w:p w14:paraId="7A98FD69">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面积（</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c>
                <w:tcPr>
                  <w:tcW w:w="932" w:type="dxa"/>
                  <w:vAlign w:val="center"/>
                </w:tcPr>
                <w:p w14:paraId="7A299309">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年降水量</w:t>
                  </w:r>
                </w:p>
              </w:tc>
              <w:tc>
                <w:tcPr>
                  <w:tcW w:w="1132" w:type="dxa"/>
                  <w:vAlign w:val="center"/>
                </w:tcPr>
                <w:p w14:paraId="1E079D5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地表水资源量</w:t>
                  </w:r>
                </w:p>
              </w:tc>
              <w:tc>
                <w:tcPr>
                  <w:tcW w:w="1072" w:type="dxa"/>
                  <w:vAlign w:val="center"/>
                </w:tcPr>
                <w:p w14:paraId="5ED96B7C">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地下水资源量</w:t>
                  </w:r>
                </w:p>
              </w:tc>
              <w:tc>
                <w:tcPr>
                  <w:tcW w:w="1109" w:type="dxa"/>
                  <w:vAlign w:val="center"/>
                </w:tcPr>
                <w:p w14:paraId="17003D4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重复计算量</w:t>
                  </w:r>
                </w:p>
              </w:tc>
              <w:tc>
                <w:tcPr>
                  <w:tcW w:w="1084" w:type="dxa"/>
                  <w:vAlign w:val="center"/>
                </w:tcPr>
                <w:p w14:paraId="5DDACD2A">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水资源总量</w:t>
                  </w:r>
                </w:p>
              </w:tc>
              <w:tc>
                <w:tcPr>
                  <w:tcW w:w="1223" w:type="dxa"/>
                  <w:vAlign w:val="center"/>
                </w:tcPr>
                <w:p w14:paraId="3462FB1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产水系数</w:t>
                  </w:r>
                </w:p>
              </w:tc>
              <w:tc>
                <w:tcPr>
                  <w:tcW w:w="1645" w:type="dxa"/>
                  <w:vAlign w:val="center"/>
                </w:tcPr>
                <w:p w14:paraId="28510F3B">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产水模数</w:t>
                  </w:r>
                </w:p>
                <w:p w14:paraId="6267C847">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（万</w:t>
                  </w:r>
                  <w:r>
                    <w:rPr>
                      <w:rFonts w:ascii="Times New Roman" w:hAnsi="Times New Roman" w:eastAsia="仿宋" w:cs="仿宋_GB2312"/>
                      <w:b/>
                      <w:bCs/>
                      <w:color w:val="auto"/>
                      <w:sz w:val="24"/>
                      <w:shd w:val="clear" w:color="auto" w:fill="FFFFFF"/>
                    </w:rPr>
                    <w:t>m</w:t>
                  </w:r>
                  <w:r>
                    <w:rPr>
                      <w:rFonts w:ascii="Times New Roman" w:hAnsi="Times New Roman" w:eastAsia="仿宋" w:cs="仿宋_GB2312"/>
                      <w:b/>
                      <w:bCs/>
                      <w:color w:val="auto"/>
                      <w:sz w:val="24"/>
                      <w:shd w:val="clear" w:color="auto" w:fill="FFFFFF"/>
                      <w:vertAlign w:val="superscript"/>
                    </w:rPr>
                    <w:t>3</w:t>
                  </w:r>
                  <w:r>
                    <w:rPr>
                      <w:rFonts w:ascii="Times New Roman" w:hAnsi="Times New Roman" w:eastAsia="仿宋"/>
                      <w:b/>
                      <w:bCs/>
                      <w:color w:val="auto"/>
                      <w:sz w:val="24"/>
                      <w:shd w:val="clear" w:color="auto" w:fill="FFFFFF"/>
                    </w:rPr>
                    <w:t>/</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r>
            <w:tr w14:paraId="12534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91" w:type="dxa"/>
                  <w:vMerge w:val="restart"/>
                  <w:tcBorders>
                    <w:top w:val="single" w:color="auto" w:sz="12" w:space="0"/>
                    <w:tl2br w:val="nil"/>
                    <w:tr2bl w:val="nil"/>
                  </w:tcBorders>
                  <w:vAlign w:val="center"/>
                </w:tcPr>
                <w:p w14:paraId="0421EDC7">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黄河流域</w:t>
                  </w:r>
                </w:p>
              </w:tc>
              <w:tc>
                <w:tcPr>
                  <w:tcW w:w="2130" w:type="dxa"/>
                  <w:gridSpan w:val="2"/>
                  <w:tcBorders>
                    <w:top w:val="single" w:color="auto" w:sz="12" w:space="0"/>
                    <w:tl2br w:val="nil"/>
                    <w:tr2bl w:val="nil"/>
                  </w:tcBorders>
                  <w:vAlign w:val="center"/>
                </w:tcPr>
                <w:p w14:paraId="279875B6">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入汾小河</w:t>
                  </w:r>
                </w:p>
              </w:tc>
              <w:tc>
                <w:tcPr>
                  <w:tcW w:w="1034" w:type="dxa"/>
                  <w:tcBorders>
                    <w:top w:val="single" w:color="auto" w:sz="12" w:space="0"/>
                    <w:tl2br w:val="nil"/>
                    <w:tr2bl w:val="nil"/>
                  </w:tcBorders>
                  <w:vAlign w:val="center"/>
                </w:tcPr>
                <w:p w14:paraId="0694A0F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90</w:t>
                  </w:r>
                </w:p>
              </w:tc>
              <w:tc>
                <w:tcPr>
                  <w:tcW w:w="932" w:type="dxa"/>
                  <w:tcBorders>
                    <w:top w:val="single" w:color="auto" w:sz="12" w:space="0"/>
                    <w:tl2br w:val="nil"/>
                    <w:tr2bl w:val="nil"/>
                  </w:tcBorders>
                  <w:vAlign w:val="center"/>
                </w:tcPr>
                <w:p w14:paraId="2411E5C9">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53</w:t>
                  </w:r>
                </w:p>
              </w:tc>
              <w:tc>
                <w:tcPr>
                  <w:tcW w:w="1132" w:type="dxa"/>
                  <w:tcBorders>
                    <w:top w:val="single" w:color="auto" w:sz="12" w:space="0"/>
                    <w:tl2br w:val="nil"/>
                    <w:tr2bl w:val="nil"/>
                  </w:tcBorders>
                  <w:vAlign w:val="center"/>
                </w:tcPr>
                <w:p w14:paraId="464586EC">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0455</w:t>
                  </w:r>
                </w:p>
              </w:tc>
              <w:tc>
                <w:tcPr>
                  <w:tcW w:w="1072" w:type="dxa"/>
                  <w:tcBorders>
                    <w:top w:val="single" w:color="auto" w:sz="12" w:space="0"/>
                    <w:tl2br w:val="nil"/>
                    <w:tr2bl w:val="nil"/>
                  </w:tcBorders>
                  <w:vAlign w:val="center"/>
                </w:tcPr>
                <w:p w14:paraId="7A962A75">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0648</w:t>
                  </w:r>
                </w:p>
              </w:tc>
              <w:tc>
                <w:tcPr>
                  <w:tcW w:w="1109" w:type="dxa"/>
                  <w:tcBorders>
                    <w:top w:val="single" w:color="auto" w:sz="12" w:space="0"/>
                    <w:tl2br w:val="nil"/>
                    <w:tr2bl w:val="nil"/>
                  </w:tcBorders>
                  <w:vAlign w:val="center"/>
                </w:tcPr>
                <w:p w14:paraId="048F6810">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0123</w:t>
                  </w:r>
                </w:p>
              </w:tc>
              <w:tc>
                <w:tcPr>
                  <w:tcW w:w="1084" w:type="dxa"/>
                  <w:tcBorders>
                    <w:top w:val="single" w:color="auto" w:sz="12" w:space="0"/>
                    <w:tl2br w:val="nil"/>
                    <w:tr2bl w:val="nil"/>
                  </w:tcBorders>
                  <w:vAlign w:val="center"/>
                </w:tcPr>
                <w:p w14:paraId="604AD0C9">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098</w:t>
                  </w:r>
                </w:p>
              </w:tc>
              <w:tc>
                <w:tcPr>
                  <w:tcW w:w="1223" w:type="dxa"/>
                  <w:tcBorders>
                    <w:top w:val="single" w:color="auto" w:sz="12" w:space="0"/>
                    <w:tl2br w:val="nil"/>
                    <w:tr2bl w:val="nil"/>
                  </w:tcBorders>
                  <w:vAlign w:val="center"/>
                </w:tcPr>
                <w:p w14:paraId="585FADEB">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18</w:t>
                  </w:r>
                </w:p>
              </w:tc>
              <w:tc>
                <w:tcPr>
                  <w:tcW w:w="1645" w:type="dxa"/>
                  <w:tcBorders>
                    <w:top w:val="single" w:color="auto" w:sz="12" w:space="0"/>
                    <w:tl2br w:val="nil"/>
                    <w:tr2bl w:val="nil"/>
                  </w:tcBorders>
                  <w:vAlign w:val="center"/>
                </w:tcPr>
                <w:p w14:paraId="3FFF8C97">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89</w:t>
                  </w:r>
                </w:p>
              </w:tc>
            </w:tr>
            <w:tr w14:paraId="6768A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91" w:type="dxa"/>
                  <w:vMerge w:val="continue"/>
                  <w:tcBorders>
                    <w:tl2br w:val="nil"/>
                    <w:tr2bl w:val="nil"/>
                  </w:tcBorders>
                  <w:vAlign w:val="center"/>
                </w:tcPr>
                <w:p w14:paraId="3966B255">
                  <w:pPr>
                    <w:autoSpaceDN w:val="0"/>
                    <w:snapToGrid w:val="0"/>
                    <w:jc w:val="center"/>
                    <w:rPr>
                      <w:rFonts w:eastAsia="仿宋" w:cs="仿宋"/>
                      <w:color w:val="auto"/>
                      <w:sz w:val="24"/>
                      <w:shd w:val="clear" w:color="auto" w:fill="FFFFFF"/>
                    </w:rPr>
                  </w:pPr>
                </w:p>
              </w:tc>
              <w:tc>
                <w:tcPr>
                  <w:tcW w:w="698" w:type="dxa"/>
                  <w:vMerge w:val="restart"/>
                  <w:tcBorders>
                    <w:tl2br w:val="nil"/>
                    <w:tr2bl w:val="nil"/>
                  </w:tcBorders>
                  <w:vAlign w:val="center"/>
                </w:tcPr>
                <w:p w14:paraId="5BFFD337">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沁河</w:t>
                  </w:r>
                </w:p>
              </w:tc>
              <w:tc>
                <w:tcPr>
                  <w:tcW w:w="1432" w:type="dxa"/>
                  <w:tcBorders>
                    <w:tl2br w:val="nil"/>
                    <w:tr2bl w:val="nil"/>
                  </w:tcBorders>
                  <w:vAlign w:val="center"/>
                </w:tcPr>
                <w:p w14:paraId="69752143">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张峰分区</w:t>
                  </w:r>
                </w:p>
              </w:tc>
              <w:tc>
                <w:tcPr>
                  <w:tcW w:w="1034" w:type="dxa"/>
                  <w:tcBorders>
                    <w:tl2br w:val="nil"/>
                    <w:tr2bl w:val="nil"/>
                  </w:tcBorders>
                  <w:vAlign w:val="center"/>
                </w:tcPr>
                <w:p w14:paraId="5426C7D8">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452</w:t>
                  </w:r>
                </w:p>
              </w:tc>
              <w:tc>
                <w:tcPr>
                  <w:tcW w:w="932" w:type="dxa"/>
                  <w:tcBorders>
                    <w:tl2br w:val="nil"/>
                    <w:tr2bl w:val="nil"/>
                  </w:tcBorders>
                  <w:vAlign w:val="center"/>
                </w:tcPr>
                <w:p w14:paraId="1B48D10F">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42</w:t>
                  </w:r>
                </w:p>
              </w:tc>
              <w:tc>
                <w:tcPr>
                  <w:tcW w:w="1132" w:type="dxa"/>
                  <w:tcBorders>
                    <w:tl2br w:val="nil"/>
                    <w:tr2bl w:val="nil"/>
                  </w:tcBorders>
                  <w:vAlign w:val="center"/>
                </w:tcPr>
                <w:p w14:paraId="6A2C479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2561</w:t>
                  </w:r>
                </w:p>
              </w:tc>
              <w:tc>
                <w:tcPr>
                  <w:tcW w:w="1072" w:type="dxa"/>
                  <w:tcBorders>
                    <w:tl2br w:val="nil"/>
                    <w:tr2bl w:val="nil"/>
                  </w:tcBorders>
                  <w:vAlign w:val="center"/>
                </w:tcPr>
                <w:p w14:paraId="6A4E57F3">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2033</w:t>
                  </w:r>
                </w:p>
              </w:tc>
              <w:tc>
                <w:tcPr>
                  <w:tcW w:w="1109" w:type="dxa"/>
                  <w:tcBorders>
                    <w:tl2br w:val="nil"/>
                    <w:tr2bl w:val="nil"/>
                  </w:tcBorders>
                  <w:vAlign w:val="center"/>
                </w:tcPr>
                <w:p w14:paraId="1F12934E">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2007</w:t>
                  </w:r>
                </w:p>
              </w:tc>
              <w:tc>
                <w:tcPr>
                  <w:tcW w:w="1084" w:type="dxa"/>
                  <w:tcBorders>
                    <w:tl2br w:val="nil"/>
                    <w:tr2bl w:val="nil"/>
                  </w:tcBorders>
                  <w:vAlign w:val="center"/>
                </w:tcPr>
                <w:p w14:paraId="5894EA2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2587</w:t>
                  </w:r>
                </w:p>
              </w:tc>
              <w:tc>
                <w:tcPr>
                  <w:tcW w:w="1223" w:type="dxa"/>
                  <w:tcBorders>
                    <w:tl2br w:val="nil"/>
                    <w:tr2bl w:val="nil"/>
                  </w:tcBorders>
                  <w:vAlign w:val="center"/>
                </w:tcPr>
                <w:p w14:paraId="5C3256A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11</w:t>
                  </w:r>
                </w:p>
              </w:tc>
              <w:tc>
                <w:tcPr>
                  <w:tcW w:w="1645" w:type="dxa"/>
                  <w:tcBorders>
                    <w:tl2br w:val="nil"/>
                    <w:tr2bl w:val="nil"/>
                  </w:tcBorders>
                  <w:vAlign w:val="center"/>
                </w:tcPr>
                <w:p w14:paraId="78A4B1B6">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72</w:t>
                  </w:r>
                </w:p>
              </w:tc>
            </w:tr>
            <w:tr w14:paraId="70B8E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91" w:type="dxa"/>
                  <w:vMerge w:val="continue"/>
                  <w:tcBorders>
                    <w:tl2br w:val="nil"/>
                    <w:tr2bl w:val="nil"/>
                  </w:tcBorders>
                  <w:vAlign w:val="center"/>
                </w:tcPr>
                <w:p w14:paraId="1E3520E0">
                  <w:pPr>
                    <w:autoSpaceDN w:val="0"/>
                    <w:snapToGrid w:val="0"/>
                    <w:jc w:val="center"/>
                    <w:rPr>
                      <w:rFonts w:eastAsia="仿宋" w:cs="仿宋"/>
                      <w:color w:val="auto"/>
                      <w:sz w:val="24"/>
                      <w:shd w:val="clear" w:color="auto" w:fill="FFFFFF"/>
                    </w:rPr>
                  </w:pPr>
                </w:p>
              </w:tc>
              <w:tc>
                <w:tcPr>
                  <w:tcW w:w="698" w:type="dxa"/>
                  <w:vMerge w:val="continue"/>
                  <w:tcBorders>
                    <w:tl2br w:val="nil"/>
                    <w:tr2bl w:val="nil"/>
                  </w:tcBorders>
                  <w:vAlign w:val="center"/>
                </w:tcPr>
                <w:p w14:paraId="3FCD382C">
                  <w:pPr>
                    <w:pStyle w:val="2"/>
                    <w:spacing w:line="240" w:lineRule="auto"/>
                    <w:ind w:firstLine="480"/>
                    <w:rPr>
                      <w:color w:val="auto"/>
                    </w:rPr>
                  </w:pPr>
                </w:p>
              </w:tc>
              <w:tc>
                <w:tcPr>
                  <w:tcW w:w="1432" w:type="dxa"/>
                  <w:tcBorders>
                    <w:tl2br w:val="nil"/>
                    <w:tr2bl w:val="nil"/>
                  </w:tcBorders>
                  <w:vAlign w:val="center"/>
                </w:tcPr>
                <w:p w14:paraId="5BE0DB66">
                  <w:pPr>
                    <w:autoSpaceDN w:val="0"/>
                    <w:snapToGrid w:val="0"/>
                    <w:jc w:val="center"/>
                    <w:rPr>
                      <w:rFonts w:ascii="Times New Roman" w:hAnsi="Times New Roman"/>
                      <w:color w:val="auto"/>
                      <w:sz w:val="24"/>
                    </w:rPr>
                  </w:pPr>
                  <w:r>
                    <w:rPr>
                      <w:rFonts w:hint="eastAsia" w:eastAsia="仿宋" w:cs="仿宋"/>
                      <w:color w:val="auto"/>
                      <w:sz w:val="24"/>
                      <w:shd w:val="clear" w:color="auto" w:fill="FFFFFF"/>
                    </w:rPr>
                    <w:t>小计</w:t>
                  </w:r>
                </w:p>
              </w:tc>
              <w:tc>
                <w:tcPr>
                  <w:tcW w:w="1034" w:type="dxa"/>
                  <w:tcBorders>
                    <w:tl2br w:val="nil"/>
                    <w:tr2bl w:val="nil"/>
                  </w:tcBorders>
                  <w:vAlign w:val="center"/>
                </w:tcPr>
                <w:p w14:paraId="33D1B42C">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4858</w:t>
                  </w:r>
                </w:p>
              </w:tc>
              <w:tc>
                <w:tcPr>
                  <w:tcW w:w="932" w:type="dxa"/>
                  <w:tcBorders>
                    <w:tl2br w:val="nil"/>
                    <w:tr2bl w:val="nil"/>
                  </w:tcBorders>
                  <w:vAlign w:val="center"/>
                </w:tcPr>
                <w:p w14:paraId="33EACF77">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27</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54</w:t>
                  </w:r>
                </w:p>
              </w:tc>
              <w:tc>
                <w:tcPr>
                  <w:tcW w:w="1132" w:type="dxa"/>
                  <w:tcBorders>
                    <w:tl2br w:val="nil"/>
                    <w:tr2bl w:val="nil"/>
                  </w:tcBorders>
                  <w:vAlign w:val="center"/>
                </w:tcPr>
                <w:p w14:paraId="2209334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3599</w:t>
                  </w:r>
                </w:p>
              </w:tc>
              <w:tc>
                <w:tcPr>
                  <w:tcW w:w="1072" w:type="dxa"/>
                  <w:tcBorders>
                    <w:tl2br w:val="nil"/>
                    <w:tr2bl w:val="nil"/>
                  </w:tcBorders>
                  <w:vAlign w:val="center"/>
                </w:tcPr>
                <w:p w14:paraId="0D2A0C2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3</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0239</w:t>
                  </w:r>
                </w:p>
              </w:tc>
              <w:tc>
                <w:tcPr>
                  <w:tcW w:w="1109" w:type="dxa"/>
                  <w:tcBorders>
                    <w:tl2br w:val="nil"/>
                    <w:tr2bl w:val="nil"/>
                  </w:tcBorders>
                  <w:vAlign w:val="center"/>
                </w:tcPr>
                <w:p w14:paraId="2E5985BF">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5519</w:t>
                  </w:r>
                </w:p>
              </w:tc>
              <w:tc>
                <w:tcPr>
                  <w:tcW w:w="1084" w:type="dxa"/>
                  <w:tcBorders>
                    <w:tl2br w:val="nil"/>
                    <w:tr2bl w:val="nil"/>
                  </w:tcBorders>
                  <w:vAlign w:val="center"/>
                </w:tcPr>
                <w:p w14:paraId="62A84412">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8319</w:t>
                  </w:r>
                </w:p>
              </w:tc>
              <w:tc>
                <w:tcPr>
                  <w:tcW w:w="1223" w:type="dxa"/>
                  <w:tcBorders>
                    <w:tl2br w:val="nil"/>
                    <w:tr2bl w:val="nil"/>
                  </w:tcBorders>
                  <w:vAlign w:val="center"/>
                </w:tcPr>
                <w:p w14:paraId="3548725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645" w:type="dxa"/>
                  <w:tcBorders>
                    <w:tl2br w:val="nil"/>
                    <w:tr2bl w:val="nil"/>
                  </w:tcBorders>
                  <w:vAlign w:val="center"/>
                </w:tcPr>
                <w:p w14:paraId="656164F4">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w:t>
                  </w:r>
                </w:p>
              </w:tc>
            </w:tr>
          </w:tbl>
          <w:p w14:paraId="5BAAEAE8">
            <w:pPr>
              <w:widowControl/>
              <w:spacing w:line="360" w:lineRule="auto"/>
              <w:jc w:val="center"/>
              <w:rPr>
                <w:rFonts w:ascii="仿宋" w:hAnsi="仿宋" w:eastAsia="仿宋" w:cs="仿宋"/>
                <w:color w:val="auto"/>
                <w:kern w:val="0"/>
                <w:sz w:val="24"/>
              </w:rPr>
            </w:pPr>
          </w:p>
          <w:p w14:paraId="39C95340">
            <w:pPr>
              <w:widowControl/>
              <w:spacing w:line="360" w:lineRule="auto"/>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 xml:space="preserve">     </w:t>
            </w:r>
            <w:r>
              <w:rPr>
                <w:rFonts w:ascii="Times New Roman" w:hAnsi="Times New Roman" w:cs="仿宋_GB2312"/>
                <w:color w:val="auto"/>
                <w:kern w:val="0"/>
                <w:sz w:val="28"/>
                <w:szCs w:val="28"/>
              </w:rPr>
              <w:t>201</w:t>
            </w:r>
            <w:r>
              <w:rPr>
                <w:rFonts w:hint="eastAsia" w:ascii="Times New Roman" w:hAnsi="Times New Roman" w:cs="仿宋_GB2312"/>
                <w:color w:val="auto"/>
                <w:kern w:val="0"/>
                <w:sz w:val="28"/>
                <w:szCs w:val="28"/>
              </w:rPr>
              <w:t>9</w:t>
            </w:r>
            <w:r>
              <w:rPr>
                <w:rFonts w:hint="eastAsia" w:ascii="仿宋" w:hAnsi="仿宋" w:eastAsia="仿宋" w:cs="仿宋"/>
                <w:color w:val="auto"/>
                <w:kern w:val="0"/>
                <w:sz w:val="28"/>
                <w:szCs w:val="28"/>
              </w:rPr>
              <w:t>年沁水县供用水量统计表</w:t>
            </w:r>
          </w:p>
          <w:p w14:paraId="593D5754">
            <w:pPr>
              <w:widowControl/>
              <w:spacing w:line="360" w:lineRule="auto"/>
              <w:jc w:val="right"/>
              <w:rPr>
                <w:rFonts w:ascii="仿宋" w:hAnsi="仿宋" w:eastAsia="仿宋" w:cs="仿宋"/>
                <w:color w:val="auto"/>
                <w:kern w:val="0"/>
                <w:sz w:val="24"/>
              </w:rPr>
            </w:pPr>
            <w:r>
              <w:rPr>
                <w:rFonts w:hint="eastAsia" w:ascii="仿宋" w:hAnsi="仿宋" w:eastAsia="仿宋" w:cs="仿宋"/>
                <w:color w:val="auto"/>
                <w:kern w:val="0"/>
                <w:sz w:val="24"/>
              </w:rPr>
              <w:t>单位：万</w:t>
            </w:r>
            <w:r>
              <w:rPr>
                <w:rFonts w:ascii="Times New Roman" w:hAnsi="Times New Roman" w:eastAsia="仿宋" w:cs="仿宋_GB2312"/>
                <w:color w:val="auto"/>
                <w:kern w:val="0"/>
                <w:sz w:val="24"/>
              </w:rPr>
              <w:t>m</w:t>
            </w:r>
            <w:r>
              <w:rPr>
                <w:rFonts w:ascii="Times New Roman" w:hAnsi="Times New Roman" w:eastAsia="仿宋" w:cs="仿宋_GB2312"/>
                <w:color w:val="auto"/>
                <w:kern w:val="0"/>
                <w:sz w:val="24"/>
                <w:vertAlign w:val="superscript"/>
              </w:rPr>
              <w:t>3</w:t>
            </w:r>
          </w:p>
        </w:tc>
      </w:tr>
      <w:tr w14:paraId="6EE4770C">
        <w:tblPrEx>
          <w:tblCellMar>
            <w:top w:w="0" w:type="dxa"/>
            <w:left w:w="108" w:type="dxa"/>
            <w:bottom w:w="0" w:type="dxa"/>
            <w:right w:w="108" w:type="dxa"/>
          </w:tblCellMar>
        </w:tblPrEx>
        <w:trPr>
          <w:trHeight w:val="568" w:hRule="atLeast"/>
          <w:jc w:val="center"/>
        </w:trPr>
        <w:tc>
          <w:tcPr>
            <w:tcW w:w="1046" w:type="dxa"/>
            <w:vMerge w:val="restart"/>
            <w:tcBorders>
              <w:top w:val="single" w:color="auto" w:sz="12" w:space="0"/>
              <w:left w:val="nil"/>
              <w:bottom w:val="single" w:color="auto" w:sz="4" w:space="0"/>
              <w:right w:val="single" w:color="auto" w:sz="4" w:space="0"/>
            </w:tcBorders>
            <w:vAlign w:val="center"/>
          </w:tcPr>
          <w:p w14:paraId="1F658369">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w:t>
            </w:r>
          </w:p>
          <w:p w14:paraId="0ABF018B">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分区</w:t>
            </w:r>
          </w:p>
        </w:tc>
        <w:tc>
          <w:tcPr>
            <w:tcW w:w="3754" w:type="dxa"/>
            <w:gridSpan w:val="4"/>
            <w:tcBorders>
              <w:top w:val="single" w:color="auto" w:sz="12" w:space="0"/>
              <w:left w:val="single" w:color="auto" w:sz="4" w:space="0"/>
              <w:bottom w:val="single" w:color="auto" w:sz="4" w:space="0"/>
              <w:right w:val="single" w:color="auto" w:sz="4" w:space="0"/>
            </w:tcBorders>
            <w:vAlign w:val="center"/>
          </w:tcPr>
          <w:p w14:paraId="3909D56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供水量</w:t>
            </w:r>
          </w:p>
        </w:tc>
        <w:tc>
          <w:tcPr>
            <w:tcW w:w="8562" w:type="dxa"/>
            <w:gridSpan w:val="9"/>
            <w:tcBorders>
              <w:top w:val="single" w:color="auto" w:sz="12" w:space="0"/>
              <w:left w:val="single" w:color="auto" w:sz="4" w:space="0"/>
              <w:bottom w:val="single" w:color="auto" w:sz="4" w:space="0"/>
              <w:right w:val="nil"/>
            </w:tcBorders>
            <w:vAlign w:val="bottom"/>
          </w:tcPr>
          <w:p w14:paraId="3C194F5E">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用水量</w:t>
            </w:r>
          </w:p>
        </w:tc>
      </w:tr>
      <w:tr w14:paraId="6245C268">
        <w:tblPrEx>
          <w:tblCellMar>
            <w:top w:w="0" w:type="dxa"/>
            <w:left w:w="108" w:type="dxa"/>
            <w:bottom w:w="0" w:type="dxa"/>
            <w:right w:w="108" w:type="dxa"/>
          </w:tblCellMar>
        </w:tblPrEx>
        <w:trPr>
          <w:trHeight w:val="608" w:hRule="atLeast"/>
          <w:jc w:val="center"/>
        </w:trPr>
        <w:tc>
          <w:tcPr>
            <w:tcW w:w="1046" w:type="dxa"/>
            <w:vMerge w:val="continue"/>
            <w:tcBorders>
              <w:top w:val="single" w:color="auto" w:sz="4" w:space="0"/>
              <w:left w:val="nil"/>
              <w:bottom w:val="single" w:color="auto" w:sz="4" w:space="0"/>
              <w:right w:val="single" w:color="auto" w:sz="4" w:space="0"/>
            </w:tcBorders>
            <w:vAlign w:val="center"/>
          </w:tcPr>
          <w:p w14:paraId="3BEDB14E">
            <w:pPr>
              <w:widowControl/>
              <w:jc w:val="left"/>
              <w:rPr>
                <w:rFonts w:ascii="仿宋" w:hAnsi="仿宋" w:eastAsia="仿宋" w:cs="仿宋"/>
                <w:b/>
                <w:bCs/>
                <w:color w:val="auto"/>
                <w:kern w:val="0"/>
                <w:sz w:val="24"/>
              </w:rPr>
            </w:pPr>
          </w:p>
        </w:tc>
        <w:tc>
          <w:tcPr>
            <w:tcW w:w="1071" w:type="dxa"/>
            <w:vMerge w:val="restart"/>
            <w:tcBorders>
              <w:top w:val="single" w:color="auto" w:sz="4" w:space="0"/>
              <w:left w:val="single" w:color="auto" w:sz="4" w:space="0"/>
              <w:bottom w:val="single" w:color="auto" w:sz="4" w:space="0"/>
              <w:right w:val="single" w:color="auto" w:sz="4" w:space="0"/>
            </w:tcBorders>
            <w:vAlign w:val="center"/>
          </w:tcPr>
          <w:p w14:paraId="25122B5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地表水</w:t>
            </w:r>
          </w:p>
        </w:tc>
        <w:tc>
          <w:tcPr>
            <w:tcW w:w="998" w:type="dxa"/>
            <w:vMerge w:val="restart"/>
            <w:tcBorders>
              <w:top w:val="single" w:color="auto" w:sz="4" w:space="0"/>
              <w:left w:val="single" w:color="auto" w:sz="4" w:space="0"/>
              <w:bottom w:val="single" w:color="auto" w:sz="4" w:space="0"/>
              <w:right w:val="single" w:color="auto" w:sz="4" w:space="0"/>
            </w:tcBorders>
            <w:vAlign w:val="center"/>
          </w:tcPr>
          <w:p w14:paraId="3796B2E6">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 xml:space="preserve">地下水 </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14:paraId="15D3F137">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其它</w:t>
            </w:r>
          </w:p>
          <w:p w14:paraId="57CAC6E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水源</w:t>
            </w:r>
          </w:p>
        </w:tc>
        <w:tc>
          <w:tcPr>
            <w:tcW w:w="915" w:type="dxa"/>
            <w:vMerge w:val="restart"/>
            <w:tcBorders>
              <w:top w:val="single" w:color="auto" w:sz="4" w:space="0"/>
              <w:left w:val="single" w:color="auto" w:sz="4" w:space="0"/>
              <w:bottom w:val="single" w:color="auto" w:sz="4" w:space="0"/>
              <w:right w:val="single" w:color="auto" w:sz="4" w:space="0"/>
            </w:tcBorders>
            <w:vAlign w:val="center"/>
          </w:tcPr>
          <w:p w14:paraId="50A84734">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lang w:val="en-US" w:eastAsia="zh-CN"/>
              </w:rPr>
              <w:t>供</w:t>
            </w:r>
            <w:r>
              <w:rPr>
                <w:rFonts w:hint="eastAsia" w:ascii="仿宋" w:hAnsi="仿宋" w:eastAsia="仿宋" w:cs="仿宋"/>
                <w:b/>
                <w:bCs/>
                <w:color w:val="auto"/>
                <w:kern w:val="0"/>
                <w:sz w:val="24"/>
              </w:rPr>
              <w:t>水</w:t>
            </w:r>
          </w:p>
          <w:p w14:paraId="592B952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总量</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6C70B5E4">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w:t>
            </w:r>
          </w:p>
          <w:p w14:paraId="2265F37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14:paraId="531A4F1B">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w:t>
            </w:r>
          </w:p>
          <w:p w14:paraId="30426AD1">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2169" w:type="dxa"/>
            <w:gridSpan w:val="2"/>
            <w:tcBorders>
              <w:top w:val="single" w:color="auto" w:sz="4" w:space="0"/>
              <w:left w:val="single" w:color="auto" w:sz="4" w:space="0"/>
              <w:bottom w:val="single" w:color="auto" w:sz="4" w:space="0"/>
              <w:right w:val="single" w:color="auto" w:sz="4" w:space="0"/>
            </w:tcBorders>
            <w:vAlign w:val="center"/>
          </w:tcPr>
          <w:p w14:paraId="349AD2A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第一产业</w:t>
            </w:r>
          </w:p>
        </w:tc>
        <w:tc>
          <w:tcPr>
            <w:tcW w:w="1954" w:type="dxa"/>
            <w:gridSpan w:val="2"/>
            <w:tcBorders>
              <w:top w:val="single" w:color="auto" w:sz="4" w:space="0"/>
              <w:left w:val="single" w:color="auto" w:sz="4" w:space="0"/>
              <w:bottom w:val="single" w:color="auto" w:sz="4" w:space="0"/>
              <w:right w:val="single" w:color="auto" w:sz="4" w:space="0"/>
            </w:tcBorders>
            <w:vAlign w:val="center"/>
          </w:tcPr>
          <w:p w14:paraId="0EC5BACE">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第二产业</w:t>
            </w:r>
          </w:p>
        </w:tc>
        <w:tc>
          <w:tcPr>
            <w:tcW w:w="801" w:type="dxa"/>
            <w:vMerge w:val="restart"/>
            <w:tcBorders>
              <w:top w:val="single" w:color="auto" w:sz="4" w:space="0"/>
              <w:left w:val="single" w:color="auto" w:sz="4" w:space="0"/>
              <w:bottom w:val="single" w:color="auto" w:sz="4" w:space="0"/>
              <w:right w:val="single" w:color="auto" w:sz="4" w:space="0"/>
            </w:tcBorders>
            <w:vAlign w:val="center"/>
          </w:tcPr>
          <w:p w14:paraId="20857205">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第三产业</w:t>
            </w:r>
          </w:p>
        </w:tc>
        <w:tc>
          <w:tcPr>
            <w:tcW w:w="894" w:type="dxa"/>
            <w:vMerge w:val="restart"/>
            <w:tcBorders>
              <w:top w:val="single" w:color="auto" w:sz="4" w:space="0"/>
              <w:left w:val="single" w:color="auto" w:sz="4" w:space="0"/>
              <w:bottom w:val="single" w:color="auto" w:sz="4" w:space="0"/>
              <w:right w:val="single" w:color="auto" w:sz="4" w:space="0"/>
            </w:tcBorders>
            <w:vAlign w:val="center"/>
          </w:tcPr>
          <w:p w14:paraId="6AC29C27">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生态用水</w:t>
            </w:r>
          </w:p>
        </w:tc>
        <w:tc>
          <w:tcPr>
            <w:tcW w:w="1203" w:type="dxa"/>
            <w:vMerge w:val="restart"/>
            <w:tcBorders>
              <w:top w:val="single" w:color="auto" w:sz="4" w:space="0"/>
              <w:left w:val="single" w:color="auto" w:sz="4" w:space="0"/>
              <w:bottom w:val="single" w:color="auto" w:sz="4" w:space="0"/>
              <w:right w:val="nil"/>
            </w:tcBorders>
            <w:vAlign w:val="center"/>
          </w:tcPr>
          <w:p w14:paraId="4C6152E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用水总量</w:t>
            </w:r>
          </w:p>
        </w:tc>
      </w:tr>
      <w:tr w14:paraId="31EC2BEC">
        <w:tblPrEx>
          <w:tblCellMar>
            <w:top w:w="0" w:type="dxa"/>
            <w:left w:w="108" w:type="dxa"/>
            <w:bottom w:w="0" w:type="dxa"/>
            <w:right w:w="108" w:type="dxa"/>
          </w:tblCellMar>
        </w:tblPrEx>
        <w:trPr>
          <w:trHeight w:val="303" w:hRule="atLeast"/>
          <w:jc w:val="center"/>
        </w:trPr>
        <w:tc>
          <w:tcPr>
            <w:tcW w:w="1046" w:type="dxa"/>
            <w:vMerge w:val="continue"/>
            <w:tcBorders>
              <w:top w:val="single" w:color="auto" w:sz="4" w:space="0"/>
              <w:left w:val="nil"/>
              <w:bottom w:val="single" w:color="auto" w:sz="4" w:space="0"/>
              <w:right w:val="single" w:color="auto" w:sz="4" w:space="0"/>
            </w:tcBorders>
            <w:vAlign w:val="center"/>
          </w:tcPr>
          <w:p w14:paraId="320E1DCC">
            <w:pPr>
              <w:widowControl/>
              <w:jc w:val="left"/>
              <w:rPr>
                <w:color w:val="auto"/>
                <w:kern w:val="0"/>
                <w:sz w:val="20"/>
                <w:szCs w:val="20"/>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14:paraId="28A74A36">
            <w:pPr>
              <w:widowControl/>
              <w:jc w:val="left"/>
              <w:rPr>
                <w:color w:val="auto"/>
                <w:kern w:val="0"/>
                <w:sz w:val="20"/>
                <w:szCs w:val="20"/>
              </w:rPr>
            </w:pPr>
          </w:p>
        </w:tc>
        <w:tc>
          <w:tcPr>
            <w:tcW w:w="998" w:type="dxa"/>
            <w:vMerge w:val="continue"/>
            <w:tcBorders>
              <w:top w:val="single" w:color="auto" w:sz="4" w:space="0"/>
              <w:left w:val="single" w:color="auto" w:sz="4" w:space="0"/>
              <w:bottom w:val="single" w:color="auto" w:sz="4" w:space="0"/>
              <w:right w:val="single" w:color="auto" w:sz="4" w:space="0"/>
            </w:tcBorders>
            <w:vAlign w:val="center"/>
          </w:tcPr>
          <w:p w14:paraId="6FD8B564">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14:paraId="6EFC75D9">
            <w:pPr>
              <w:widowControl/>
              <w:jc w:val="left"/>
              <w:rPr>
                <w:color w:val="auto"/>
                <w:kern w:val="0"/>
                <w:sz w:val="2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14:paraId="374AE5B1">
            <w:pPr>
              <w:widowControl/>
              <w:jc w:val="left"/>
              <w:rPr>
                <w:color w:val="auto"/>
                <w:kern w:val="0"/>
                <w:sz w:val="20"/>
                <w:szCs w:val="20"/>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0A66E12B">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14:paraId="780A9225">
            <w:pPr>
              <w:widowControl/>
              <w:jc w:val="left"/>
              <w:rPr>
                <w:color w:val="auto"/>
                <w:kern w:val="0"/>
                <w:sz w:val="20"/>
                <w:szCs w:val="20"/>
              </w:rPr>
            </w:pPr>
          </w:p>
        </w:tc>
        <w:tc>
          <w:tcPr>
            <w:tcW w:w="1247" w:type="dxa"/>
            <w:tcBorders>
              <w:top w:val="single" w:color="auto" w:sz="4" w:space="0"/>
              <w:left w:val="single" w:color="auto" w:sz="4" w:space="0"/>
              <w:bottom w:val="single" w:color="auto" w:sz="4" w:space="0"/>
              <w:right w:val="single" w:color="auto" w:sz="4" w:space="0"/>
            </w:tcBorders>
            <w:vAlign w:val="center"/>
          </w:tcPr>
          <w:p w14:paraId="33DE500F">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w:t>
            </w:r>
          </w:p>
        </w:tc>
        <w:tc>
          <w:tcPr>
            <w:tcW w:w="922" w:type="dxa"/>
            <w:tcBorders>
              <w:top w:val="single" w:color="auto" w:sz="4" w:space="0"/>
              <w:left w:val="single" w:color="auto" w:sz="4" w:space="0"/>
              <w:bottom w:val="single" w:color="auto" w:sz="4" w:space="0"/>
              <w:right w:val="single" w:color="auto" w:sz="4" w:space="0"/>
            </w:tcBorders>
            <w:vAlign w:val="center"/>
          </w:tcPr>
          <w:p w14:paraId="56E09CB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林牧</w:t>
            </w:r>
          </w:p>
          <w:p w14:paraId="3F9A9DF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渔业</w:t>
            </w:r>
          </w:p>
        </w:tc>
        <w:tc>
          <w:tcPr>
            <w:tcW w:w="1111" w:type="dxa"/>
            <w:tcBorders>
              <w:top w:val="single" w:color="auto" w:sz="4" w:space="0"/>
              <w:left w:val="single" w:color="auto" w:sz="4" w:space="0"/>
              <w:bottom w:val="single" w:color="auto" w:sz="4" w:space="0"/>
              <w:right w:val="single" w:color="auto" w:sz="4" w:space="0"/>
            </w:tcBorders>
            <w:vAlign w:val="center"/>
          </w:tcPr>
          <w:p w14:paraId="62E2C61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工业</w:t>
            </w:r>
          </w:p>
        </w:tc>
        <w:tc>
          <w:tcPr>
            <w:tcW w:w="843" w:type="dxa"/>
            <w:tcBorders>
              <w:top w:val="single" w:color="auto" w:sz="4" w:space="0"/>
              <w:left w:val="single" w:color="auto" w:sz="4" w:space="0"/>
              <w:bottom w:val="single" w:color="auto" w:sz="4" w:space="0"/>
              <w:right w:val="single" w:color="auto" w:sz="4" w:space="0"/>
            </w:tcBorders>
            <w:vAlign w:val="center"/>
          </w:tcPr>
          <w:p w14:paraId="5DC752CA">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建筑业</w:t>
            </w:r>
          </w:p>
        </w:tc>
        <w:tc>
          <w:tcPr>
            <w:tcW w:w="801" w:type="dxa"/>
            <w:vMerge w:val="continue"/>
            <w:tcBorders>
              <w:top w:val="single" w:color="auto" w:sz="4" w:space="0"/>
              <w:left w:val="single" w:color="auto" w:sz="4" w:space="0"/>
              <w:bottom w:val="single" w:color="auto" w:sz="4" w:space="0"/>
              <w:right w:val="single" w:color="auto" w:sz="4" w:space="0"/>
            </w:tcBorders>
            <w:vAlign w:val="center"/>
          </w:tcPr>
          <w:p w14:paraId="6B0EEB7F">
            <w:pPr>
              <w:widowControl/>
              <w:jc w:val="left"/>
              <w:rPr>
                <w:color w:val="auto"/>
                <w:kern w:val="0"/>
                <w:sz w:val="20"/>
                <w:szCs w:val="20"/>
              </w:rPr>
            </w:pPr>
          </w:p>
        </w:tc>
        <w:tc>
          <w:tcPr>
            <w:tcW w:w="894" w:type="dxa"/>
            <w:vMerge w:val="continue"/>
            <w:tcBorders>
              <w:top w:val="single" w:color="auto" w:sz="4" w:space="0"/>
              <w:left w:val="single" w:color="auto" w:sz="4" w:space="0"/>
              <w:bottom w:val="single" w:color="auto" w:sz="4" w:space="0"/>
              <w:right w:val="single" w:color="auto" w:sz="4" w:space="0"/>
            </w:tcBorders>
            <w:vAlign w:val="center"/>
          </w:tcPr>
          <w:p w14:paraId="50343E06">
            <w:pPr>
              <w:widowControl/>
              <w:jc w:val="left"/>
              <w:rPr>
                <w:color w:val="auto"/>
                <w:kern w:val="0"/>
                <w:sz w:val="20"/>
                <w:szCs w:val="20"/>
              </w:rPr>
            </w:pPr>
          </w:p>
        </w:tc>
        <w:tc>
          <w:tcPr>
            <w:tcW w:w="1203" w:type="dxa"/>
            <w:vMerge w:val="continue"/>
            <w:tcBorders>
              <w:top w:val="single" w:color="auto" w:sz="4" w:space="0"/>
              <w:left w:val="single" w:color="auto" w:sz="4" w:space="0"/>
              <w:bottom w:val="single" w:color="auto" w:sz="4" w:space="0"/>
              <w:right w:val="nil"/>
            </w:tcBorders>
            <w:vAlign w:val="center"/>
          </w:tcPr>
          <w:p w14:paraId="2E7BA8D9">
            <w:pPr>
              <w:widowControl/>
              <w:jc w:val="left"/>
              <w:rPr>
                <w:color w:val="auto"/>
                <w:kern w:val="0"/>
                <w:sz w:val="20"/>
                <w:szCs w:val="20"/>
              </w:rPr>
            </w:pPr>
          </w:p>
        </w:tc>
      </w:tr>
      <w:tr w14:paraId="650762BD">
        <w:tblPrEx>
          <w:tblCellMar>
            <w:top w:w="0" w:type="dxa"/>
            <w:left w:w="108" w:type="dxa"/>
            <w:bottom w:w="0" w:type="dxa"/>
            <w:right w:w="108" w:type="dxa"/>
          </w:tblCellMar>
        </w:tblPrEx>
        <w:trPr>
          <w:trHeight w:val="546" w:hRule="exact"/>
          <w:jc w:val="center"/>
        </w:trPr>
        <w:tc>
          <w:tcPr>
            <w:tcW w:w="1046" w:type="dxa"/>
            <w:tcBorders>
              <w:top w:val="single" w:color="auto" w:sz="4" w:space="0"/>
              <w:left w:val="nil"/>
              <w:bottom w:val="single" w:color="auto" w:sz="12" w:space="0"/>
              <w:right w:val="single" w:color="auto" w:sz="4" w:space="0"/>
            </w:tcBorders>
            <w:vAlign w:val="center"/>
          </w:tcPr>
          <w:p w14:paraId="384A1FB6">
            <w:pPr>
              <w:widowControl/>
              <w:jc w:val="center"/>
              <w:rPr>
                <w:color w:val="auto"/>
                <w:kern w:val="0"/>
                <w:szCs w:val="21"/>
              </w:rPr>
            </w:pPr>
            <w:r>
              <w:rPr>
                <w:rFonts w:hint="eastAsia" w:ascii="仿宋" w:hAnsi="仿宋" w:eastAsia="仿宋" w:cs="仿宋"/>
                <w:color w:val="auto"/>
                <w:kern w:val="0"/>
                <w:sz w:val="24"/>
              </w:rPr>
              <w:t>沁水县</w:t>
            </w:r>
          </w:p>
        </w:tc>
        <w:tc>
          <w:tcPr>
            <w:tcW w:w="1071" w:type="dxa"/>
            <w:tcBorders>
              <w:top w:val="single" w:color="auto" w:sz="4" w:space="0"/>
              <w:left w:val="single" w:color="auto" w:sz="4" w:space="0"/>
              <w:bottom w:val="single" w:color="auto" w:sz="12" w:space="0"/>
              <w:right w:val="single" w:color="auto" w:sz="4" w:space="0"/>
            </w:tcBorders>
            <w:vAlign w:val="center"/>
          </w:tcPr>
          <w:p w14:paraId="405CB18A">
            <w:pPr>
              <w:jc w:val="center"/>
              <w:rPr>
                <w:rFonts w:ascii="Times New Roman" w:hAnsi="Times New Roman"/>
                <w:color w:val="auto"/>
                <w:sz w:val="24"/>
              </w:rPr>
            </w:pPr>
            <w:r>
              <w:rPr>
                <w:rFonts w:hint="eastAsia" w:ascii="Times New Roman" w:hAnsi="Times New Roman" w:cs="仿宋_GB2312"/>
                <w:color w:val="auto"/>
                <w:sz w:val="24"/>
              </w:rPr>
              <w:t>3320</w:t>
            </w:r>
            <w:r>
              <w:rPr>
                <w:rFonts w:hint="eastAsia" w:ascii="Times New Roman" w:hAnsi="Times New Roman"/>
                <w:color w:val="auto"/>
                <w:sz w:val="24"/>
              </w:rPr>
              <w:t>.</w:t>
            </w:r>
            <w:r>
              <w:rPr>
                <w:rFonts w:hint="eastAsia" w:ascii="Times New Roman" w:hAnsi="Times New Roman" w:cs="仿宋_GB2312"/>
                <w:color w:val="auto"/>
                <w:sz w:val="24"/>
              </w:rPr>
              <w:t>61</w:t>
            </w:r>
          </w:p>
        </w:tc>
        <w:tc>
          <w:tcPr>
            <w:tcW w:w="998" w:type="dxa"/>
            <w:tcBorders>
              <w:top w:val="single" w:color="auto" w:sz="4" w:space="0"/>
              <w:left w:val="single" w:color="auto" w:sz="4" w:space="0"/>
              <w:bottom w:val="single" w:color="auto" w:sz="12" w:space="0"/>
              <w:right w:val="single" w:color="auto" w:sz="4" w:space="0"/>
            </w:tcBorders>
            <w:vAlign w:val="center"/>
          </w:tcPr>
          <w:p w14:paraId="06BB727D">
            <w:pPr>
              <w:jc w:val="center"/>
              <w:rPr>
                <w:rFonts w:ascii="Times New Roman" w:hAnsi="Times New Roman"/>
                <w:color w:val="auto"/>
                <w:sz w:val="24"/>
              </w:rPr>
            </w:pPr>
            <w:r>
              <w:rPr>
                <w:rFonts w:hint="eastAsia" w:ascii="Times New Roman" w:hAnsi="Times New Roman" w:cs="仿宋_GB2312"/>
                <w:color w:val="auto"/>
                <w:sz w:val="24"/>
              </w:rPr>
              <w:t>2095</w:t>
            </w:r>
            <w:r>
              <w:rPr>
                <w:rFonts w:hint="eastAsia" w:ascii="Times New Roman" w:hAnsi="Times New Roman"/>
                <w:color w:val="auto"/>
                <w:sz w:val="24"/>
              </w:rPr>
              <w:t>.</w:t>
            </w:r>
            <w:r>
              <w:rPr>
                <w:rFonts w:hint="eastAsia" w:ascii="Times New Roman" w:hAnsi="Times New Roman" w:cs="仿宋_GB2312"/>
                <w:color w:val="auto"/>
                <w:sz w:val="24"/>
              </w:rPr>
              <w:t>39</w:t>
            </w:r>
          </w:p>
        </w:tc>
        <w:tc>
          <w:tcPr>
            <w:tcW w:w="770" w:type="dxa"/>
            <w:tcBorders>
              <w:top w:val="single" w:color="auto" w:sz="4" w:space="0"/>
              <w:left w:val="single" w:color="auto" w:sz="4" w:space="0"/>
              <w:bottom w:val="single" w:color="auto" w:sz="12" w:space="0"/>
              <w:right w:val="single" w:color="auto" w:sz="4" w:space="0"/>
            </w:tcBorders>
            <w:vAlign w:val="center"/>
          </w:tcPr>
          <w:p w14:paraId="5E9B0E8E">
            <w:pPr>
              <w:jc w:val="center"/>
              <w:rPr>
                <w:rFonts w:ascii="Times New Roman" w:hAnsi="Times New Roman"/>
                <w:color w:val="auto"/>
                <w:sz w:val="24"/>
              </w:rPr>
            </w:pPr>
            <w:r>
              <w:rPr>
                <w:rFonts w:hint="eastAsia" w:ascii="Times New Roman" w:hAnsi="Times New Roman" w:cs="仿宋_GB2312"/>
                <w:color w:val="auto"/>
                <w:sz w:val="24"/>
              </w:rPr>
              <w:t>289</w:t>
            </w:r>
          </w:p>
        </w:tc>
        <w:tc>
          <w:tcPr>
            <w:tcW w:w="915" w:type="dxa"/>
            <w:tcBorders>
              <w:top w:val="single" w:color="auto" w:sz="4" w:space="0"/>
              <w:left w:val="single" w:color="auto" w:sz="4" w:space="0"/>
              <w:bottom w:val="single" w:color="auto" w:sz="12" w:space="0"/>
              <w:right w:val="single" w:color="auto" w:sz="4" w:space="0"/>
            </w:tcBorders>
            <w:vAlign w:val="center"/>
          </w:tcPr>
          <w:p w14:paraId="4146EA04">
            <w:pPr>
              <w:jc w:val="center"/>
              <w:rPr>
                <w:rFonts w:ascii="Times New Roman" w:hAnsi="Times New Roman"/>
                <w:color w:val="auto"/>
                <w:sz w:val="24"/>
              </w:rPr>
            </w:pPr>
            <w:r>
              <w:rPr>
                <w:rFonts w:hint="eastAsia" w:ascii="Times New Roman" w:hAnsi="Times New Roman" w:cs="仿宋_GB2312"/>
                <w:color w:val="auto"/>
                <w:sz w:val="24"/>
              </w:rPr>
              <w:t>5705</w:t>
            </w:r>
          </w:p>
        </w:tc>
        <w:tc>
          <w:tcPr>
            <w:tcW w:w="771" w:type="dxa"/>
            <w:tcBorders>
              <w:top w:val="single" w:color="auto" w:sz="4" w:space="0"/>
              <w:left w:val="single" w:color="auto" w:sz="4" w:space="0"/>
              <w:bottom w:val="single" w:color="auto" w:sz="12" w:space="0"/>
              <w:right w:val="single" w:color="auto" w:sz="4" w:space="0"/>
            </w:tcBorders>
            <w:vAlign w:val="center"/>
          </w:tcPr>
          <w:p w14:paraId="435138B8">
            <w:pPr>
              <w:jc w:val="center"/>
              <w:rPr>
                <w:rFonts w:ascii="Times New Roman" w:hAnsi="Times New Roman"/>
                <w:color w:val="auto"/>
                <w:sz w:val="24"/>
              </w:rPr>
            </w:pPr>
            <w:r>
              <w:rPr>
                <w:rFonts w:hint="eastAsia" w:ascii="Times New Roman" w:hAnsi="Times New Roman" w:cs="仿宋_GB2312"/>
                <w:color w:val="auto"/>
                <w:sz w:val="24"/>
              </w:rPr>
              <w:t>409</w:t>
            </w:r>
          </w:p>
        </w:tc>
        <w:tc>
          <w:tcPr>
            <w:tcW w:w="770" w:type="dxa"/>
            <w:tcBorders>
              <w:top w:val="single" w:color="auto" w:sz="4" w:space="0"/>
              <w:left w:val="single" w:color="auto" w:sz="4" w:space="0"/>
              <w:bottom w:val="single" w:color="auto" w:sz="12" w:space="0"/>
              <w:right w:val="single" w:color="auto" w:sz="4" w:space="0"/>
            </w:tcBorders>
            <w:vAlign w:val="center"/>
          </w:tcPr>
          <w:p w14:paraId="21CDF655">
            <w:pPr>
              <w:jc w:val="center"/>
              <w:rPr>
                <w:rFonts w:ascii="Times New Roman" w:hAnsi="Times New Roman"/>
                <w:color w:val="auto"/>
                <w:sz w:val="24"/>
              </w:rPr>
            </w:pPr>
            <w:r>
              <w:rPr>
                <w:rFonts w:hint="eastAsia" w:ascii="Times New Roman" w:hAnsi="Times New Roman" w:cs="仿宋_GB2312"/>
                <w:color w:val="auto"/>
                <w:sz w:val="24"/>
              </w:rPr>
              <w:t>284</w:t>
            </w:r>
            <w:r>
              <w:rPr>
                <w:rFonts w:hint="eastAsia" w:ascii="Times New Roman" w:hAnsi="Times New Roman"/>
                <w:color w:val="auto"/>
                <w:sz w:val="24"/>
              </w:rPr>
              <w:t>.</w:t>
            </w:r>
            <w:r>
              <w:rPr>
                <w:rFonts w:hint="eastAsia" w:ascii="Times New Roman" w:hAnsi="Times New Roman" w:cs="仿宋_GB2312"/>
                <w:color w:val="auto"/>
                <w:sz w:val="24"/>
              </w:rPr>
              <w:t>5</w:t>
            </w:r>
          </w:p>
        </w:tc>
        <w:tc>
          <w:tcPr>
            <w:tcW w:w="1247" w:type="dxa"/>
            <w:tcBorders>
              <w:top w:val="single" w:color="auto" w:sz="4" w:space="0"/>
              <w:left w:val="single" w:color="auto" w:sz="4" w:space="0"/>
              <w:bottom w:val="single" w:color="auto" w:sz="12" w:space="0"/>
              <w:right w:val="single" w:color="auto" w:sz="4" w:space="0"/>
            </w:tcBorders>
            <w:vAlign w:val="center"/>
          </w:tcPr>
          <w:p w14:paraId="6B48E4F5">
            <w:pPr>
              <w:jc w:val="center"/>
              <w:rPr>
                <w:rFonts w:ascii="Times New Roman" w:hAnsi="Times New Roman"/>
                <w:color w:val="auto"/>
                <w:sz w:val="24"/>
              </w:rPr>
            </w:pPr>
            <w:r>
              <w:rPr>
                <w:rFonts w:hint="eastAsia" w:ascii="Times New Roman" w:hAnsi="Times New Roman" w:cs="仿宋_GB2312"/>
                <w:color w:val="auto"/>
                <w:sz w:val="24"/>
              </w:rPr>
              <w:t>2581</w:t>
            </w:r>
            <w:r>
              <w:rPr>
                <w:rFonts w:hint="eastAsia" w:ascii="Times New Roman" w:hAnsi="Times New Roman"/>
                <w:color w:val="auto"/>
                <w:sz w:val="24"/>
              </w:rPr>
              <w:t>.</w:t>
            </w:r>
            <w:r>
              <w:rPr>
                <w:rFonts w:hint="eastAsia" w:ascii="Times New Roman" w:hAnsi="Times New Roman" w:cs="仿宋_GB2312"/>
                <w:color w:val="auto"/>
                <w:sz w:val="24"/>
              </w:rPr>
              <w:t>44</w:t>
            </w:r>
          </w:p>
        </w:tc>
        <w:tc>
          <w:tcPr>
            <w:tcW w:w="922" w:type="dxa"/>
            <w:tcBorders>
              <w:top w:val="single" w:color="auto" w:sz="4" w:space="0"/>
              <w:left w:val="single" w:color="auto" w:sz="4" w:space="0"/>
              <w:bottom w:val="single" w:color="auto" w:sz="12" w:space="0"/>
              <w:right w:val="single" w:color="auto" w:sz="4" w:space="0"/>
            </w:tcBorders>
            <w:vAlign w:val="center"/>
          </w:tcPr>
          <w:p w14:paraId="1195BA4F">
            <w:pPr>
              <w:jc w:val="center"/>
              <w:rPr>
                <w:rFonts w:ascii="Times New Roman" w:hAnsi="Times New Roman"/>
                <w:color w:val="auto"/>
                <w:sz w:val="24"/>
              </w:rPr>
            </w:pPr>
            <w:r>
              <w:rPr>
                <w:rFonts w:hint="eastAsia" w:ascii="Times New Roman" w:hAnsi="Times New Roman" w:cs="仿宋_GB2312"/>
                <w:color w:val="auto"/>
                <w:sz w:val="24"/>
              </w:rPr>
              <w:t>393</w:t>
            </w:r>
            <w:r>
              <w:rPr>
                <w:rFonts w:hint="eastAsia" w:ascii="Times New Roman" w:hAnsi="Times New Roman"/>
                <w:color w:val="auto"/>
                <w:sz w:val="24"/>
              </w:rPr>
              <w:t>.</w:t>
            </w:r>
            <w:r>
              <w:rPr>
                <w:rFonts w:hint="eastAsia" w:ascii="Times New Roman" w:hAnsi="Times New Roman" w:cs="仿宋_GB2312"/>
                <w:color w:val="auto"/>
                <w:sz w:val="24"/>
              </w:rPr>
              <w:t>26</w:t>
            </w:r>
          </w:p>
        </w:tc>
        <w:tc>
          <w:tcPr>
            <w:tcW w:w="1111" w:type="dxa"/>
            <w:tcBorders>
              <w:top w:val="single" w:color="auto" w:sz="4" w:space="0"/>
              <w:left w:val="single" w:color="auto" w:sz="4" w:space="0"/>
              <w:bottom w:val="single" w:color="auto" w:sz="12" w:space="0"/>
              <w:right w:val="single" w:color="auto" w:sz="4" w:space="0"/>
            </w:tcBorders>
            <w:vAlign w:val="center"/>
          </w:tcPr>
          <w:p w14:paraId="377F5A70">
            <w:pPr>
              <w:jc w:val="center"/>
              <w:rPr>
                <w:rFonts w:ascii="Times New Roman" w:hAnsi="Times New Roman"/>
                <w:color w:val="auto"/>
                <w:sz w:val="24"/>
              </w:rPr>
            </w:pPr>
            <w:r>
              <w:rPr>
                <w:rFonts w:hint="eastAsia" w:ascii="Times New Roman" w:hAnsi="Times New Roman" w:cs="仿宋_GB2312"/>
                <w:color w:val="auto"/>
                <w:sz w:val="24"/>
              </w:rPr>
              <w:t>1660</w:t>
            </w:r>
            <w:r>
              <w:rPr>
                <w:rFonts w:hint="eastAsia" w:ascii="Times New Roman" w:hAnsi="Times New Roman"/>
                <w:color w:val="auto"/>
                <w:sz w:val="24"/>
              </w:rPr>
              <w:t>.</w:t>
            </w:r>
            <w:r>
              <w:rPr>
                <w:rFonts w:hint="eastAsia" w:ascii="Times New Roman" w:hAnsi="Times New Roman" w:cs="仿宋_GB2312"/>
                <w:color w:val="auto"/>
                <w:sz w:val="24"/>
              </w:rPr>
              <w:t>47</w:t>
            </w:r>
          </w:p>
        </w:tc>
        <w:tc>
          <w:tcPr>
            <w:tcW w:w="843" w:type="dxa"/>
            <w:tcBorders>
              <w:top w:val="single" w:color="auto" w:sz="4" w:space="0"/>
              <w:left w:val="single" w:color="auto" w:sz="4" w:space="0"/>
              <w:bottom w:val="single" w:color="auto" w:sz="12" w:space="0"/>
              <w:right w:val="single" w:color="auto" w:sz="4" w:space="0"/>
            </w:tcBorders>
            <w:vAlign w:val="center"/>
          </w:tcPr>
          <w:p w14:paraId="392ECAA7">
            <w:pPr>
              <w:jc w:val="center"/>
              <w:rPr>
                <w:rFonts w:ascii="Times New Roman" w:hAnsi="Times New Roman"/>
                <w:color w:val="auto"/>
                <w:sz w:val="24"/>
              </w:rPr>
            </w:pPr>
            <w:r>
              <w:rPr>
                <w:rFonts w:hint="eastAsia" w:ascii="Times New Roman" w:hAnsi="Times New Roman" w:cs="仿宋_GB2312"/>
                <w:color w:val="auto"/>
                <w:sz w:val="24"/>
              </w:rPr>
              <w:t>81</w:t>
            </w:r>
            <w:r>
              <w:rPr>
                <w:rFonts w:hint="eastAsia" w:ascii="Times New Roman" w:hAnsi="Times New Roman"/>
                <w:color w:val="auto"/>
                <w:sz w:val="24"/>
              </w:rPr>
              <w:t>.</w:t>
            </w:r>
            <w:r>
              <w:rPr>
                <w:rFonts w:hint="eastAsia" w:ascii="Times New Roman" w:hAnsi="Times New Roman" w:cs="仿宋_GB2312"/>
                <w:color w:val="auto"/>
                <w:sz w:val="24"/>
              </w:rPr>
              <w:t>3</w:t>
            </w:r>
          </w:p>
        </w:tc>
        <w:tc>
          <w:tcPr>
            <w:tcW w:w="801" w:type="dxa"/>
            <w:tcBorders>
              <w:top w:val="single" w:color="auto" w:sz="4" w:space="0"/>
              <w:left w:val="single" w:color="auto" w:sz="4" w:space="0"/>
              <w:bottom w:val="single" w:color="auto" w:sz="12" w:space="0"/>
              <w:right w:val="single" w:color="auto" w:sz="4" w:space="0"/>
            </w:tcBorders>
            <w:vAlign w:val="center"/>
          </w:tcPr>
          <w:p w14:paraId="4C85640E">
            <w:pPr>
              <w:jc w:val="center"/>
              <w:rPr>
                <w:rFonts w:ascii="Times New Roman" w:hAnsi="Times New Roman"/>
                <w:color w:val="auto"/>
                <w:sz w:val="24"/>
              </w:rPr>
            </w:pPr>
            <w:r>
              <w:rPr>
                <w:rFonts w:hint="eastAsia" w:ascii="Times New Roman" w:hAnsi="Times New Roman" w:cs="仿宋_GB2312"/>
                <w:color w:val="auto"/>
                <w:sz w:val="24"/>
              </w:rPr>
              <w:t>68</w:t>
            </w:r>
          </w:p>
        </w:tc>
        <w:tc>
          <w:tcPr>
            <w:tcW w:w="894" w:type="dxa"/>
            <w:tcBorders>
              <w:top w:val="single" w:color="auto" w:sz="4" w:space="0"/>
              <w:left w:val="single" w:color="auto" w:sz="4" w:space="0"/>
              <w:bottom w:val="single" w:color="auto" w:sz="12" w:space="0"/>
              <w:right w:val="single" w:color="auto" w:sz="4" w:space="0"/>
            </w:tcBorders>
            <w:vAlign w:val="center"/>
          </w:tcPr>
          <w:p w14:paraId="6764BE44">
            <w:pPr>
              <w:jc w:val="center"/>
              <w:rPr>
                <w:rFonts w:ascii="Times New Roman" w:hAnsi="Times New Roman"/>
                <w:color w:val="auto"/>
                <w:sz w:val="24"/>
              </w:rPr>
            </w:pPr>
            <w:r>
              <w:rPr>
                <w:rFonts w:hint="eastAsia" w:ascii="Times New Roman" w:hAnsi="Times New Roman" w:cs="仿宋_GB2312"/>
                <w:color w:val="auto"/>
                <w:sz w:val="24"/>
              </w:rPr>
              <w:t>226</w:t>
            </w:r>
            <w:r>
              <w:rPr>
                <w:rFonts w:hint="eastAsia" w:ascii="Times New Roman" w:hAnsi="Times New Roman"/>
                <w:color w:val="auto"/>
                <w:sz w:val="24"/>
              </w:rPr>
              <w:t>.</w:t>
            </w:r>
            <w:r>
              <w:rPr>
                <w:rFonts w:hint="eastAsia" w:ascii="Times New Roman" w:hAnsi="Times New Roman" w:cs="仿宋_GB2312"/>
                <w:color w:val="auto"/>
                <w:sz w:val="24"/>
              </w:rPr>
              <w:t>73</w:t>
            </w:r>
          </w:p>
        </w:tc>
        <w:tc>
          <w:tcPr>
            <w:tcW w:w="1203" w:type="dxa"/>
            <w:tcBorders>
              <w:top w:val="single" w:color="auto" w:sz="4" w:space="0"/>
              <w:left w:val="single" w:color="auto" w:sz="4" w:space="0"/>
              <w:bottom w:val="single" w:color="auto" w:sz="12" w:space="0"/>
              <w:right w:val="nil"/>
            </w:tcBorders>
            <w:vAlign w:val="center"/>
          </w:tcPr>
          <w:p w14:paraId="29A44754">
            <w:pPr>
              <w:jc w:val="center"/>
              <w:rPr>
                <w:rFonts w:ascii="Times New Roman" w:hAnsi="Times New Roman"/>
                <w:color w:val="auto"/>
                <w:sz w:val="24"/>
              </w:rPr>
            </w:pPr>
            <w:r>
              <w:rPr>
                <w:rFonts w:hint="eastAsia" w:ascii="Times New Roman" w:hAnsi="Times New Roman" w:cs="仿宋_GB2312"/>
                <w:color w:val="auto"/>
                <w:sz w:val="24"/>
              </w:rPr>
              <w:t>5705</w:t>
            </w:r>
          </w:p>
        </w:tc>
      </w:tr>
    </w:tbl>
    <w:p w14:paraId="6D7C578F">
      <w:pP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p w14:paraId="4944219D">
      <w:pPr>
        <w:snapToGrid w:val="0"/>
        <w:spacing w:line="360" w:lineRule="auto"/>
        <w:jc w:val="center"/>
        <w:rPr>
          <w:rFonts w:ascii="Times New Roman" w:hAnsi="Times New Roman" w:eastAsia="仿宋"/>
          <w:color w:val="auto"/>
          <w:kern w:val="0"/>
          <w:sz w:val="28"/>
          <w:szCs w:val="28"/>
        </w:rPr>
      </w:pPr>
    </w:p>
    <w:p w14:paraId="7ACA1B88">
      <w:pPr>
        <w:pStyle w:val="2"/>
        <w:ind w:firstLine="480"/>
        <w:rPr>
          <w:color w:val="auto"/>
        </w:rPr>
      </w:pPr>
    </w:p>
    <w:p w14:paraId="409F3CBF">
      <w:pPr>
        <w:snapToGrid w:val="0"/>
        <w:spacing w:line="360" w:lineRule="auto"/>
        <w:jc w:val="center"/>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Times New Roman" w:hAnsi="Times New Roman" w:eastAsia="仿宋"/>
          <w:color w:val="auto"/>
          <w:kern w:val="0"/>
          <w:sz w:val="28"/>
          <w:szCs w:val="28"/>
        </w:rPr>
        <w:t xml:space="preserve">     </w:t>
      </w:r>
      <w:r>
        <w:rPr>
          <w:rFonts w:ascii="Times New Roman" w:hAnsi="Times New Roman" w:eastAsia="仿宋" w:cs="仿宋_GB2312"/>
          <w:color w:val="auto"/>
          <w:kern w:val="0"/>
          <w:sz w:val="28"/>
          <w:szCs w:val="28"/>
        </w:rPr>
        <w:t>20</w:t>
      </w:r>
      <w:r>
        <w:rPr>
          <w:rFonts w:hint="eastAsia" w:ascii="Times New Roman" w:hAnsi="Times New Roman" w:eastAsia="仿宋" w:cs="仿宋_GB2312"/>
          <w:color w:val="auto"/>
          <w:kern w:val="0"/>
          <w:sz w:val="28"/>
          <w:szCs w:val="28"/>
        </w:rPr>
        <w:t>25</w:t>
      </w:r>
      <w:r>
        <w:rPr>
          <w:rFonts w:hint="eastAsia" w:ascii="Times New Roman" w:hAnsi="Times New Roman" w:eastAsia="仿宋"/>
          <w:snapToGrid w:val="0"/>
          <w:color w:val="auto"/>
          <w:kern w:val="0"/>
          <w:sz w:val="28"/>
          <w:szCs w:val="28"/>
        </w:rPr>
        <w:t>年需水量预测汇总表</w:t>
      </w:r>
    </w:p>
    <w:p w14:paraId="4B13CA08">
      <w:pPr>
        <w:pStyle w:val="2"/>
        <w:ind w:firstLine="480"/>
        <w:jc w:val="center"/>
        <w:rPr>
          <w:rFonts w:eastAsia="仿宋"/>
          <w:color w:val="auto"/>
          <w:sz w:val="28"/>
          <w:szCs w:val="28"/>
        </w:rPr>
      </w:pPr>
      <w:r>
        <w:rPr>
          <w:rFonts w:hint="eastAsia" w:eastAsia="仿宋"/>
          <w:color w:val="auto"/>
          <w:kern w:val="0"/>
        </w:rPr>
        <w:t xml:space="preserve">                                                                                            单位：万</w:t>
      </w:r>
      <w:r>
        <w:rPr>
          <w:rFonts w:ascii="Times New Roman" w:hAnsi="Times New Roman" w:eastAsia="仿宋" w:cs="仿宋_GB2312"/>
          <w:color w:val="auto"/>
          <w:kern w:val="0"/>
        </w:rPr>
        <w:t>m</w:t>
      </w:r>
      <w:r>
        <w:rPr>
          <w:rFonts w:ascii="Times New Roman" w:hAnsi="Times New Roman" w:eastAsia="仿宋" w:cs="仿宋_GB2312"/>
          <w:color w:val="auto"/>
          <w:kern w:val="0"/>
          <w:vertAlign w:val="superscript"/>
        </w:rPr>
        <w:t>3</w:t>
      </w:r>
    </w:p>
    <w:tbl>
      <w:tblPr>
        <w:tblStyle w:val="22"/>
        <w:tblW w:w="134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855"/>
        <w:gridCol w:w="1022"/>
        <w:gridCol w:w="1022"/>
        <w:gridCol w:w="1072"/>
        <w:gridCol w:w="808"/>
        <w:gridCol w:w="923"/>
        <w:gridCol w:w="807"/>
        <w:gridCol w:w="1168"/>
        <w:gridCol w:w="1271"/>
        <w:gridCol w:w="1324"/>
        <w:gridCol w:w="1054"/>
        <w:gridCol w:w="1109"/>
      </w:tblGrid>
      <w:tr w14:paraId="11614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14:paraId="54564859">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行政分区</w:t>
            </w:r>
          </w:p>
        </w:tc>
        <w:tc>
          <w:tcPr>
            <w:tcW w:w="855" w:type="dxa"/>
            <w:vMerge w:val="restart"/>
            <w:tcBorders>
              <w:tl2br w:val="nil"/>
              <w:tr2bl w:val="nil"/>
            </w:tcBorders>
            <w:shd w:val="clear" w:color="auto" w:fill="auto"/>
            <w:noWrap/>
            <w:tcMar>
              <w:top w:w="15" w:type="dxa"/>
              <w:left w:w="15" w:type="dxa"/>
              <w:right w:w="15" w:type="dxa"/>
            </w:tcMar>
            <w:vAlign w:val="center"/>
          </w:tcPr>
          <w:p w14:paraId="0DD4ADC2">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规划年</w:t>
            </w:r>
          </w:p>
        </w:tc>
        <w:tc>
          <w:tcPr>
            <w:tcW w:w="2044" w:type="dxa"/>
            <w:gridSpan w:val="2"/>
            <w:tcBorders>
              <w:tl2br w:val="nil"/>
              <w:tr2bl w:val="nil"/>
            </w:tcBorders>
            <w:shd w:val="clear" w:color="auto" w:fill="auto"/>
            <w:noWrap/>
            <w:tcMar>
              <w:top w:w="15" w:type="dxa"/>
              <w:left w:w="15" w:type="dxa"/>
              <w:right w:w="15" w:type="dxa"/>
            </w:tcMar>
            <w:vAlign w:val="center"/>
          </w:tcPr>
          <w:p w14:paraId="72C04E66">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生活需水</w:t>
            </w:r>
          </w:p>
        </w:tc>
        <w:tc>
          <w:tcPr>
            <w:tcW w:w="7373" w:type="dxa"/>
            <w:gridSpan w:val="7"/>
            <w:tcBorders>
              <w:tl2br w:val="nil"/>
              <w:tr2bl w:val="nil"/>
            </w:tcBorders>
            <w:shd w:val="clear" w:color="auto" w:fill="auto"/>
            <w:noWrap/>
            <w:tcMar>
              <w:top w:w="15" w:type="dxa"/>
              <w:left w:w="15" w:type="dxa"/>
              <w:right w:w="15" w:type="dxa"/>
            </w:tcMar>
            <w:vAlign w:val="center"/>
          </w:tcPr>
          <w:p w14:paraId="3097DFCB">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生产需水</w:t>
            </w:r>
          </w:p>
        </w:tc>
        <w:tc>
          <w:tcPr>
            <w:tcW w:w="2163" w:type="dxa"/>
            <w:gridSpan w:val="2"/>
            <w:tcBorders>
              <w:tl2br w:val="nil"/>
              <w:tr2bl w:val="nil"/>
            </w:tcBorders>
            <w:shd w:val="clear" w:color="auto" w:fill="auto"/>
            <w:noWrap/>
            <w:tcMar>
              <w:top w:w="15" w:type="dxa"/>
              <w:left w:w="15" w:type="dxa"/>
              <w:right w:w="15" w:type="dxa"/>
            </w:tcMar>
            <w:vAlign w:val="center"/>
          </w:tcPr>
          <w:p w14:paraId="2E0D4A31">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生态需水</w:t>
            </w:r>
          </w:p>
        </w:tc>
      </w:tr>
      <w:tr w14:paraId="0F38F5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76A6D8D3">
            <w:pPr>
              <w:snapToGrid w:val="0"/>
              <w:jc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14:paraId="23DE12D6">
            <w:pPr>
              <w:snapToGrid w:val="0"/>
              <w:jc w:val="center"/>
              <w:rPr>
                <w:rFonts w:ascii="Times New Roman" w:hAnsi="Times New Roman" w:eastAsia="仿宋"/>
                <w:color w:val="auto"/>
                <w:sz w:val="24"/>
              </w:rPr>
            </w:pPr>
          </w:p>
        </w:tc>
        <w:tc>
          <w:tcPr>
            <w:tcW w:w="2044" w:type="dxa"/>
            <w:gridSpan w:val="2"/>
            <w:tcBorders>
              <w:tl2br w:val="nil"/>
              <w:tr2bl w:val="nil"/>
            </w:tcBorders>
            <w:shd w:val="clear" w:color="auto" w:fill="auto"/>
            <w:noWrap/>
            <w:tcMar>
              <w:top w:w="15" w:type="dxa"/>
              <w:left w:w="15" w:type="dxa"/>
              <w:right w:w="15" w:type="dxa"/>
            </w:tcMar>
            <w:vAlign w:val="center"/>
          </w:tcPr>
          <w:p w14:paraId="0E1FBFA0">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居民生活</w:t>
            </w:r>
          </w:p>
        </w:tc>
        <w:tc>
          <w:tcPr>
            <w:tcW w:w="3610" w:type="dxa"/>
            <w:gridSpan w:val="4"/>
            <w:tcBorders>
              <w:tl2br w:val="nil"/>
              <w:tr2bl w:val="nil"/>
            </w:tcBorders>
            <w:shd w:val="clear" w:color="auto" w:fill="auto"/>
            <w:noWrap/>
            <w:tcMar>
              <w:top w:w="15" w:type="dxa"/>
              <w:left w:w="15" w:type="dxa"/>
              <w:right w:w="15" w:type="dxa"/>
            </w:tcMar>
            <w:vAlign w:val="center"/>
          </w:tcPr>
          <w:p w14:paraId="56E12D37">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第一产业</w:t>
            </w:r>
          </w:p>
        </w:tc>
        <w:tc>
          <w:tcPr>
            <w:tcW w:w="2439" w:type="dxa"/>
            <w:gridSpan w:val="2"/>
            <w:tcBorders>
              <w:tl2br w:val="nil"/>
              <w:tr2bl w:val="nil"/>
            </w:tcBorders>
            <w:shd w:val="clear" w:color="auto" w:fill="auto"/>
            <w:noWrap/>
            <w:tcMar>
              <w:top w:w="15" w:type="dxa"/>
              <w:left w:w="15" w:type="dxa"/>
              <w:right w:w="15" w:type="dxa"/>
            </w:tcMar>
            <w:vAlign w:val="center"/>
          </w:tcPr>
          <w:p w14:paraId="5A77B16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第二产业</w:t>
            </w:r>
          </w:p>
        </w:tc>
        <w:tc>
          <w:tcPr>
            <w:tcW w:w="1324" w:type="dxa"/>
            <w:vMerge w:val="restart"/>
            <w:tcBorders>
              <w:tl2br w:val="nil"/>
              <w:tr2bl w:val="nil"/>
            </w:tcBorders>
            <w:shd w:val="clear" w:color="auto" w:fill="auto"/>
            <w:noWrap/>
            <w:tcMar>
              <w:top w:w="15" w:type="dxa"/>
              <w:left w:w="15" w:type="dxa"/>
              <w:right w:w="15" w:type="dxa"/>
            </w:tcMar>
            <w:vAlign w:val="center"/>
          </w:tcPr>
          <w:p w14:paraId="3518F55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第三产业</w:t>
            </w:r>
          </w:p>
        </w:tc>
        <w:tc>
          <w:tcPr>
            <w:tcW w:w="1054" w:type="dxa"/>
            <w:vMerge w:val="restart"/>
            <w:tcBorders>
              <w:right w:val="single" w:color="auto" w:sz="4" w:space="0"/>
              <w:tl2br w:val="nil"/>
              <w:tr2bl w:val="nil"/>
            </w:tcBorders>
            <w:shd w:val="clear" w:color="auto" w:fill="auto"/>
            <w:noWrap/>
            <w:tcMar>
              <w:top w:w="15" w:type="dxa"/>
              <w:left w:w="15" w:type="dxa"/>
              <w:right w:w="15" w:type="dxa"/>
            </w:tcMar>
            <w:vAlign w:val="center"/>
          </w:tcPr>
          <w:p w14:paraId="0CE17D4E">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绿化</w:t>
            </w:r>
          </w:p>
        </w:tc>
        <w:tc>
          <w:tcPr>
            <w:tcW w:w="1109" w:type="dxa"/>
            <w:vMerge w:val="restart"/>
            <w:tcBorders>
              <w:left w:val="single" w:color="auto" w:sz="4" w:space="0"/>
              <w:tl2br w:val="nil"/>
              <w:tr2bl w:val="nil"/>
            </w:tcBorders>
            <w:shd w:val="clear" w:color="auto" w:fill="auto"/>
            <w:noWrap/>
            <w:tcMar>
              <w:top w:w="15" w:type="dxa"/>
              <w:left w:w="15" w:type="dxa"/>
              <w:right w:w="15" w:type="dxa"/>
            </w:tcMar>
            <w:vAlign w:val="center"/>
          </w:tcPr>
          <w:p w14:paraId="576C1DCE">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浇洒</w:t>
            </w:r>
          </w:p>
        </w:tc>
      </w:tr>
      <w:tr w14:paraId="3A8A1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14:paraId="11C3E74D">
            <w:pPr>
              <w:snapToGrid w:val="0"/>
              <w:jc w:val="center"/>
              <w:rPr>
                <w:rFonts w:ascii="Times New Roman" w:hAnsi="Times New Roman" w:eastAsia="仿宋"/>
                <w:color w:val="auto"/>
                <w:sz w:val="24"/>
              </w:rPr>
            </w:pPr>
            <w:r>
              <w:rPr>
                <w:rFonts w:hint="eastAsia" w:ascii="Times New Roman" w:hAnsi="Times New Roman" w:eastAsia="仿宋"/>
                <w:color w:val="auto"/>
                <w:kern w:val="0"/>
                <w:sz w:val="24"/>
              </w:rPr>
              <w:t>沁水县</w:t>
            </w:r>
          </w:p>
        </w:tc>
        <w:tc>
          <w:tcPr>
            <w:tcW w:w="855" w:type="dxa"/>
            <w:vMerge w:val="restart"/>
            <w:tcBorders>
              <w:tl2br w:val="nil"/>
              <w:tr2bl w:val="nil"/>
            </w:tcBorders>
            <w:shd w:val="clear" w:color="auto" w:fill="auto"/>
            <w:noWrap/>
            <w:tcMar>
              <w:top w:w="15" w:type="dxa"/>
              <w:left w:w="15" w:type="dxa"/>
              <w:right w:w="15" w:type="dxa"/>
            </w:tcMar>
            <w:vAlign w:val="center"/>
          </w:tcPr>
          <w:p w14:paraId="7CF9BC92">
            <w:pPr>
              <w:snapToGrid w:val="0"/>
              <w:jc w:val="center"/>
              <w:rPr>
                <w:rFonts w:ascii="Times New Roman" w:hAnsi="Times New Roman" w:eastAsia="仿宋"/>
                <w:color w:val="auto"/>
                <w:sz w:val="24"/>
              </w:rPr>
            </w:pPr>
            <w:r>
              <w:rPr>
                <w:rFonts w:hint="eastAsia" w:ascii="Times New Roman" w:hAnsi="Times New Roman" w:eastAsia="仿宋" w:cs="仿宋_GB2312"/>
                <w:color w:val="auto"/>
                <w:kern w:val="0"/>
                <w:sz w:val="24"/>
              </w:rPr>
              <w:t>2025</w:t>
            </w:r>
            <w:r>
              <w:rPr>
                <w:rFonts w:hint="eastAsia" w:ascii="Times New Roman" w:hAnsi="Times New Roman" w:eastAsia="仿宋"/>
                <w:color w:val="auto"/>
                <w:sz w:val="24"/>
              </w:rPr>
              <w:t>年</w:t>
            </w:r>
          </w:p>
        </w:tc>
        <w:tc>
          <w:tcPr>
            <w:tcW w:w="1022" w:type="dxa"/>
            <w:tcBorders>
              <w:tl2br w:val="nil"/>
              <w:tr2bl w:val="nil"/>
            </w:tcBorders>
            <w:shd w:val="clear" w:color="auto" w:fill="auto"/>
            <w:noWrap/>
            <w:tcMar>
              <w:top w:w="15" w:type="dxa"/>
              <w:left w:w="15" w:type="dxa"/>
              <w:right w:w="15" w:type="dxa"/>
            </w:tcMar>
            <w:vAlign w:val="center"/>
          </w:tcPr>
          <w:p w14:paraId="2A9E8324">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城镇生活</w:t>
            </w:r>
          </w:p>
        </w:tc>
        <w:tc>
          <w:tcPr>
            <w:tcW w:w="1022" w:type="dxa"/>
            <w:tcBorders>
              <w:tl2br w:val="nil"/>
              <w:tr2bl w:val="nil"/>
            </w:tcBorders>
            <w:shd w:val="clear" w:color="auto" w:fill="auto"/>
            <w:noWrap/>
            <w:tcMar>
              <w:top w:w="15" w:type="dxa"/>
              <w:left w:w="15" w:type="dxa"/>
              <w:right w:w="15" w:type="dxa"/>
            </w:tcMar>
            <w:vAlign w:val="center"/>
          </w:tcPr>
          <w:p w14:paraId="0353ED9B">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农村生活</w:t>
            </w:r>
          </w:p>
        </w:tc>
        <w:tc>
          <w:tcPr>
            <w:tcW w:w="1072" w:type="dxa"/>
            <w:tcBorders>
              <w:tl2br w:val="nil"/>
              <w:tr2bl w:val="nil"/>
            </w:tcBorders>
            <w:shd w:val="clear" w:color="auto" w:fill="auto"/>
            <w:noWrap/>
            <w:tcMar>
              <w:top w:w="15" w:type="dxa"/>
              <w:left w:w="15" w:type="dxa"/>
              <w:right w:w="15" w:type="dxa"/>
            </w:tcMar>
            <w:vAlign w:val="center"/>
          </w:tcPr>
          <w:p w14:paraId="66A46F38">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农业</w:t>
            </w:r>
          </w:p>
        </w:tc>
        <w:tc>
          <w:tcPr>
            <w:tcW w:w="808" w:type="dxa"/>
            <w:tcBorders>
              <w:tl2br w:val="nil"/>
              <w:tr2bl w:val="nil"/>
            </w:tcBorders>
            <w:shd w:val="clear" w:color="auto" w:fill="auto"/>
            <w:noWrap/>
            <w:tcMar>
              <w:top w:w="15" w:type="dxa"/>
              <w:left w:w="15" w:type="dxa"/>
              <w:right w:w="15" w:type="dxa"/>
            </w:tcMar>
            <w:vAlign w:val="center"/>
          </w:tcPr>
          <w:p w14:paraId="308797F4">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林业</w:t>
            </w:r>
          </w:p>
        </w:tc>
        <w:tc>
          <w:tcPr>
            <w:tcW w:w="923" w:type="dxa"/>
            <w:tcBorders>
              <w:tl2br w:val="nil"/>
              <w:tr2bl w:val="nil"/>
            </w:tcBorders>
            <w:shd w:val="clear" w:color="auto" w:fill="auto"/>
            <w:noWrap/>
            <w:tcMar>
              <w:top w:w="15" w:type="dxa"/>
              <w:left w:w="15" w:type="dxa"/>
              <w:right w:w="15" w:type="dxa"/>
            </w:tcMar>
            <w:vAlign w:val="center"/>
          </w:tcPr>
          <w:p w14:paraId="7842AD50">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牧业</w:t>
            </w:r>
          </w:p>
        </w:tc>
        <w:tc>
          <w:tcPr>
            <w:tcW w:w="807" w:type="dxa"/>
            <w:tcBorders>
              <w:tl2br w:val="nil"/>
              <w:tr2bl w:val="nil"/>
            </w:tcBorders>
            <w:shd w:val="clear" w:color="auto" w:fill="auto"/>
            <w:noWrap/>
            <w:tcMar>
              <w:top w:w="15" w:type="dxa"/>
              <w:left w:w="15" w:type="dxa"/>
              <w:right w:w="15" w:type="dxa"/>
            </w:tcMar>
            <w:vAlign w:val="center"/>
          </w:tcPr>
          <w:p w14:paraId="171DFE1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渔业</w:t>
            </w:r>
          </w:p>
        </w:tc>
        <w:tc>
          <w:tcPr>
            <w:tcW w:w="1168" w:type="dxa"/>
            <w:tcBorders>
              <w:tl2br w:val="nil"/>
              <w:tr2bl w:val="nil"/>
            </w:tcBorders>
            <w:shd w:val="clear" w:color="auto" w:fill="auto"/>
            <w:noWrap/>
            <w:tcMar>
              <w:top w:w="15" w:type="dxa"/>
              <w:left w:w="15" w:type="dxa"/>
              <w:right w:w="15" w:type="dxa"/>
            </w:tcMar>
            <w:vAlign w:val="center"/>
          </w:tcPr>
          <w:p w14:paraId="089D5E61">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工业</w:t>
            </w:r>
          </w:p>
        </w:tc>
        <w:tc>
          <w:tcPr>
            <w:tcW w:w="1271" w:type="dxa"/>
            <w:tcBorders>
              <w:tl2br w:val="nil"/>
              <w:tr2bl w:val="nil"/>
            </w:tcBorders>
            <w:shd w:val="clear" w:color="auto" w:fill="auto"/>
            <w:noWrap/>
            <w:tcMar>
              <w:top w:w="15" w:type="dxa"/>
              <w:left w:w="15" w:type="dxa"/>
              <w:right w:w="15" w:type="dxa"/>
            </w:tcMar>
            <w:vAlign w:val="center"/>
          </w:tcPr>
          <w:p w14:paraId="1FAF844F">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建筑业</w:t>
            </w:r>
          </w:p>
        </w:tc>
        <w:tc>
          <w:tcPr>
            <w:tcW w:w="1324" w:type="dxa"/>
            <w:vMerge w:val="continue"/>
            <w:tcBorders>
              <w:tl2br w:val="nil"/>
              <w:tr2bl w:val="nil"/>
            </w:tcBorders>
            <w:shd w:val="clear" w:color="auto" w:fill="auto"/>
            <w:noWrap/>
            <w:tcMar>
              <w:top w:w="15" w:type="dxa"/>
              <w:left w:w="15" w:type="dxa"/>
              <w:right w:w="15" w:type="dxa"/>
            </w:tcMar>
            <w:vAlign w:val="center"/>
          </w:tcPr>
          <w:p w14:paraId="6783F238">
            <w:pPr>
              <w:snapToGrid w:val="0"/>
              <w:jc w:val="center"/>
              <w:rPr>
                <w:rFonts w:ascii="Times New Roman" w:hAnsi="Times New Roman" w:eastAsia="仿宋"/>
                <w:color w:val="auto"/>
                <w:sz w:val="24"/>
              </w:rPr>
            </w:pPr>
          </w:p>
        </w:tc>
        <w:tc>
          <w:tcPr>
            <w:tcW w:w="1054" w:type="dxa"/>
            <w:vMerge w:val="continue"/>
            <w:tcBorders>
              <w:right w:val="single" w:color="auto" w:sz="4" w:space="0"/>
              <w:tl2br w:val="nil"/>
              <w:tr2bl w:val="nil"/>
            </w:tcBorders>
            <w:shd w:val="clear" w:color="auto" w:fill="auto"/>
            <w:noWrap/>
            <w:tcMar>
              <w:top w:w="15" w:type="dxa"/>
              <w:left w:w="15" w:type="dxa"/>
              <w:right w:w="15" w:type="dxa"/>
            </w:tcMar>
            <w:vAlign w:val="center"/>
          </w:tcPr>
          <w:p w14:paraId="240A189F">
            <w:pPr>
              <w:widowControl/>
              <w:snapToGrid w:val="0"/>
              <w:jc w:val="center"/>
              <w:textAlignment w:val="center"/>
              <w:rPr>
                <w:rFonts w:ascii="Times New Roman" w:hAnsi="Times New Roman" w:eastAsia="仿宋"/>
                <w:color w:val="auto"/>
                <w:sz w:val="24"/>
              </w:rPr>
            </w:pPr>
          </w:p>
        </w:tc>
        <w:tc>
          <w:tcPr>
            <w:tcW w:w="1109" w:type="dxa"/>
            <w:vMerge w:val="continue"/>
            <w:tcBorders>
              <w:left w:val="single" w:color="auto" w:sz="4" w:space="0"/>
              <w:tl2br w:val="nil"/>
              <w:tr2bl w:val="nil"/>
            </w:tcBorders>
            <w:shd w:val="clear" w:color="auto" w:fill="auto"/>
            <w:noWrap/>
            <w:tcMar>
              <w:top w:w="15" w:type="dxa"/>
              <w:left w:w="15" w:type="dxa"/>
              <w:right w:w="15" w:type="dxa"/>
            </w:tcMar>
            <w:vAlign w:val="center"/>
          </w:tcPr>
          <w:p w14:paraId="59947217">
            <w:pPr>
              <w:widowControl/>
              <w:snapToGrid w:val="0"/>
              <w:jc w:val="center"/>
              <w:textAlignment w:val="center"/>
              <w:rPr>
                <w:rFonts w:ascii="Times New Roman" w:hAnsi="Times New Roman" w:eastAsia="仿宋"/>
                <w:color w:val="auto"/>
                <w:sz w:val="24"/>
              </w:rPr>
            </w:pPr>
          </w:p>
        </w:tc>
      </w:tr>
      <w:tr w14:paraId="73814A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55279644">
            <w:pPr>
              <w:widowControl/>
              <w:snapToGrid w:val="0"/>
              <w:jc w:val="center"/>
              <w:textAlignment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14:paraId="4B20803F">
            <w:pPr>
              <w:widowControl/>
              <w:snapToGrid w:val="0"/>
              <w:jc w:val="center"/>
              <w:textAlignment w:val="center"/>
              <w:rPr>
                <w:rFonts w:ascii="Times New Roman" w:hAnsi="Times New Roman" w:eastAsia="仿宋"/>
                <w:color w:val="auto"/>
                <w:sz w:val="24"/>
              </w:rPr>
            </w:pPr>
          </w:p>
        </w:tc>
        <w:tc>
          <w:tcPr>
            <w:tcW w:w="1022" w:type="dxa"/>
            <w:tcBorders>
              <w:tl2br w:val="nil"/>
              <w:tr2bl w:val="nil"/>
            </w:tcBorders>
            <w:shd w:val="clear" w:color="auto" w:fill="auto"/>
            <w:noWrap/>
            <w:tcMar>
              <w:top w:w="15" w:type="dxa"/>
              <w:left w:w="15" w:type="dxa"/>
              <w:right w:w="15" w:type="dxa"/>
            </w:tcMar>
            <w:vAlign w:val="center"/>
          </w:tcPr>
          <w:p w14:paraId="78C1AB6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378.31 </w:t>
            </w:r>
          </w:p>
        </w:tc>
        <w:tc>
          <w:tcPr>
            <w:tcW w:w="1022" w:type="dxa"/>
            <w:tcBorders>
              <w:tl2br w:val="nil"/>
              <w:tr2bl w:val="nil"/>
            </w:tcBorders>
            <w:shd w:val="clear" w:color="auto" w:fill="auto"/>
            <w:noWrap/>
            <w:tcMar>
              <w:top w:w="15" w:type="dxa"/>
              <w:left w:w="15" w:type="dxa"/>
              <w:right w:w="15" w:type="dxa"/>
            </w:tcMar>
            <w:vAlign w:val="center"/>
          </w:tcPr>
          <w:p w14:paraId="723A9E0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290.49 </w:t>
            </w:r>
          </w:p>
        </w:tc>
        <w:tc>
          <w:tcPr>
            <w:tcW w:w="1072" w:type="dxa"/>
            <w:tcBorders>
              <w:tl2br w:val="nil"/>
              <w:tr2bl w:val="nil"/>
            </w:tcBorders>
            <w:shd w:val="clear" w:color="auto" w:fill="auto"/>
            <w:noWrap/>
            <w:tcMar>
              <w:top w:w="15" w:type="dxa"/>
              <w:left w:w="15" w:type="dxa"/>
              <w:right w:w="15" w:type="dxa"/>
            </w:tcMar>
            <w:vAlign w:val="center"/>
          </w:tcPr>
          <w:p w14:paraId="5C0C0EF7">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2505.68 </w:t>
            </w:r>
          </w:p>
        </w:tc>
        <w:tc>
          <w:tcPr>
            <w:tcW w:w="808" w:type="dxa"/>
            <w:tcBorders>
              <w:tl2br w:val="nil"/>
              <w:tr2bl w:val="nil"/>
            </w:tcBorders>
            <w:shd w:val="clear" w:color="auto" w:fill="auto"/>
            <w:noWrap/>
            <w:tcMar>
              <w:top w:w="15" w:type="dxa"/>
              <w:left w:w="15" w:type="dxa"/>
              <w:right w:w="15" w:type="dxa"/>
            </w:tcMar>
            <w:vAlign w:val="center"/>
          </w:tcPr>
          <w:p w14:paraId="55E7C0A0">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268.10 </w:t>
            </w:r>
          </w:p>
        </w:tc>
        <w:tc>
          <w:tcPr>
            <w:tcW w:w="923" w:type="dxa"/>
            <w:tcBorders>
              <w:tl2br w:val="nil"/>
              <w:tr2bl w:val="nil"/>
            </w:tcBorders>
            <w:shd w:val="clear" w:color="auto" w:fill="auto"/>
            <w:noWrap/>
            <w:tcMar>
              <w:top w:w="15" w:type="dxa"/>
              <w:left w:w="15" w:type="dxa"/>
              <w:right w:w="15" w:type="dxa"/>
            </w:tcMar>
            <w:vAlign w:val="center"/>
          </w:tcPr>
          <w:p w14:paraId="3FB8D3EB">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319.59 </w:t>
            </w:r>
          </w:p>
        </w:tc>
        <w:tc>
          <w:tcPr>
            <w:tcW w:w="807" w:type="dxa"/>
            <w:tcBorders>
              <w:tl2br w:val="nil"/>
              <w:tr2bl w:val="nil"/>
            </w:tcBorders>
            <w:shd w:val="clear" w:color="auto" w:fill="auto"/>
            <w:noWrap/>
            <w:tcMar>
              <w:top w:w="15" w:type="dxa"/>
              <w:left w:w="15" w:type="dxa"/>
              <w:right w:w="15" w:type="dxa"/>
            </w:tcMar>
            <w:vAlign w:val="center"/>
          </w:tcPr>
          <w:p w14:paraId="3E59FF6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118.53 </w:t>
            </w:r>
          </w:p>
        </w:tc>
        <w:tc>
          <w:tcPr>
            <w:tcW w:w="1168" w:type="dxa"/>
            <w:tcBorders>
              <w:tl2br w:val="nil"/>
              <w:tr2bl w:val="nil"/>
            </w:tcBorders>
            <w:shd w:val="clear" w:color="auto" w:fill="auto"/>
            <w:noWrap/>
            <w:tcMar>
              <w:top w:w="15" w:type="dxa"/>
              <w:left w:w="15" w:type="dxa"/>
              <w:right w:w="15" w:type="dxa"/>
            </w:tcMar>
            <w:vAlign w:val="center"/>
          </w:tcPr>
          <w:p w14:paraId="56A1081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1839.95 </w:t>
            </w:r>
          </w:p>
        </w:tc>
        <w:tc>
          <w:tcPr>
            <w:tcW w:w="1271" w:type="dxa"/>
            <w:tcBorders>
              <w:tl2br w:val="nil"/>
              <w:tr2bl w:val="nil"/>
            </w:tcBorders>
            <w:shd w:val="clear" w:color="auto" w:fill="auto"/>
            <w:noWrap/>
            <w:tcMar>
              <w:top w:w="15" w:type="dxa"/>
              <w:left w:w="15" w:type="dxa"/>
              <w:right w:w="15" w:type="dxa"/>
            </w:tcMar>
            <w:vAlign w:val="center"/>
          </w:tcPr>
          <w:p w14:paraId="159C7A66">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74.70 </w:t>
            </w:r>
          </w:p>
        </w:tc>
        <w:tc>
          <w:tcPr>
            <w:tcW w:w="1324" w:type="dxa"/>
            <w:tcBorders>
              <w:tl2br w:val="nil"/>
              <w:tr2bl w:val="nil"/>
            </w:tcBorders>
            <w:shd w:val="clear" w:color="auto" w:fill="auto"/>
            <w:noWrap/>
            <w:tcMar>
              <w:top w:w="15" w:type="dxa"/>
              <w:left w:w="15" w:type="dxa"/>
              <w:right w:w="15" w:type="dxa"/>
            </w:tcMar>
            <w:vAlign w:val="center"/>
          </w:tcPr>
          <w:p w14:paraId="2D4948B9">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1054" w:type="dxa"/>
            <w:tcBorders>
              <w:tl2br w:val="nil"/>
              <w:tr2bl w:val="nil"/>
            </w:tcBorders>
            <w:shd w:val="clear" w:color="auto" w:fill="auto"/>
            <w:noWrap/>
            <w:tcMar>
              <w:top w:w="15" w:type="dxa"/>
              <w:left w:w="15" w:type="dxa"/>
              <w:right w:w="15" w:type="dxa"/>
            </w:tcMar>
            <w:vAlign w:val="center"/>
          </w:tcPr>
          <w:p w14:paraId="3EFD8730">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94</w:t>
            </w:r>
            <w:r>
              <w:rPr>
                <w:rFonts w:hint="eastAsia" w:ascii="Times New Roman" w:hAnsi="Times New Roman" w:eastAsia="仿宋"/>
                <w:color w:val="auto"/>
                <w:kern w:val="0"/>
                <w:sz w:val="24"/>
              </w:rPr>
              <w:t xml:space="preserve"> </w:t>
            </w:r>
          </w:p>
        </w:tc>
        <w:tc>
          <w:tcPr>
            <w:tcW w:w="1109" w:type="dxa"/>
            <w:tcBorders>
              <w:tl2br w:val="nil"/>
              <w:tr2bl w:val="nil"/>
            </w:tcBorders>
            <w:shd w:val="clear" w:color="auto" w:fill="auto"/>
            <w:noWrap/>
            <w:tcMar>
              <w:top w:w="15" w:type="dxa"/>
              <w:left w:w="15" w:type="dxa"/>
              <w:right w:w="15" w:type="dxa"/>
            </w:tcMar>
            <w:vAlign w:val="center"/>
          </w:tcPr>
          <w:p w14:paraId="6750F9C1">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55</w:t>
            </w:r>
            <w:r>
              <w:rPr>
                <w:rFonts w:hint="eastAsia" w:ascii="Times New Roman" w:hAnsi="Times New Roman" w:eastAsia="仿宋"/>
                <w:color w:val="auto"/>
                <w:kern w:val="0"/>
                <w:sz w:val="24"/>
              </w:rPr>
              <w:t xml:space="preserve"> </w:t>
            </w:r>
          </w:p>
        </w:tc>
      </w:tr>
      <w:tr w14:paraId="1D8ED5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3A065669">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14:paraId="5023B0A0">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小计</w:t>
            </w:r>
          </w:p>
        </w:tc>
        <w:tc>
          <w:tcPr>
            <w:tcW w:w="2044" w:type="dxa"/>
            <w:gridSpan w:val="2"/>
            <w:tcBorders>
              <w:tl2br w:val="nil"/>
              <w:tr2bl w:val="nil"/>
            </w:tcBorders>
            <w:shd w:val="clear" w:color="auto" w:fill="auto"/>
            <w:noWrap/>
            <w:tcMar>
              <w:top w:w="15" w:type="dxa"/>
              <w:left w:w="15" w:type="dxa"/>
              <w:right w:w="15" w:type="dxa"/>
            </w:tcMar>
            <w:vAlign w:val="center"/>
          </w:tcPr>
          <w:p w14:paraId="4EB3BAA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668.80 </w:t>
            </w:r>
          </w:p>
        </w:tc>
        <w:tc>
          <w:tcPr>
            <w:tcW w:w="3610" w:type="dxa"/>
            <w:gridSpan w:val="4"/>
            <w:tcBorders>
              <w:tl2br w:val="nil"/>
              <w:tr2bl w:val="nil"/>
            </w:tcBorders>
            <w:shd w:val="clear" w:color="auto" w:fill="auto"/>
            <w:noWrap/>
            <w:tcMar>
              <w:top w:w="15" w:type="dxa"/>
              <w:left w:w="15" w:type="dxa"/>
              <w:right w:w="15" w:type="dxa"/>
            </w:tcMar>
            <w:vAlign w:val="center"/>
          </w:tcPr>
          <w:p w14:paraId="5F0ADA1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3211.90 </w:t>
            </w:r>
          </w:p>
        </w:tc>
        <w:tc>
          <w:tcPr>
            <w:tcW w:w="2439" w:type="dxa"/>
            <w:gridSpan w:val="2"/>
            <w:tcBorders>
              <w:tl2br w:val="nil"/>
              <w:tr2bl w:val="nil"/>
            </w:tcBorders>
            <w:shd w:val="clear" w:color="auto" w:fill="auto"/>
            <w:noWrap/>
            <w:tcMar>
              <w:top w:w="15" w:type="dxa"/>
              <w:left w:w="15" w:type="dxa"/>
              <w:right w:w="15" w:type="dxa"/>
            </w:tcMar>
            <w:vAlign w:val="center"/>
          </w:tcPr>
          <w:p w14:paraId="0F91A490">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1914.65 </w:t>
            </w:r>
          </w:p>
        </w:tc>
        <w:tc>
          <w:tcPr>
            <w:tcW w:w="1324" w:type="dxa"/>
            <w:tcBorders>
              <w:tl2br w:val="nil"/>
              <w:tr2bl w:val="nil"/>
            </w:tcBorders>
            <w:shd w:val="clear" w:color="auto" w:fill="auto"/>
            <w:noWrap/>
            <w:tcMar>
              <w:top w:w="15" w:type="dxa"/>
              <w:left w:w="15" w:type="dxa"/>
              <w:right w:w="15" w:type="dxa"/>
            </w:tcMar>
            <w:vAlign w:val="center"/>
          </w:tcPr>
          <w:p w14:paraId="3369588A">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2163" w:type="dxa"/>
            <w:gridSpan w:val="2"/>
            <w:tcBorders>
              <w:tl2br w:val="nil"/>
              <w:tr2bl w:val="nil"/>
            </w:tcBorders>
            <w:shd w:val="clear" w:color="auto" w:fill="auto"/>
            <w:noWrap/>
            <w:tcMar>
              <w:top w:w="15" w:type="dxa"/>
              <w:left w:w="15" w:type="dxa"/>
              <w:right w:w="15" w:type="dxa"/>
            </w:tcMar>
            <w:vAlign w:val="center"/>
          </w:tcPr>
          <w:p w14:paraId="6727A374">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83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49</w:t>
            </w:r>
            <w:r>
              <w:rPr>
                <w:rFonts w:hint="eastAsia" w:ascii="Times New Roman" w:hAnsi="Times New Roman" w:eastAsia="仿宋"/>
                <w:color w:val="auto"/>
                <w:kern w:val="0"/>
                <w:sz w:val="24"/>
              </w:rPr>
              <w:t xml:space="preserve"> </w:t>
            </w:r>
          </w:p>
        </w:tc>
      </w:tr>
      <w:tr w14:paraId="00119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4CC59D4A">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14:paraId="5416AB77">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合计</w:t>
            </w:r>
          </w:p>
        </w:tc>
        <w:tc>
          <w:tcPr>
            <w:tcW w:w="11580" w:type="dxa"/>
            <w:gridSpan w:val="11"/>
            <w:tcBorders>
              <w:tl2br w:val="nil"/>
              <w:tr2bl w:val="nil"/>
            </w:tcBorders>
            <w:shd w:val="clear" w:color="auto" w:fill="auto"/>
            <w:noWrap/>
            <w:tcMar>
              <w:top w:w="15" w:type="dxa"/>
              <w:left w:w="15" w:type="dxa"/>
              <w:right w:w="15" w:type="dxa"/>
            </w:tcMar>
            <w:vAlign w:val="center"/>
          </w:tcPr>
          <w:p w14:paraId="4DF45617">
            <w:pPr>
              <w:snapToGrid w:val="0"/>
              <w:jc w:val="center"/>
              <w:rPr>
                <w:rFonts w:hint="default" w:ascii="Times New Roman" w:hAnsi="Times New Roman" w:eastAsia="仿宋"/>
                <w:color w:val="auto"/>
                <w:kern w:val="0"/>
                <w:sz w:val="24"/>
                <w:lang w:val="en-US" w:eastAsia="zh-CN"/>
              </w:rPr>
            </w:pPr>
            <w:r>
              <w:rPr>
                <w:rFonts w:hint="eastAsia" w:ascii="Times New Roman" w:hAnsi="Times New Roman" w:eastAsia="仿宋" w:cs="仿宋_GB2312"/>
                <w:color w:val="auto"/>
                <w:kern w:val="0"/>
                <w:sz w:val="24"/>
              </w:rPr>
              <w:t>6</w:t>
            </w:r>
            <w:r>
              <w:rPr>
                <w:rFonts w:hint="eastAsia" w:ascii="Times New Roman" w:hAnsi="Times New Roman" w:eastAsia="仿宋" w:cs="仿宋_GB2312"/>
                <w:color w:val="auto"/>
                <w:kern w:val="0"/>
                <w:sz w:val="24"/>
                <w:lang w:val="en-US" w:eastAsia="zh-CN"/>
              </w:rPr>
              <w:t>148.34</w:t>
            </w:r>
          </w:p>
        </w:tc>
      </w:tr>
    </w:tbl>
    <w:p w14:paraId="3B6AECF4">
      <w:pPr>
        <w:pStyle w:val="2"/>
        <w:ind w:firstLine="480"/>
        <w:rPr>
          <w:rFonts w:eastAsia="仿宋"/>
          <w:color w:val="auto"/>
        </w:rPr>
      </w:pPr>
    </w:p>
    <w:p w14:paraId="0EB006F9">
      <w:pPr>
        <w:pStyle w:val="2"/>
        <w:ind w:firstLine="480"/>
        <w:jc w:val="center"/>
        <w:rPr>
          <w:color w:val="auto"/>
        </w:rPr>
      </w:pPr>
    </w:p>
    <w:p w14:paraId="523B212A">
      <w:pPr>
        <w:pStyle w:val="2"/>
        <w:ind w:firstLine="480"/>
        <w:jc w:val="cente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bookmarkEnd w:id="205"/>
    <w:bookmarkEnd w:id="206"/>
    <w:bookmarkEnd w:id="207"/>
    <w:bookmarkEnd w:id="208"/>
    <w:bookmarkEnd w:id="209"/>
    <w:bookmarkEnd w:id="210"/>
    <w:bookmarkEnd w:id="211"/>
    <w:p w14:paraId="76E16FF6">
      <w:pPr>
        <w:pStyle w:val="7"/>
        <w:rPr>
          <w:color w:val="auto"/>
        </w:rPr>
      </w:pPr>
      <w:bookmarkStart w:id="234" w:name="_Toc731"/>
      <w:bookmarkStart w:id="235" w:name="_Toc30444"/>
      <w:bookmarkStart w:id="236" w:name="_Toc1993"/>
      <w:bookmarkStart w:id="237" w:name="_Toc2856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 xml:space="preserve"> 管网工程建设</w:t>
      </w:r>
      <w:bookmarkEnd w:id="234"/>
      <w:bookmarkEnd w:id="235"/>
      <w:bookmarkEnd w:id="236"/>
      <w:bookmarkEnd w:id="237"/>
    </w:p>
    <w:p w14:paraId="05960C58">
      <w:pPr>
        <w:pStyle w:val="2"/>
        <w:ind w:firstLine="560"/>
        <w:rPr>
          <w:rFonts w:ascii="仿宋" w:hAnsi="仿宋" w:eastAsia="仿宋" w:cs="仿宋"/>
          <w:color w:val="auto"/>
          <w:sz w:val="28"/>
          <w:szCs w:val="28"/>
          <w:lang w:val="zh-CN"/>
        </w:rPr>
      </w:pPr>
      <w:r>
        <w:rPr>
          <w:rFonts w:hint="eastAsia" w:ascii="仿宋" w:hAnsi="仿宋" w:eastAsia="仿宋" w:cs="仿宋"/>
          <w:color w:val="auto"/>
          <w:sz w:val="28"/>
          <w:szCs w:val="28"/>
          <w:lang w:val="zh-CN"/>
        </w:rPr>
        <w:t>为克服煤矿采空区和天然气探采对水资源的影响，从过度依赖分散型小泉小水向集中供水迈进，</w:t>
      </w:r>
      <w:r>
        <w:rPr>
          <w:rFonts w:hint="eastAsia" w:ascii="仿宋" w:hAnsi="仿宋" w:eastAsia="仿宋" w:cs="仿宋"/>
          <w:color w:val="auto"/>
          <w:kern w:val="0"/>
          <w:sz w:val="28"/>
          <w:szCs w:val="28"/>
        </w:rPr>
        <w:t>“十四五”</w:t>
      </w:r>
      <w:r>
        <w:rPr>
          <w:rFonts w:hint="eastAsia" w:ascii="仿宋" w:hAnsi="仿宋" w:eastAsia="仿宋" w:cs="仿宋"/>
          <w:snapToGrid w:val="0"/>
          <w:color w:val="auto"/>
          <w:kern w:val="0"/>
          <w:sz w:val="28"/>
          <w:szCs w:val="28"/>
        </w:rPr>
        <w:t>时期，</w:t>
      </w:r>
      <w:r>
        <w:rPr>
          <w:rFonts w:hint="eastAsia" w:ascii="仿宋" w:hAnsi="仿宋" w:eastAsia="仿宋" w:cs="仿宋"/>
          <w:color w:val="auto"/>
          <w:sz w:val="28"/>
          <w:szCs w:val="28"/>
          <w:lang w:val="zh-CN"/>
        </w:rPr>
        <w:t>我县将继续在“十三五”县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网布局的基础上，完善县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工程。管网工程方面，西部依托涧河水源实施涧河供水工程覆盖中村镇、土沃南片区；依托张峰水源实施县城供水管网延伸工程覆盖龙港镇杏河片区、土沃乡北片区和张村乡；中部依托沁河水源和张峰一干取水口实施郑庄镇集中供水工程覆盖郑庄镇；东部依托固县河供水、云首水库、张峰总干东山取水口为水源实施东部三镇一区供水工程覆盖端氏镇、嘉峰镇、郑村镇和开发区。最终形成我县多源互补、稳定可靠、配置高效、覆盖全县的</w:t>
      </w:r>
      <w:r>
        <w:rPr>
          <w:rFonts w:hint="eastAsia" w:ascii="仿宋" w:hAnsi="仿宋" w:eastAsia="仿宋" w:cs="仿宋"/>
          <w:color w:val="auto"/>
          <w:sz w:val="28"/>
          <w:szCs w:val="28"/>
          <w:lang w:val="en-US" w:eastAsia="zh-CN"/>
        </w:rPr>
        <w:t>小</w:t>
      </w:r>
      <w:r>
        <w:rPr>
          <w:rFonts w:hint="eastAsia" w:ascii="仿宋" w:hAnsi="仿宋" w:eastAsia="仿宋" w:cs="仿宋"/>
          <w:color w:val="auto"/>
          <w:sz w:val="28"/>
          <w:szCs w:val="28"/>
          <w:lang w:val="zh-CN"/>
        </w:rPr>
        <w:t>水网。</w:t>
      </w:r>
    </w:p>
    <w:p w14:paraId="2BB0049F">
      <w:pPr>
        <w:pStyle w:val="8"/>
        <w:rPr>
          <w:color w:val="auto"/>
        </w:rPr>
      </w:pPr>
      <w:bookmarkStart w:id="238" w:name="_Toc172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 xml:space="preserve"> 管网工程</w:t>
      </w:r>
      <w:bookmarkEnd w:id="238"/>
    </w:p>
    <w:p w14:paraId="62F7C1B7">
      <w:pPr>
        <w:pStyle w:val="2"/>
        <w:ind w:firstLine="560"/>
        <w:rPr>
          <w:rFonts w:eastAsia="仿宋_GB2312"/>
          <w:bCs/>
          <w:color w:val="auto"/>
          <w:kern w:val="44"/>
          <w:sz w:val="28"/>
          <w:szCs w:val="36"/>
        </w:rPr>
      </w:pP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十四五</w:t>
      </w: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期间，我县拟建设</w:t>
      </w:r>
      <w:r>
        <w:rPr>
          <w:rFonts w:hint="eastAsia" w:ascii="Calibri" w:hAnsi="Calibri" w:eastAsia="仿宋_GB2312"/>
          <w:snapToGrid w:val="0"/>
          <w:color w:val="auto"/>
          <w:kern w:val="0"/>
          <w:sz w:val="28"/>
          <w:szCs w:val="28"/>
        </w:rPr>
        <w:t>县城供水管网延伸工程。</w:t>
      </w:r>
      <w:r>
        <w:rPr>
          <w:rFonts w:eastAsia="仿宋_GB2312"/>
          <w:color w:val="auto"/>
          <w:sz w:val="28"/>
        </w:rPr>
        <w:t>建设地点</w:t>
      </w:r>
      <w:r>
        <w:rPr>
          <w:rFonts w:hint="eastAsia" w:eastAsia="仿宋_GB2312"/>
          <w:color w:val="auto"/>
          <w:sz w:val="28"/>
        </w:rPr>
        <w:t>位于</w:t>
      </w:r>
      <w:r>
        <w:rPr>
          <w:rFonts w:hint="eastAsia" w:eastAsia="仿宋_GB2312"/>
          <w:bCs/>
          <w:color w:val="auto"/>
          <w:kern w:val="44"/>
          <w:sz w:val="28"/>
          <w:szCs w:val="28"/>
        </w:rPr>
        <w:t>龙港镇、土沃乡、张村乡。</w:t>
      </w:r>
      <w:r>
        <w:rPr>
          <w:rFonts w:eastAsia="仿宋_GB2312"/>
          <w:color w:val="auto"/>
          <w:sz w:val="28"/>
        </w:rPr>
        <w:t>建设内容</w:t>
      </w:r>
      <w:r>
        <w:rPr>
          <w:rFonts w:hint="eastAsia" w:eastAsia="仿宋_GB2312"/>
          <w:color w:val="auto"/>
          <w:sz w:val="28"/>
        </w:rPr>
        <w:t>包括新建输水管道</w:t>
      </w:r>
      <w:r>
        <w:rPr>
          <w:rFonts w:hint="eastAsia" w:ascii="Times New Roman" w:hAnsi="Times New Roman" w:eastAsia="仿宋_GB2312" w:cs="仿宋_GB2312"/>
          <w:bCs/>
          <w:color w:val="auto"/>
          <w:sz w:val="28"/>
          <w:szCs w:val="28"/>
        </w:rPr>
        <w:t>55km</w:t>
      </w:r>
      <w:r>
        <w:rPr>
          <w:rFonts w:hint="eastAsia" w:eastAsia="仿宋_GB2312"/>
          <w:color w:val="auto"/>
          <w:sz w:val="28"/>
        </w:rPr>
        <w:t>、泵站</w:t>
      </w:r>
      <w:r>
        <w:rPr>
          <w:rFonts w:hint="eastAsia" w:ascii="Times New Roman" w:hAnsi="Times New Roman" w:eastAsia="仿宋_GB2312" w:cs="仿宋_GB2312"/>
          <w:bCs/>
          <w:color w:val="auto"/>
          <w:sz w:val="28"/>
          <w:szCs w:val="28"/>
        </w:rPr>
        <w:t>3</w:t>
      </w:r>
      <w:r>
        <w:rPr>
          <w:rFonts w:hint="eastAsia" w:eastAsia="仿宋_GB2312"/>
          <w:color w:val="auto"/>
          <w:sz w:val="28"/>
        </w:rPr>
        <w:t>座、调节水池。</w:t>
      </w:r>
      <w:r>
        <w:rPr>
          <w:rFonts w:eastAsia="仿宋_GB2312"/>
          <w:color w:val="auto"/>
          <w:sz w:val="28"/>
        </w:rPr>
        <w:t>工程</w:t>
      </w:r>
      <w:r>
        <w:rPr>
          <w:rFonts w:hint="eastAsia" w:eastAsia="仿宋_GB2312"/>
          <w:color w:val="auto"/>
          <w:sz w:val="28"/>
        </w:rPr>
        <w:t>建成后可达</w:t>
      </w:r>
      <w:r>
        <w:rPr>
          <w:rFonts w:eastAsia="仿宋_GB2312"/>
          <w:color w:val="auto"/>
          <w:sz w:val="28"/>
        </w:rPr>
        <w:t>效益</w:t>
      </w:r>
      <w:r>
        <w:rPr>
          <w:rFonts w:hint="eastAsia" w:eastAsia="仿宋_GB2312"/>
          <w:color w:val="auto"/>
          <w:sz w:val="28"/>
        </w:rPr>
        <w:t>为年供水量</w:t>
      </w:r>
      <w:r>
        <w:rPr>
          <w:rFonts w:hint="eastAsia" w:ascii="Times New Roman" w:hAnsi="Times New Roman" w:eastAsia="仿宋_GB2312" w:cs="仿宋_GB2312"/>
          <w:bCs/>
          <w:color w:val="auto"/>
          <w:sz w:val="28"/>
          <w:szCs w:val="28"/>
        </w:rPr>
        <w:t>200</w:t>
      </w:r>
      <w:r>
        <w:rPr>
          <w:rFonts w:hint="eastAsia" w:eastAsia="仿宋_GB2312"/>
          <w:color w:val="auto"/>
          <w:sz w:val="28"/>
        </w:rPr>
        <w:t>万</w:t>
      </w:r>
      <w:r>
        <w:rPr>
          <w:rFonts w:ascii="Times New Roman" w:hAnsi="Times New Roman" w:eastAsia="仿宋_GB2312" w:cs="仿宋_GB2312"/>
          <w:bCs/>
          <w:color w:val="auto"/>
          <w:sz w:val="28"/>
          <w:szCs w:val="28"/>
        </w:rPr>
        <w:t>m</w:t>
      </w:r>
      <w:r>
        <w:rPr>
          <w:rFonts w:ascii="Times New Roman" w:hAnsi="Times New Roman" w:eastAsia="仿宋_GB2312" w:cs="仿宋_GB2312"/>
          <w:bCs/>
          <w:color w:val="auto"/>
          <w:sz w:val="28"/>
          <w:szCs w:val="28"/>
          <w:vertAlign w:val="superscript"/>
        </w:rPr>
        <w:t>3</w:t>
      </w:r>
      <w:r>
        <w:rPr>
          <w:rFonts w:hint="eastAsia" w:eastAsia="仿宋_GB2312"/>
          <w:bCs/>
          <w:color w:val="auto"/>
          <w:kern w:val="44"/>
          <w:sz w:val="28"/>
          <w:szCs w:val="36"/>
        </w:rPr>
        <w:t>。</w:t>
      </w:r>
      <w:r>
        <w:rPr>
          <w:rFonts w:eastAsia="仿宋_GB2312"/>
          <w:color w:val="auto"/>
          <w:sz w:val="28"/>
          <w:szCs w:val="28"/>
        </w:rPr>
        <w:t>工程</w:t>
      </w:r>
      <w:r>
        <w:rPr>
          <w:rFonts w:hint="eastAsia" w:eastAsia="仿宋_GB2312"/>
          <w:color w:val="auto"/>
          <w:sz w:val="28"/>
        </w:rPr>
        <w:t>总投资</w:t>
      </w:r>
      <w:r>
        <w:rPr>
          <w:rFonts w:hint="eastAsia" w:ascii="Times New Roman" w:hAnsi="Times New Roman" w:eastAsia="仿宋_GB2312" w:cs="仿宋_GB2312"/>
          <w:bCs/>
          <w:color w:val="auto"/>
          <w:sz w:val="28"/>
          <w:szCs w:val="28"/>
        </w:rPr>
        <w:t>1</w:t>
      </w:r>
      <w:r>
        <w:rPr>
          <w:rFonts w:hint="eastAsia"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。目前，进行到可研阶段。</w:t>
      </w:r>
    </w:p>
    <w:p w14:paraId="7873070E">
      <w:pPr>
        <w:pStyle w:val="8"/>
        <w:rPr>
          <w:color w:val="auto"/>
        </w:rPr>
      </w:pPr>
      <w:bookmarkStart w:id="239" w:name="_Toc11645"/>
      <w:bookmarkStart w:id="240" w:name="_Toc19789"/>
      <w:bookmarkStart w:id="241" w:name="_Toc26747"/>
      <w:bookmarkStart w:id="242" w:name="_Toc6510"/>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 xml:space="preserve"> 新建供水工程</w:t>
      </w:r>
      <w:bookmarkEnd w:id="239"/>
      <w:bookmarkEnd w:id="240"/>
      <w:bookmarkEnd w:id="241"/>
      <w:bookmarkEnd w:id="242"/>
    </w:p>
    <w:p w14:paraId="3FA2BB38">
      <w:pPr>
        <w:snapToGrid w:val="0"/>
        <w:spacing w:line="360" w:lineRule="auto"/>
        <w:ind w:firstLine="560" w:firstLineChars="200"/>
        <w:rPr>
          <w:rFonts w:ascii="Times New Roman" w:hAnsi="Times New Roman" w:eastAsia="华文仿宋"/>
          <w:color w:val="auto"/>
          <w:sz w:val="28"/>
          <w:szCs w:val="28"/>
        </w:rPr>
      </w:pPr>
      <w:r>
        <w:rPr>
          <w:rFonts w:hint="eastAsia" w:ascii="Times New Roman" w:hAnsi="Times New Roman" w:eastAsia="华文仿宋"/>
          <w:color w:val="auto"/>
          <w:sz w:val="28"/>
          <w:szCs w:val="28"/>
        </w:rPr>
        <w:t>“十四五”时期</w:t>
      </w:r>
      <w:r>
        <w:rPr>
          <w:rFonts w:hint="eastAsia" w:ascii="Times New Roman" w:hAnsi="Times New Roman" w:eastAsia="华文仿宋"/>
          <w:color w:val="auto"/>
          <w:sz w:val="28"/>
          <w:szCs w:val="28"/>
          <w:lang w:eastAsia="zh-CN"/>
        </w:rPr>
        <w:t>，</w:t>
      </w:r>
      <w:r>
        <w:rPr>
          <w:rFonts w:hint="eastAsia" w:ascii="Times New Roman" w:hAnsi="Times New Roman" w:eastAsia="华文仿宋"/>
          <w:color w:val="auto"/>
          <w:sz w:val="28"/>
          <w:szCs w:val="28"/>
          <w:lang w:val="en-US" w:eastAsia="zh-CN"/>
        </w:rPr>
        <w:t>我县</w:t>
      </w:r>
      <w:r>
        <w:rPr>
          <w:rFonts w:hint="eastAsia" w:ascii="Times New Roman" w:hAnsi="Times New Roman" w:eastAsia="华文仿宋"/>
          <w:color w:val="auto"/>
          <w:sz w:val="28"/>
          <w:szCs w:val="28"/>
        </w:rPr>
        <w:t>共规划建设新建提水工程</w:t>
      </w:r>
      <w:r>
        <w:rPr>
          <w:rFonts w:hint="eastAsia" w:ascii="Times New Roman" w:hAnsi="Times New Roman" w:eastAsia="华文仿宋" w:cs="仿宋_GB2312"/>
          <w:color w:val="auto"/>
          <w:sz w:val="28"/>
          <w:szCs w:val="28"/>
        </w:rPr>
        <w:t>7</w:t>
      </w:r>
      <w:r>
        <w:rPr>
          <w:rFonts w:hint="eastAsia" w:ascii="Times New Roman" w:hAnsi="Times New Roman" w:eastAsia="华文仿宋"/>
          <w:color w:val="auto"/>
          <w:sz w:val="28"/>
          <w:szCs w:val="28"/>
        </w:rPr>
        <w:t>处，新增供水能力</w:t>
      </w:r>
      <w:r>
        <w:rPr>
          <w:rFonts w:hint="eastAsia" w:ascii="Times New Roman" w:hAnsi="Times New Roman" w:eastAsia="华文仿宋" w:cs="仿宋_GB2312"/>
          <w:color w:val="auto"/>
          <w:sz w:val="28"/>
          <w:szCs w:val="28"/>
        </w:rPr>
        <w:t>1130</w:t>
      </w:r>
      <w:r>
        <w:rPr>
          <w:rFonts w:hint="eastAsia" w:ascii="Times New Roman" w:hAnsi="Times New Roman" w:eastAsia="华文仿宋"/>
          <w:color w:val="auto"/>
          <w:sz w:val="28"/>
          <w:szCs w:val="28"/>
        </w:rPr>
        <w:t>万</w:t>
      </w:r>
      <w:r>
        <w:rPr>
          <w:rFonts w:hint="eastAsia" w:ascii="Times New Roman" w:hAnsi="Times New Roman" w:eastAsia="仿宋" w:cs="仿宋_GB2312"/>
          <w:color w:val="auto"/>
          <w:kern w:val="0"/>
          <w:sz w:val="28"/>
          <w:szCs w:val="28"/>
        </w:rPr>
        <w:t>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华文仿宋"/>
          <w:color w:val="auto"/>
          <w:sz w:val="28"/>
          <w:szCs w:val="28"/>
        </w:rPr>
        <w:t>，总投资</w:t>
      </w:r>
      <w:r>
        <w:rPr>
          <w:rFonts w:hint="eastAsia" w:ascii="Times New Roman" w:hAnsi="Times New Roman" w:eastAsia="华文仿宋" w:cs="仿宋_GB2312"/>
          <w:color w:val="auto"/>
          <w:sz w:val="28"/>
          <w:szCs w:val="28"/>
        </w:rPr>
        <w:t>5</w:t>
      </w:r>
      <w:r>
        <w:rPr>
          <w:rFonts w:hint="eastAsia" w:ascii="Times New Roman" w:hAnsi="Times New Roman" w:eastAsia="华文仿宋"/>
          <w:color w:val="auto"/>
          <w:sz w:val="28"/>
          <w:szCs w:val="28"/>
        </w:rPr>
        <w:t>.</w:t>
      </w:r>
      <w:r>
        <w:rPr>
          <w:rFonts w:hint="eastAsia" w:ascii="Times New Roman" w:hAnsi="Times New Roman" w:eastAsia="华文仿宋" w:cs="仿宋_GB2312"/>
          <w:color w:val="auto"/>
          <w:sz w:val="28"/>
          <w:szCs w:val="28"/>
        </w:rPr>
        <w:t>652</w:t>
      </w:r>
      <w:r>
        <w:rPr>
          <w:rFonts w:hint="eastAsia" w:ascii="Times New Roman" w:hAnsi="Times New Roman" w:eastAsia="华文仿宋"/>
          <w:color w:val="auto"/>
          <w:sz w:val="28"/>
          <w:szCs w:val="28"/>
        </w:rPr>
        <w:t>亿元。</w:t>
      </w:r>
      <w:r>
        <w:rPr>
          <w:rFonts w:hint="eastAsia" w:eastAsia="仿宋_GB2312"/>
          <w:bCs/>
          <w:color w:val="auto"/>
          <w:kern w:val="44"/>
          <w:sz w:val="28"/>
          <w:szCs w:val="36"/>
          <w:lang w:val="en-US" w:eastAsia="zh-CN"/>
        </w:rPr>
        <w:t>我县</w:t>
      </w:r>
      <w:r>
        <w:rPr>
          <w:rFonts w:hint="eastAsia" w:ascii="Times New Roman" w:hAnsi="Times New Roman" w:eastAsia="华文仿宋"/>
          <w:color w:val="auto"/>
          <w:sz w:val="28"/>
          <w:szCs w:val="28"/>
        </w:rPr>
        <w:t>“十四五”时期</w:t>
      </w:r>
      <w:r>
        <w:rPr>
          <w:rFonts w:hint="eastAsia" w:eastAsia="仿宋_GB2312"/>
          <w:bCs/>
          <w:color w:val="auto"/>
          <w:kern w:val="44"/>
          <w:sz w:val="28"/>
          <w:szCs w:val="36"/>
          <w:lang w:val="en-US" w:eastAsia="zh-CN"/>
        </w:rPr>
        <w:t>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14:paraId="705B3B94">
      <w:pPr>
        <w:autoSpaceDE w:val="0"/>
        <w:autoSpaceDN w:val="0"/>
        <w:adjustRightInd w:val="0"/>
        <w:snapToGrid w:val="0"/>
        <w:spacing w:line="360" w:lineRule="auto"/>
        <w:ind w:firstLine="560" w:firstLineChars="200"/>
        <w:rPr>
          <w:rFonts w:hint="eastAsia" w:eastAsia="仿宋_GB2312"/>
          <w:color w:val="0000FF"/>
          <w:sz w:val="28"/>
          <w:lang w:eastAsia="zh-CN"/>
        </w:rPr>
      </w:pPr>
      <w:r>
        <w:rPr>
          <w:rFonts w:ascii="Times New Roman" w:hAnsi="Times New Roman" w:eastAsia="仿宋_GB2312" w:cs="仿宋_GB2312"/>
          <w:color w:val="auto"/>
          <w:sz w:val="28"/>
        </w:rPr>
        <w:t>1</w:t>
      </w:r>
      <w:r>
        <w:rPr>
          <w:rFonts w:ascii="Times New Roman" w:hAnsi="Times New Roman" w:eastAsia="仿宋_GB2312"/>
          <w:color w:val="auto"/>
          <w:sz w:val="28"/>
        </w:rPr>
        <w:t>、</w:t>
      </w:r>
      <w:r>
        <w:rPr>
          <w:rFonts w:hint="eastAsia" w:eastAsia="仿宋_GB2312"/>
          <w:color w:val="0000FF"/>
          <w:sz w:val="28"/>
          <w:lang w:eastAsia="zh-CN"/>
        </w:rPr>
        <w:t>土沃乡规模化供水工程</w:t>
      </w:r>
    </w:p>
    <w:p w14:paraId="78566342">
      <w:pPr>
        <w:snapToGrid w:val="0"/>
        <w:spacing w:line="360" w:lineRule="auto"/>
        <w:ind w:firstLine="560" w:firstLineChars="200"/>
        <w:rPr>
          <w:rFonts w:hint="eastAsia" w:eastAsia="仿宋_GB2312"/>
          <w:color w:val="0000FF"/>
          <w:sz w:val="32"/>
          <w:szCs w:val="32"/>
          <w:lang w:eastAsia="zh-CN"/>
        </w:rPr>
      </w:pPr>
      <w:r>
        <w:rPr>
          <w:rFonts w:eastAsia="仿宋_GB2312"/>
          <w:color w:val="auto"/>
          <w:sz w:val="28"/>
        </w:rPr>
        <w:t>建</w:t>
      </w:r>
      <w:r>
        <w:rPr>
          <w:rFonts w:eastAsia="仿宋_GB2312"/>
          <w:color w:val="0000FF"/>
          <w:sz w:val="28"/>
        </w:rPr>
        <w:t>设地点：</w:t>
      </w:r>
      <w:r>
        <w:rPr>
          <w:rFonts w:hint="eastAsia" w:eastAsia="仿宋_GB2312"/>
          <w:color w:val="0000FF"/>
          <w:sz w:val="28"/>
        </w:rPr>
        <w:t>土沃乡</w:t>
      </w:r>
    </w:p>
    <w:p w14:paraId="7227F0DE">
      <w:pPr>
        <w:snapToGrid w:val="0"/>
        <w:spacing w:line="360" w:lineRule="auto"/>
        <w:ind w:firstLine="560" w:firstLineChars="200"/>
        <w:rPr>
          <w:rFonts w:hint="eastAsia" w:ascii="仿宋_GB2312" w:hAnsi="仿宋_GB2312" w:eastAsia="仿宋_GB2312" w:cs="仿宋_GB2312"/>
          <w:color w:val="0000FF"/>
          <w:sz w:val="28"/>
        </w:rPr>
      </w:pPr>
      <w:r>
        <w:rPr>
          <w:rFonts w:hint="eastAsia" w:eastAsia="仿宋_GB2312"/>
          <w:color w:val="0000FF"/>
          <w:sz w:val="28"/>
        </w:rPr>
        <w:t>建设内容：</w:t>
      </w:r>
      <w:r>
        <w:rPr>
          <w:rFonts w:hint="eastAsia" w:ascii="仿宋_GB2312" w:hAnsi="仿宋_GB2312" w:eastAsia="仿宋_GB2312" w:cs="仿宋_GB2312"/>
          <w:color w:val="FF0000"/>
          <w:sz w:val="28"/>
        </w:rPr>
        <w:t>生活供水量每年14.95 万m³；农业灌溉供水量每年16.27 万m³。新建截潜流1处，铺设供水管道32.2km，修建管道配套附属设施。</w:t>
      </w:r>
    </w:p>
    <w:p w14:paraId="0664C495">
      <w:pPr>
        <w:snapToGrid w:val="0"/>
        <w:spacing w:line="360" w:lineRule="auto"/>
        <w:ind w:firstLine="560" w:firstLineChars="200"/>
        <w:rPr>
          <w:rFonts w:eastAsia="仿宋_GB2312"/>
          <w:color w:val="0000FF"/>
          <w:sz w:val="28"/>
        </w:rPr>
      </w:pPr>
      <w:r>
        <w:rPr>
          <w:rFonts w:hint="eastAsia" w:eastAsia="仿宋_GB2312"/>
          <w:color w:val="0000FF"/>
          <w:sz w:val="28"/>
        </w:rPr>
        <w:t>工程效益：巩固提升</w:t>
      </w:r>
      <w:r>
        <w:rPr>
          <w:rFonts w:hint="eastAsia" w:ascii="Times New Roman" w:hAnsi="Times New Roman" w:eastAsia="仿宋_GB2312" w:cs="仿宋_GB2312"/>
          <w:color w:val="0000FF"/>
          <w:sz w:val="28"/>
        </w:rPr>
        <w:t>1</w:t>
      </w:r>
      <w:r>
        <w:rPr>
          <w:rFonts w:hint="eastAsia" w:eastAsia="仿宋_GB2312"/>
          <w:color w:val="0000FF"/>
          <w:sz w:val="28"/>
        </w:rPr>
        <w:t>.</w:t>
      </w:r>
      <w:r>
        <w:rPr>
          <w:rFonts w:hint="eastAsia" w:ascii="Times New Roman" w:hAnsi="Times New Roman" w:eastAsia="仿宋_GB2312" w:cs="仿宋_GB2312"/>
          <w:color w:val="0000FF"/>
          <w:sz w:val="28"/>
        </w:rPr>
        <w:t>5</w:t>
      </w:r>
      <w:r>
        <w:rPr>
          <w:rFonts w:hint="eastAsia" w:eastAsia="仿宋_GB2312"/>
          <w:color w:val="0000FF"/>
          <w:sz w:val="28"/>
        </w:rPr>
        <w:t>万人的饮水保障水平。</w:t>
      </w:r>
    </w:p>
    <w:p w14:paraId="33284303">
      <w:pPr>
        <w:snapToGrid w:val="0"/>
        <w:spacing w:line="360" w:lineRule="auto"/>
        <w:ind w:firstLine="560" w:firstLineChars="200"/>
        <w:rPr>
          <w:rFonts w:eastAsia="仿宋_GB2312"/>
          <w:color w:val="0000FF"/>
          <w:sz w:val="28"/>
        </w:rPr>
      </w:pPr>
      <w:r>
        <w:rPr>
          <w:rFonts w:hint="eastAsia" w:eastAsia="仿宋_GB2312"/>
          <w:color w:val="0000FF"/>
          <w:sz w:val="28"/>
        </w:rPr>
        <w:t>工程投资：总投资</w:t>
      </w:r>
      <w:r>
        <w:rPr>
          <w:rFonts w:hint="eastAsia" w:ascii="Times New Roman" w:hAnsi="Times New Roman" w:eastAsia="仿宋_GB2312" w:cs="仿宋_GB2312"/>
          <w:color w:val="FF0000"/>
          <w:sz w:val="28"/>
        </w:rPr>
        <w:t>0</w:t>
      </w:r>
      <w:r>
        <w:rPr>
          <w:rFonts w:hint="eastAsia" w:eastAsia="仿宋_GB2312"/>
          <w:color w:val="FF0000"/>
          <w:sz w:val="28"/>
        </w:rPr>
        <w:t>.</w:t>
      </w:r>
      <w:r>
        <w:rPr>
          <w:rFonts w:hint="eastAsia" w:ascii="Times New Roman" w:hAnsi="Times New Roman" w:eastAsia="仿宋_GB2312" w:cs="仿宋_GB2312"/>
          <w:color w:val="FF0000"/>
          <w:sz w:val="28"/>
        </w:rPr>
        <w:t>6082</w:t>
      </w:r>
      <w:r>
        <w:rPr>
          <w:rFonts w:hint="eastAsia" w:eastAsia="仿宋_GB2312"/>
          <w:color w:val="0000FF"/>
          <w:sz w:val="28"/>
        </w:rPr>
        <w:t>亿元。</w:t>
      </w:r>
    </w:p>
    <w:p w14:paraId="5BD971C8">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eastAsia="仿宋_GB2312"/>
          <w:color w:val="auto"/>
          <w:sz w:val="28"/>
        </w:rPr>
        <w:t>沁水县东部三镇一区</w:t>
      </w:r>
      <w:r>
        <w:rPr>
          <w:rFonts w:hint="eastAsia" w:eastAsia="仿宋_GB2312"/>
          <w:color w:val="auto"/>
          <w:sz w:val="28"/>
          <w:lang w:val="en-US" w:eastAsia="zh-CN"/>
        </w:rPr>
        <w:t>规模化</w:t>
      </w:r>
      <w:r>
        <w:rPr>
          <w:rFonts w:hint="eastAsia" w:eastAsia="仿宋_GB2312"/>
          <w:color w:val="auto"/>
          <w:sz w:val="28"/>
        </w:rPr>
        <w:t>供水工程</w:t>
      </w:r>
    </w:p>
    <w:p w14:paraId="639FCE1E">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端氏镇、嘉峰镇、郑村镇、开发区</w:t>
      </w:r>
    </w:p>
    <w:p w14:paraId="0CB8FFA3">
      <w:pPr>
        <w:snapToGrid w:val="0"/>
        <w:spacing w:line="360" w:lineRule="auto"/>
        <w:ind w:firstLine="560" w:firstLineChars="200"/>
        <w:rPr>
          <w:rFonts w:eastAsia="仿宋_GB2312"/>
          <w:color w:val="auto"/>
          <w:sz w:val="28"/>
        </w:rPr>
      </w:pPr>
      <w:r>
        <w:rPr>
          <w:rFonts w:hint="eastAsia" w:eastAsia="仿宋_GB2312"/>
          <w:color w:val="auto"/>
          <w:sz w:val="28"/>
        </w:rPr>
        <w:t>建设内容：以沁河河道、固县河供水工程、云首水库、张峰总干为水源，新建调节池、水处理厂，向端氏镇、嘉峰镇、郑村镇和开发区铺设管线供水。</w:t>
      </w:r>
      <w:r>
        <w:rPr>
          <w:rFonts w:hint="eastAsia" w:eastAsia="仿宋_GB2312"/>
          <w:color w:val="auto"/>
          <w:sz w:val="28"/>
          <w:lang w:val="en-US" w:eastAsia="zh-CN"/>
        </w:rPr>
        <w:t>新建沁河河道取水口</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座，年取水量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³；调蓄池</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座，容积</w:t>
      </w:r>
      <w:r>
        <w:rPr>
          <w:rFonts w:hint="eastAsia" w:ascii="Times New Roman" w:hAnsi="Times New Roman" w:eastAsia="仿宋_GB2312"/>
          <w:color w:val="auto"/>
          <w:sz w:val="28"/>
          <w:lang w:val="en-US" w:eastAsia="zh-CN"/>
        </w:rPr>
        <w:t>10</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³；供水泵站</w:t>
      </w:r>
      <w:r>
        <w:rPr>
          <w:rFonts w:hint="eastAsia" w:ascii="Times New Roman" w:hAnsi="Times New Roman" w:eastAsia="仿宋_GB2312"/>
          <w:color w:val="auto"/>
          <w:sz w:val="28"/>
          <w:lang w:val="en-US" w:eastAsia="zh-CN"/>
        </w:rPr>
        <w:t>5</w:t>
      </w:r>
      <w:r>
        <w:rPr>
          <w:rFonts w:hint="eastAsia" w:eastAsia="仿宋_GB2312"/>
          <w:color w:val="auto"/>
          <w:sz w:val="28"/>
          <w:lang w:val="en-US" w:eastAsia="zh-CN"/>
        </w:rPr>
        <w:t>座，总装机</w:t>
      </w:r>
      <w:r>
        <w:rPr>
          <w:rFonts w:hint="eastAsia" w:ascii="Times New Roman" w:hAnsi="Times New Roman" w:eastAsia="仿宋_GB2312"/>
          <w:color w:val="auto"/>
          <w:sz w:val="28"/>
          <w:lang w:val="en-US" w:eastAsia="zh-CN"/>
        </w:rPr>
        <w:t>2140KW</w:t>
      </w:r>
      <w:r>
        <w:rPr>
          <w:rFonts w:hint="eastAsia" w:eastAsia="仿宋_GB2312"/>
          <w:color w:val="auto"/>
          <w:sz w:val="28"/>
          <w:lang w:val="en-US" w:eastAsia="zh-CN"/>
        </w:rPr>
        <w:t>；改建新建净水厂</w:t>
      </w:r>
      <w:r>
        <w:rPr>
          <w:rFonts w:hint="eastAsia" w:ascii="Times New Roman" w:hAnsi="Times New Roman" w:eastAsia="仿宋_GB2312"/>
          <w:color w:val="auto"/>
          <w:sz w:val="28"/>
          <w:lang w:val="en-US" w:eastAsia="zh-CN"/>
        </w:rPr>
        <w:t>2</w:t>
      </w:r>
      <w:r>
        <w:rPr>
          <w:rFonts w:hint="eastAsia" w:eastAsia="仿宋_GB2312"/>
          <w:color w:val="auto"/>
          <w:sz w:val="28"/>
          <w:lang w:val="en-US" w:eastAsia="zh-CN"/>
        </w:rPr>
        <w:t xml:space="preserve"> 座，总处理规模</w:t>
      </w:r>
      <w:r>
        <w:rPr>
          <w:rFonts w:hint="eastAsia" w:ascii="Times New Roman" w:hAnsi="Times New Roman" w:eastAsia="仿宋_GB2312"/>
          <w:color w:val="auto"/>
          <w:sz w:val="28"/>
          <w:lang w:val="en-US" w:eastAsia="zh-CN"/>
        </w:rPr>
        <w:t>7</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18</w:t>
      </w:r>
      <w:r>
        <w:rPr>
          <w:rFonts w:hint="eastAsia" w:eastAsia="仿宋_GB2312"/>
          <w:color w:val="auto"/>
          <w:sz w:val="28"/>
          <w:lang w:val="en-US" w:eastAsia="zh-CN"/>
        </w:rPr>
        <w:t xml:space="preserve"> 万/</w:t>
      </w:r>
      <w:r>
        <w:rPr>
          <w:rFonts w:hint="eastAsia" w:ascii="Times New Roman" w:hAnsi="Times New Roman" w:eastAsia="仿宋_GB2312"/>
          <w:color w:val="auto"/>
          <w:sz w:val="28"/>
          <w:lang w:val="en-US" w:eastAsia="zh-CN"/>
        </w:rPr>
        <w:t>d</w:t>
      </w:r>
      <w:r>
        <w:rPr>
          <w:rFonts w:hint="eastAsia" w:eastAsia="仿宋_GB2312"/>
          <w:color w:val="auto"/>
          <w:sz w:val="28"/>
          <w:lang w:val="en-US" w:eastAsia="zh-CN"/>
        </w:rPr>
        <w:t>；铺设供水管线</w:t>
      </w:r>
      <w:r>
        <w:rPr>
          <w:rFonts w:hint="eastAsia" w:ascii="Times New Roman" w:hAnsi="Times New Roman" w:eastAsia="仿宋_GB2312"/>
          <w:color w:val="auto"/>
          <w:sz w:val="28"/>
          <w:lang w:val="en-US" w:eastAsia="zh-CN"/>
        </w:rPr>
        <w:t>54km</w:t>
      </w:r>
      <w:r>
        <w:rPr>
          <w:rFonts w:hint="eastAsia" w:eastAsia="仿宋_GB2312"/>
          <w:color w:val="auto"/>
          <w:sz w:val="28"/>
          <w:lang w:val="en-US" w:eastAsia="zh-CN"/>
        </w:rPr>
        <w:t>，管道总长</w:t>
      </w:r>
      <w:r>
        <w:rPr>
          <w:rFonts w:hint="eastAsia" w:ascii="Times New Roman" w:hAnsi="Times New Roman" w:eastAsia="仿宋_GB2312"/>
          <w:color w:val="auto"/>
          <w:sz w:val="28"/>
          <w:lang w:val="en-US" w:eastAsia="zh-CN"/>
        </w:rPr>
        <w:t>68</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93km</w:t>
      </w:r>
      <w:r>
        <w:rPr>
          <w:rFonts w:hint="eastAsia" w:eastAsia="仿宋_GB2312"/>
          <w:color w:val="auto"/>
          <w:sz w:val="28"/>
          <w:lang w:val="en-US" w:eastAsia="zh-CN"/>
        </w:rPr>
        <w:t xml:space="preserve"> 及沿线附属设施。</w:t>
      </w:r>
      <w:r>
        <w:rPr>
          <w:rFonts w:hint="eastAsia" w:eastAsia="仿宋_GB2312"/>
          <w:color w:val="auto"/>
          <w:sz w:val="28"/>
        </w:rPr>
        <w:t>工程建设规模为年供水能力</w:t>
      </w:r>
      <w:r>
        <w:rPr>
          <w:rFonts w:hint="eastAsia" w:ascii="Times New Roman" w:hAnsi="Times New Roman" w:eastAsia="仿宋_GB2312" w:cs="仿宋_GB2312"/>
          <w:color w:val="auto"/>
          <w:sz w:val="28"/>
          <w:lang w:val="en-US" w:eastAsia="zh-CN"/>
        </w:rPr>
        <w:t>2135</w:t>
      </w:r>
      <w:r>
        <w:rPr>
          <w:rFonts w:hint="eastAsia" w:eastAsia="仿宋_GB2312"/>
          <w:color w:val="auto"/>
          <w:sz w:val="28"/>
        </w:rPr>
        <w:t>万</w:t>
      </w:r>
      <w:r>
        <w:rPr>
          <w:rFonts w:hint="eastAsia" w:ascii="Times New Roman" w:hAnsi="Times New Roman" w:eastAsia="仿宋_GB2312" w:cs="仿宋_GB2312"/>
          <w:color w:val="auto"/>
          <w:sz w:val="28"/>
        </w:rPr>
        <w:t>m</w:t>
      </w:r>
      <w:r>
        <w:rPr>
          <w:rFonts w:hint="eastAsia" w:eastAsia="仿宋_GB2312"/>
          <w:color w:val="auto"/>
          <w:sz w:val="28"/>
        </w:rPr>
        <w:t>³</w:t>
      </w:r>
      <w:r>
        <w:rPr>
          <w:rFonts w:hint="eastAsia" w:eastAsia="仿宋_GB2312"/>
          <w:color w:val="auto"/>
          <w:sz w:val="28"/>
          <w:lang w:eastAsia="zh-CN"/>
        </w:rPr>
        <w:t>（</w:t>
      </w:r>
      <w:r>
        <w:rPr>
          <w:rFonts w:hint="eastAsia" w:eastAsia="仿宋_GB2312"/>
          <w:color w:val="auto"/>
          <w:sz w:val="28"/>
          <w:lang w:val="en-US" w:eastAsia="zh-CN"/>
        </w:rPr>
        <w:t>其中，云首水库与固县河截潜流水量</w:t>
      </w:r>
      <w:r>
        <w:rPr>
          <w:rFonts w:hint="eastAsia" w:ascii="Times New Roman" w:hAnsi="Times New Roman" w:eastAsia="仿宋_GB2312"/>
          <w:color w:val="auto"/>
          <w:sz w:val="28"/>
          <w:lang w:val="en-US" w:eastAsia="zh-CN"/>
        </w:rPr>
        <w:t>389</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³，沁河河道取水水量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³；工业补水量为</w:t>
      </w:r>
      <w:r>
        <w:rPr>
          <w:rFonts w:hint="eastAsia" w:ascii="Times New Roman" w:hAnsi="Times New Roman" w:eastAsia="仿宋_GB2312"/>
          <w:color w:val="auto"/>
          <w:sz w:val="28"/>
          <w:lang w:val="en-US" w:eastAsia="zh-CN"/>
        </w:rPr>
        <w:t>1514</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val="en-US" w:eastAsia="zh-CN"/>
        </w:rPr>
        <w:t>、生活补水量为</w:t>
      </w:r>
      <w:r>
        <w:rPr>
          <w:rFonts w:hint="eastAsia" w:ascii="Times New Roman" w:hAnsi="Times New Roman" w:eastAsia="仿宋_GB2312"/>
          <w:color w:val="auto"/>
          <w:sz w:val="28"/>
          <w:lang w:val="en-US" w:eastAsia="zh-CN"/>
        </w:rPr>
        <w:t>621</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eastAsia="zh-CN"/>
        </w:rPr>
        <w:t>）</w:t>
      </w:r>
      <w:r>
        <w:rPr>
          <w:rFonts w:hint="eastAsia" w:eastAsia="仿宋_GB2312"/>
          <w:color w:val="auto"/>
          <w:sz w:val="28"/>
        </w:rPr>
        <w:t>。</w:t>
      </w:r>
    </w:p>
    <w:p w14:paraId="62A0BA20">
      <w:pPr>
        <w:snapToGrid w:val="0"/>
        <w:spacing w:line="360" w:lineRule="auto"/>
        <w:ind w:firstLine="560" w:firstLineChars="200"/>
        <w:rPr>
          <w:rFonts w:hint="eastAsia" w:eastAsia="仿宋_GB2312"/>
          <w:color w:val="auto"/>
          <w:sz w:val="28"/>
          <w:lang w:eastAsia="zh-CN"/>
        </w:rPr>
      </w:pPr>
      <w:r>
        <w:rPr>
          <w:rFonts w:hint="eastAsia" w:eastAsia="仿宋_GB2312"/>
          <w:color w:val="auto"/>
          <w:sz w:val="28"/>
        </w:rPr>
        <w:t>工程效益：受益人口</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6</w:t>
      </w:r>
      <w:r>
        <w:rPr>
          <w:rFonts w:hint="eastAsia" w:ascii="Times New Roman" w:hAnsi="Times New Roman" w:eastAsia="仿宋_GB2312" w:cs="仿宋_GB2312"/>
          <w:color w:val="auto"/>
          <w:sz w:val="28"/>
          <w:lang w:val="en-US" w:eastAsia="zh-CN"/>
        </w:rPr>
        <w:t>0</w:t>
      </w:r>
      <w:r>
        <w:rPr>
          <w:rFonts w:hint="eastAsia" w:eastAsia="仿宋_GB2312"/>
          <w:color w:val="auto"/>
          <w:sz w:val="28"/>
        </w:rPr>
        <w:t>万人，牲畜</w:t>
      </w:r>
      <w:r>
        <w:rPr>
          <w:rFonts w:hint="eastAsia" w:ascii="Times New Roman" w:hAnsi="Times New Roman" w:eastAsia="仿宋_GB2312" w:cs="仿宋_GB2312"/>
          <w:color w:val="auto"/>
          <w:sz w:val="28"/>
        </w:rPr>
        <w:t>148</w:t>
      </w:r>
      <w:r>
        <w:rPr>
          <w:rFonts w:hint="eastAsia" w:eastAsia="仿宋_GB2312"/>
          <w:color w:val="auto"/>
          <w:sz w:val="28"/>
        </w:rPr>
        <w:t>.</w:t>
      </w:r>
      <w:r>
        <w:rPr>
          <w:rFonts w:hint="eastAsia" w:ascii="Times New Roman" w:hAnsi="Times New Roman" w:eastAsia="仿宋_GB2312" w:cs="仿宋_GB2312"/>
          <w:color w:val="auto"/>
          <w:sz w:val="28"/>
        </w:rPr>
        <w:t>75</w:t>
      </w:r>
      <w:r>
        <w:rPr>
          <w:rFonts w:hint="eastAsia" w:eastAsia="仿宋_GB2312"/>
          <w:color w:val="auto"/>
          <w:sz w:val="28"/>
        </w:rPr>
        <w:t>万头。</w:t>
      </w:r>
      <w:r>
        <w:rPr>
          <w:rFonts w:hint="eastAsia" w:eastAsia="仿宋_GB2312"/>
          <w:color w:val="auto"/>
          <w:sz w:val="28"/>
          <w:lang w:eastAsia="zh-CN"/>
        </w:rPr>
        <w:t>——（</w:t>
      </w:r>
      <w:r>
        <w:rPr>
          <w:rFonts w:hint="eastAsia" w:eastAsia="仿宋_GB2312"/>
          <w:color w:val="auto"/>
          <w:sz w:val="28"/>
          <w:lang w:val="en-US" w:eastAsia="zh-CN"/>
        </w:rPr>
        <w:t>预测</w:t>
      </w:r>
      <w:r>
        <w:rPr>
          <w:rFonts w:hint="eastAsia" w:ascii="Times New Roman" w:hAnsi="Times New Roman" w:eastAsia="仿宋_GB2312"/>
          <w:color w:val="auto"/>
          <w:sz w:val="28"/>
          <w:lang w:val="en-US" w:eastAsia="zh-CN"/>
        </w:rPr>
        <w:t>2025</w:t>
      </w:r>
      <w:r>
        <w:rPr>
          <w:rFonts w:hint="eastAsia" w:eastAsia="仿宋_GB2312"/>
          <w:color w:val="auto"/>
          <w:sz w:val="28"/>
          <w:lang w:val="en-US" w:eastAsia="zh-CN"/>
        </w:rPr>
        <w:t>年</w:t>
      </w:r>
      <w:r>
        <w:rPr>
          <w:rFonts w:hint="eastAsia" w:eastAsia="仿宋_GB2312"/>
          <w:color w:val="auto"/>
          <w:sz w:val="28"/>
          <w:lang w:eastAsia="zh-CN"/>
        </w:rPr>
        <w:t>）</w:t>
      </w:r>
    </w:p>
    <w:p w14:paraId="18C13453">
      <w:pPr>
        <w:snapToGrid w:val="0"/>
        <w:spacing w:line="360" w:lineRule="auto"/>
        <w:ind w:firstLine="560" w:firstLineChars="200"/>
        <w:rPr>
          <w:rFonts w:hint="eastAsia" w:eastAsia="仿宋_GB2312"/>
          <w:color w:val="auto"/>
          <w:sz w:val="28"/>
        </w:rPr>
      </w:pPr>
      <w:r>
        <w:rPr>
          <w:rFonts w:hint="eastAsia" w:eastAsia="仿宋_GB2312"/>
          <w:color w:val="auto"/>
          <w:sz w:val="28"/>
        </w:rPr>
        <w:t>工程投资：总投资</w:t>
      </w:r>
      <w:r>
        <w:rPr>
          <w:rFonts w:hint="eastAsia" w:ascii="Times New Roman" w:hAnsi="Times New Roman" w:eastAsia="仿宋_GB2312" w:cs="仿宋_GB2312"/>
          <w:color w:val="FF0000"/>
          <w:sz w:val="28"/>
          <w:lang w:val="en-US" w:eastAsia="zh-CN"/>
        </w:rPr>
        <w:t>5.9864</w:t>
      </w:r>
      <w:r>
        <w:rPr>
          <w:rFonts w:hint="eastAsia" w:eastAsia="仿宋_GB2312"/>
          <w:color w:val="auto"/>
          <w:sz w:val="28"/>
        </w:rPr>
        <w:t>亿元。</w:t>
      </w:r>
    </w:p>
    <w:p w14:paraId="252A4CBD">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3</w:t>
      </w:r>
      <w:r>
        <w:rPr>
          <w:rFonts w:hint="eastAsia" w:ascii="Times New Roman" w:hAnsi="Times New Roman" w:eastAsia="仿宋_GB2312"/>
          <w:color w:val="auto"/>
          <w:sz w:val="28"/>
        </w:rPr>
        <w:t>、</w:t>
      </w:r>
      <w:r>
        <w:rPr>
          <w:rFonts w:hint="eastAsia" w:eastAsia="仿宋_GB2312"/>
          <w:color w:val="auto"/>
          <w:sz w:val="28"/>
        </w:rPr>
        <w:t>沁水县云首水库供水工程</w:t>
      </w:r>
    </w:p>
    <w:p w14:paraId="36F7E959">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固县乡云首村</w:t>
      </w:r>
    </w:p>
    <w:p w14:paraId="44A430E3">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177</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，以工业供水和农业灌溉为主的小</w:t>
      </w:r>
      <w:r>
        <w:rPr>
          <w:rFonts w:hint="eastAsia" w:ascii="Times New Roman" w:hAnsi="Times New Roman" w:eastAsia="仿宋_GB2312"/>
          <w:color w:val="auto"/>
          <w:sz w:val="28"/>
        </w:rPr>
        <w:t>（</w:t>
      </w:r>
      <w:r>
        <w:rPr>
          <w:rFonts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eastAsia="仿宋_GB2312"/>
          <w:color w:val="auto"/>
          <w:sz w:val="28"/>
        </w:rPr>
        <w:t>型水库，新建泵站、调节池、管道等。</w:t>
      </w:r>
    </w:p>
    <w:p w14:paraId="2B226E20">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工程效益：水库建成后，新增供水能力</w:t>
      </w:r>
      <w:r>
        <w:rPr>
          <w:rFonts w:hint="eastAsia" w:ascii="Times New Roman" w:hAnsi="Times New Roman" w:eastAsia="仿宋" w:cs="仿宋_GB2312"/>
          <w:bCs/>
          <w:color w:val="auto"/>
          <w:kern w:val="0"/>
          <w:sz w:val="28"/>
          <w:szCs w:val="28"/>
        </w:rPr>
        <w:t>458</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，其中工业用水</w:t>
      </w:r>
      <w:r>
        <w:rPr>
          <w:rFonts w:hint="eastAsia" w:ascii="Times New Roman" w:hAnsi="Times New Roman" w:eastAsia="仿宋" w:cs="仿宋_GB2312"/>
          <w:bCs/>
          <w:color w:val="auto"/>
          <w:kern w:val="0"/>
          <w:sz w:val="28"/>
          <w:szCs w:val="28"/>
        </w:rPr>
        <w:t>259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，（向下游三镇一区端氏、嘉峰、郑村及工业园区提供工业用水），供水保证率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71</w:t>
      </w:r>
      <w:r>
        <w:rPr>
          <w:rFonts w:hint="eastAsia" w:eastAsia="仿宋_GB2312"/>
          <w:color w:val="auto"/>
          <w:sz w:val="28"/>
        </w:rPr>
        <w:t xml:space="preserve"> 万亩农田的灌溉用水</w:t>
      </w:r>
      <w:r>
        <w:rPr>
          <w:rFonts w:hint="eastAsia" w:ascii="Times New Roman" w:hAnsi="Times New Roman" w:eastAsia="仿宋" w:cs="仿宋_GB2312"/>
          <w:bCs/>
          <w:color w:val="auto"/>
          <w:kern w:val="0"/>
          <w:sz w:val="28"/>
          <w:szCs w:val="28"/>
        </w:rPr>
        <w:t>199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（向下游附近村庄提供农业灌溉用水），灌溉保证率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14:paraId="495EADC8">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44ECCA73">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4</w:t>
      </w:r>
      <w:r>
        <w:rPr>
          <w:rFonts w:hint="eastAsia" w:ascii="Times New Roman" w:hAnsi="Times New Roman" w:eastAsia="仿宋_GB2312"/>
          <w:color w:val="auto"/>
          <w:sz w:val="28"/>
        </w:rPr>
        <w:t>、</w:t>
      </w:r>
      <w:r>
        <w:rPr>
          <w:rFonts w:hint="eastAsia" w:eastAsia="仿宋_GB2312"/>
          <w:color w:val="auto"/>
          <w:sz w:val="28"/>
        </w:rPr>
        <w:t>沁水县下泊水库供水工程</w:t>
      </w:r>
    </w:p>
    <w:p w14:paraId="0F650FC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柿庄镇</w:t>
      </w:r>
    </w:p>
    <w:p w14:paraId="632C60EF">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290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，为沁水县人民提供生活供水和农田灌溉提供水源。新建泵站、调节池、管道等。</w:t>
      </w:r>
    </w:p>
    <w:p w14:paraId="5F5AA435">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工程效益：水库建成后，可解决柿庄镇</w:t>
      </w:r>
      <w:r>
        <w:rPr>
          <w:rFonts w:hint="eastAsia" w:ascii="Times New Roman" w:hAnsi="Times New Roman" w:eastAsia="仿宋_GB2312" w:cs="仿宋_GB2312"/>
          <w:color w:val="auto"/>
          <w:sz w:val="28"/>
        </w:rPr>
        <w:t>7000</w:t>
      </w:r>
      <w:r>
        <w:rPr>
          <w:rFonts w:hint="eastAsia" w:eastAsia="仿宋_GB2312"/>
          <w:color w:val="auto"/>
          <w:sz w:val="28"/>
        </w:rPr>
        <w:t>人口居民生活用水，同时承担下游</w:t>
      </w:r>
      <w:r>
        <w:rPr>
          <w:rFonts w:hint="eastAsia" w:ascii="Times New Roman" w:hAnsi="Times New Roman" w:eastAsia="仿宋_GB2312" w:cs="仿宋_GB2312"/>
          <w:color w:val="auto"/>
          <w:sz w:val="28"/>
        </w:rPr>
        <w:t>10040</w:t>
      </w:r>
      <w:r>
        <w:rPr>
          <w:rFonts w:hint="eastAsia" w:eastAsia="仿宋_GB2312"/>
          <w:color w:val="auto"/>
          <w:sz w:val="28"/>
        </w:rPr>
        <w:t>亩种植面积的灌溉任务。新增供水能力</w:t>
      </w:r>
      <w:r>
        <w:rPr>
          <w:rFonts w:hint="eastAsia" w:ascii="Times New Roman" w:hAnsi="Times New Roman" w:eastAsia="仿宋" w:cs="仿宋_GB2312"/>
          <w:bCs/>
          <w:color w:val="auto"/>
          <w:kern w:val="0"/>
          <w:sz w:val="28"/>
          <w:szCs w:val="28"/>
        </w:rPr>
        <w:t>207</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，其中生活用水</w:t>
      </w:r>
      <w:r>
        <w:rPr>
          <w:rFonts w:hint="eastAsia" w:ascii="Times New Roman" w:hAnsi="Times New Roman" w:eastAsia="仿宋" w:cs="仿宋_GB2312"/>
          <w:bCs/>
          <w:color w:val="auto"/>
          <w:kern w:val="0"/>
          <w:sz w:val="28"/>
          <w:szCs w:val="28"/>
        </w:rPr>
        <w:t>16</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；提供</w:t>
      </w:r>
      <w:r>
        <w:rPr>
          <w:rFonts w:hint="eastAsia" w:ascii="Times New Roman" w:hAnsi="Times New Roman" w:eastAsia="仿宋" w:cs="仿宋_GB2312"/>
          <w:bCs/>
          <w:color w:val="auto"/>
          <w:kern w:val="0"/>
          <w:sz w:val="28"/>
          <w:szCs w:val="28"/>
        </w:rPr>
        <w:t>1</w:t>
      </w:r>
      <w:r>
        <w:rPr>
          <w:rFonts w:hint="eastAsia" w:eastAsia="仿宋_GB2312"/>
          <w:color w:val="auto"/>
          <w:sz w:val="28"/>
        </w:rPr>
        <w:t>万亩农田灌溉用水</w:t>
      </w:r>
      <w:r>
        <w:rPr>
          <w:rFonts w:hint="eastAsia" w:ascii="Times New Roman" w:hAnsi="Times New Roman" w:eastAsia="仿宋" w:cs="仿宋_GB2312"/>
          <w:bCs/>
          <w:color w:val="auto"/>
          <w:kern w:val="0"/>
          <w:sz w:val="28"/>
          <w:szCs w:val="28"/>
        </w:rPr>
        <w:t>191</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14:paraId="79CB97BF">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BA588BF">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5</w:t>
      </w:r>
      <w:r>
        <w:rPr>
          <w:rFonts w:hint="eastAsia" w:ascii="Times New Roman" w:hAnsi="Times New Roman" w:eastAsia="仿宋_GB2312"/>
          <w:color w:val="auto"/>
          <w:sz w:val="28"/>
        </w:rPr>
        <w:t>、</w:t>
      </w:r>
      <w:r>
        <w:rPr>
          <w:rFonts w:hint="eastAsia" w:eastAsia="仿宋_GB2312"/>
          <w:color w:val="auto"/>
          <w:sz w:val="28"/>
        </w:rPr>
        <w:t>郑庄镇集中供水工程</w:t>
      </w:r>
    </w:p>
    <w:p w14:paraId="1A068831">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郑庄镇</w:t>
      </w:r>
    </w:p>
    <w:p w14:paraId="4C8AE9F3">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铺设输水输水管道</w:t>
      </w:r>
      <w:r>
        <w:rPr>
          <w:rFonts w:hint="eastAsia" w:ascii="Times New Roman" w:hAnsi="Times New Roman" w:eastAsia="仿宋_GB2312" w:cs="仿宋_GB2312"/>
          <w:bCs/>
          <w:color w:val="auto"/>
          <w:sz w:val="28"/>
          <w:szCs w:val="28"/>
        </w:rPr>
        <w:t>15km</w:t>
      </w:r>
      <w:r>
        <w:rPr>
          <w:rFonts w:hint="eastAsia" w:eastAsia="仿宋_GB2312"/>
          <w:color w:val="auto"/>
          <w:sz w:val="28"/>
        </w:rPr>
        <w:t>。年供水量</w:t>
      </w:r>
      <w:r>
        <w:rPr>
          <w:rFonts w:hint="eastAsia" w:ascii="Times New Roman" w:hAnsi="Times New Roman" w:eastAsia="仿宋_GB2312" w:cs="仿宋_GB2312"/>
          <w:bCs/>
          <w:color w:val="auto"/>
          <w:sz w:val="28"/>
          <w:szCs w:val="28"/>
        </w:rPr>
        <w:t>100</w:t>
      </w:r>
      <w:r>
        <w:rPr>
          <w:rFonts w:hint="eastAsia" w:ascii="Times New Roman" w:hAnsi="Times New Roman" w:eastAsia="仿宋"/>
          <w:bCs/>
          <w:color w:val="auto"/>
          <w:kern w:val="0"/>
          <w:sz w:val="28"/>
          <w:szCs w:val="28"/>
        </w:rPr>
        <w:t>万</w:t>
      </w:r>
      <w:r>
        <w:rPr>
          <w:rFonts w:hint="eastAsia" w:ascii="Times New Roman" w:hAnsi="Times New Roman" w:eastAsia="仿宋_GB2312" w:cs="仿宋_GB2312"/>
          <w:bCs/>
          <w:color w:val="auto"/>
          <w:sz w:val="28"/>
          <w:szCs w:val="28"/>
        </w:rPr>
        <w:t>m</w:t>
      </w:r>
      <w:r>
        <w:rPr>
          <w:rFonts w:hint="eastAsia" w:ascii="Times New Roman" w:hAnsi="Times New Roman" w:eastAsia="仿宋_GB2312" w:cs="仿宋_GB2312"/>
          <w:bCs/>
          <w:color w:val="auto"/>
          <w:sz w:val="28"/>
          <w:szCs w:val="28"/>
          <w:vertAlign w:val="superscript"/>
        </w:rPr>
        <w:t>3</w:t>
      </w:r>
      <w:r>
        <w:rPr>
          <w:rFonts w:hint="eastAsia" w:eastAsia="仿宋_GB2312"/>
          <w:color w:val="auto"/>
          <w:sz w:val="28"/>
        </w:rPr>
        <w:t>。</w:t>
      </w:r>
    </w:p>
    <w:p w14:paraId="3FED0849">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eastAsia="仿宋_GB2312"/>
          <w:color w:val="auto"/>
          <w:sz w:val="28"/>
        </w:rPr>
        <w:t>，</w:t>
      </w:r>
      <w:r>
        <w:rPr>
          <w:rFonts w:hint="eastAsia" w:eastAsia="仿宋_GB2312"/>
          <w:bCs/>
          <w:color w:val="auto"/>
          <w:kern w:val="44"/>
          <w:sz w:val="28"/>
          <w:szCs w:val="36"/>
        </w:rPr>
        <w:t>其中中央</w:t>
      </w:r>
      <w:r>
        <w:rPr>
          <w:rFonts w:hint="eastAsia" w:ascii="Times New Roman" w:hAnsi="Times New Roman" w:eastAsia="仿宋"/>
          <w:bCs/>
          <w:color w:val="auto"/>
          <w:kern w:val="0"/>
          <w:sz w:val="28"/>
          <w:szCs w:val="28"/>
        </w:rPr>
        <w:t>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18</w:t>
      </w:r>
      <w:r>
        <w:rPr>
          <w:rFonts w:hint="eastAsia" w:eastAsia="仿宋_GB2312"/>
          <w:bCs/>
          <w:color w:val="auto"/>
          <w:kern w:val="44"/>
          <w:sz w:val="28"/>
          <w:szCs w:val="36"/>
        </w:rPr>
        <w:t>亿元，地方投</w:t>
      </w:r>
      <w:r>
        <w:rPr>
          <w:rFonts w:hint="eastAsia" w:ascii="Times New Roman" w:hAnsi="Times New Roman" w:eastAsia="仿宋"/>
          <w:bCs/>
          <w:color w:val="auto"/>
          <w:kern w:val="0"/>
          <w:sz w:val="28"/>
          <w:szCs w:val="28"/>
        </w:rPr>
        <w:t>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12</w:t>
      </w:r>
      <w:r>
        <w:rPr>
          <w:rFonts w:hint="eastAsia" w:eastAsia="仿宋_GB2312"/>
          <w:bCs/>
          <w:color w:val="auto"/>
          <w:kern w:val="44"/>
          <w:sz w:val="28"/>
          <w:szCs w:val="36"/>
        </w:rPr>
        <w:t>亿元。目前，进行到可研阶段，计划于</w:t>
      </w:r>
      <w:r>
        <w:rPr>
          <w:rFonts w:hint="eastAsia" w:ascii="Times New Roman" w:hAnsi="Times New Roman" w:eastAsia="仿宋" w:cs="仿宋_GB2312"/>
          <w:bCs/>
          <w:color w:val="auto"/>
          <w:kern w:val="0"/>
          <w:sz w:val="28"/>
          <w:szCs w:val="28"/>
        </w:rPr>
        <w:t>2021</w:t>
      </w:r>
      <w:r>
        <w:rPr>
          <w:rFonts w:hint="eastAsia" w:eastAsia="仿宋_GB2312"/>
          <w:bCs/>
          <w:color w:val="auto"/>
          <w:kern w:val="44"/>
          <w:sz w:val="28"/>
          <w:szCs w:val="36"/>
        </w:rPr>
        <w:t>年</w:t>
      </w:r>
      <w:r>
        <w:rPr>
          <w:rFonts w:hint="eastAsia" w:ascii="Times New Roman" w:hAnsi="Times New Roman" w:eastAsia="仿宋" w:cs="仿宋_GB2312"/>
          <w:bCs/>
          <w:color w:val="auto"/>
          <w:kern w:val="0"/>
          <w:sz w:val="28"/>
          <w:szCs w:val="28"/>
        </w:rPr>
        <w:t>10</w:t>
      </w:r>
      <w:r>
        <w:rPr>
          <w:rFonts w:hint="eastAsia" w:eastAsia="仿宋_GB2312"/>
          <w:bCs/>
          <w:color w:val="auto"/>
          <w:kern w:val="44"/>
          <w:sz w:val="28"/>
          <w:szCs w:val="36"/>
        </w:rPr>
        <w:t>月开工。</w:t>
      </w:r>
    </w:p>
    <w:p w14:paraId="61067279">
      <w:pPr>
        <w:pStyle w:val="2"/>
        <w:ind w:firstLine="560"/>
        <w:rPr>
          <w:rFonts w:eastAsia="仿宋_GB2312"/>
          <w:bCs/>
          <w:color w:val="auto"/>
          <w:kern w:val="44"/>
          <w:sz w:val="28"/>
          <w:szCs w:val="36"/>
        </w:rPr>
      </w:pPr>
      <w:r>
        <w:rPr>
          <w:rFonts w:hint="eastAsia" w:ascii="Times New Roman" w:hAnsi="Times New Roman" w:eastAsia="仿宋_GB2312" w:cs="仿宋_GB2312"/>
          <w:bCs/>
          <w:color w:val="auto"/>
          <w:kern w:val="44"/>
          <w:sz w:val="28"/>
          <w:szCs w:val="36"/>
        </w:rPr>
        <w:t>6</w:t>
      </w:r>
      <w:r>
        <w:rPr>
          <w:rFonts w:hint="eastAsia" w:eastAsia="仿宋_GB2312"/>
          <w:bCs/>
          <w:color w:val="auto"/>
          <w:kern w:val="44"/>
          <w:sz w:val="28"/>
          <w:szCs w:val="36"/>
        </w:rPr>
        <w:t>、沁水县嘉峰镇集中连片供水工程</w:t>
      </w:r>
    </w:p>
    <w:p w14:paraId="43458AB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bCs/>
          <w:color w:val="auto"/>
          <w:kern w:val="44"/>
          <w:sz w:val="28"/>
          <w:szCs w:val="36"/>
        </w:rPr>
        <w:t>嘉峰</w:t>
      </w:r>
      <w:r>
        <w:rPr>
          <w:rFonts w:hint="eastAsia" w:eastAsia="仿宋_GB2312"/>
          <w:color w:val="auto"/>
          <w:sz w:val="28"/>
        </w:rPr>
        <w:t>镇</w:t>
      </w:r>
    </w:p>
    <w:p w14:paraId="138879B2">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对豆庄、卧虎庄、郭北（郭南）、殷庄、武安、尉迟、嘉峰、李庄、刘庄、潘庄、南前岭、潘河、秦庄、王山、马庄、长畛、张山、永安</w:t>
      </w:r>
      <w:r>
        <w:rPr>
          <w:rFonts w:hint="eastAsia" w:ascii="Times New Roman" w:hAnsi="Times New Roman" w:eastAsia="仿宋" w:cs="仿宋_GB2312"/>
          <w:bCs/>
          <w:color w:val="auto"/>
          <w:kern w:val="0"/>
          <w:sz w:val="28"/>
          <w:szCs w:val="28"/>
        </w:rPr>
        <w:t>18</w:t>
      </w:r>
      <w:r>
        <w:rPr>
          <w:rFonts w:hint="eastAsia" w:eastAsia="仿宋_GB2312"/>
          <w:color w:val="auto"/>
          <w:sz w:val="28"/>
        </w:rPr>
        <w:t>个村庄进行输水管建设；对潘庄、武安、永安、张山、马庄、殷庄、秦庄、王山、刘庄、窦庄、郭北（郭南）、卧虎庄、李庄、前岭、潘河</w:t>
      </w:r>
      <w:r>
        <w:rPr>
          <w:rFonts w:hint="eastAsia" w:ascii="Times New Roman" w:hAnsi="Times New Roman" w:eastAsia="仿宋" w:cs="仿宋_GB2312"/>
          <w:bCs/>
          <w:color w:val="auto"/>
          <w:kern w:val="0"/>
          <w:sz w:val="28"/>
          <w:szCs w:val="28"/>
        </w:rPr>
        <w:t>15</w:t>
      </w:r>
      <w:r>
        <w:rPr>
          <w:rFonts w:hint="eastAsia" w:eastAsia="仿宋_GB2312"/>
          <w:color w:val="auto"/>
          <w:sz w:val="28"/>
        </w:rPr>
        <w:t>个村庄进行配水管网更换；新建</w:t>
      </w:r>
      <w:r>
        <w:rPr>
          <w:rFonts w:hint="eastAsia" w:ascii="Times New Roman" w:hAnsi="Times New Roman" w:eastAsia="仿宋" w:cs="仿宋_GB2312"/>
          <w:bCs/>
          <w:color w:val="auto"/>
          <w:kern w:val="0"/>
          <w:sz w:val="28"/>
          <w:szCs w:val="28"/>
        </w:rPr>
        <w:t>100m</w:t>
      </w:r>
      <w:r>
        <w:rPr>
          <w:rFonts w:hint="eastAsia" w:ascii="Times New Roman" w:hAnsi="Times New Roman" w:eastAsia="仿宋" w:cs="仿宋_GB2312"/>
          <w:bCs/>
          <w:color w:val="auto"/>
          <w:kern w:val="0"/>
          <w:sz w:val="28"/>
          <w:szCs w:val="28"/>
          <w:vertAlign w:val="superscript"/>
        </w:rPr>
        <w:t>3</w:t>
      </w:r>
      <w:r>
        <w:rPr>
          <w:rFonts w:hint="eastAsia" w:ascii="Times New Roman" w:hAnsi="Times New Roman" w:eastAsia="仿宋"/>
          <w:bCs/>
          <w:color w:val="auto"/>
          <w:kern w:val="0"/>
          <w:sz w:val="28"/>
          <w:szCs w:val="28"/>
        </w:rPr>
        <w:t>水</w:t>
      </w:r>
      <w:r>
        <w:rPr>
          <w:rFonts w:hint="eastAsia" w:eastAsia="仿宋_GB2312"/>
          <w:color w:val="auto"/>
          <w:sz w:val="28"/>
        </w:rPr>
        <w:t>池</w:t>
      </w:r>
      <w:r>
        <w:rPr>
          <w:rFonts w:hint="eastAsia" w:ascii="Times New Roman" w:hAnsi="Times New Roman" w:eastAsia="仿宋" w:cs="仿宋_GB2312"/>
          <w:bCs/>
          <w:color w:val="auto"/>
          <w:kern w:val="0"/>
          <w:sz w:val="28"/>
          <w:szCs w:val="28"/>
        </w:rPr>
        <w:t>4</w:t>
      </w:r>
      <w:r>
        <w:rPr>
          <w:rFonts w:hint="eastAsia" w:eastAsia="仿宋_GB2312"/>
          <w:color w:val="auto"/>
          <w:sz w:val="28"/>
        </w:rPr>
        <w:t>座，</w:t>
      </w:r>
      <w:r>
        <w:rPr>
          <w:rFonts w:hint="eastAsia" w:ascii="Times New Roman" w:hAnsi="Times New Roman" w:eastAsia="仿宋" w:cs="仿宋_GB2312"/>
          <w:bCs/>
          <w:color w:val="auto"/>
          <w:kern w:val="0"/>
          <w:sz w:val="28"/>
          <w:szCs w:val="28"/>
        </w:rPr>
        <w:t>200m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w:t>
      </w:r>
      <w:r>
        <w:rPr>
          <w:rFonts w:hint="eastAsia" w:ascii="Times New Roman" w:hAnsi="Times New Roman" w:eastAsia="仿宋" w:cs="仿宋_GB2312"/>
          <w:bCs/>
          <w:color w:val="auto"/>
          <w:kern w:val="0"/>
          <w:sz w:val="28"/>
          <w:szCs w:val="28"/>
        </w:rPr>
        <w:t>500m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座。新建</w:t>
      </w:r>
      <w:r>
        <w:rPr>
          <w:rFonts w:hint="eastAsia" w:ascii="Times New Roman" w:hAnsi="Times New Roman" w:eastAsia="仿宋" w:cs="仿宋_GB2312"/>
          <w:bCs/>
          <w:color w:val="auto"/>
          <w:kern w:val="0"/>
          <w:sz w:val="28"/>
          <w:szCs w:val="28"/>
        </w:rPr>
        <w:t>10</w:t>
      </w:r>
      <w:r>
        <w:rPr>
          <w:rFonts w:hint="eastAsia" w:eastAsia="仿宋_GB2312"/>
          <w:color w:val="auto"/>
          <w:sz w:val="28"/>
        </w:rPr>
        <w:t>座管道泵泵房，</w:t>
      </w:r>
      <w:r>
        <w:rPr>
          <w:rFonts w:hint="eastAsia" w:ascii="Times New Roman" w:hAnsi="Times New Roman" w:eastAsia="仿宋" w:cs="仿宋_GB2312"/>
          <w:bCs/>
          <w:color w:val="auto"/>
          <w:kern w:val="0"/>
          <w:sz w:val="28"/>
          <w:szCs w:val="28"/>
        </w:rPr>
        <w:t>2</w:t>
      </w:r>
      <w:r>
        <w:rPr>
          <w:rFonts w:hint="eastAsia" w:eastAsia="仿宋_GB2312"/>
          <w:color w:val="auto"/>
          <w:sz w:val="28"/>
        </w:rPr>
        <w:t>座离心泵泵房。</w:t>
      </w:r>
    </w:p>
    <w:p w14:paraId="4E813DAB">
      <w:pPr>
        <w:snapToGrid w:val="0"/>
        <w:spacing w:line="360" w:lineRule="auto"/>
        <w:ind w:firstLine="560" w:firstLineChars="200"/>
        <w:rPr>
          <w:rFonts w:eastAsia="仿宋_GB2312"/>
          <w:color w:val="auto"/>
          <w:sz w:val="28"/>
        </w:rPr>
      </w:pPr>
      <w:r>
        <w:rPr>
          <w:rFonts w:hint="eastAsia" w:eastAsia="仿宋_GB2312"/>
          <w:color w:val="auto"/>
          <w:sz w:val="28"/>
        </w:rPr>
        <w:t>工程效益：解决</w:t>
      </w:r>
      <w:r>
        <w:rPr>
          <w:rFonts w:hint="eastAsia" w:ascii="Times New Roman" w:hAnsi="Times New Roman" w:eastAsia="仿宋_GB2312" w:cs="仿宋_GB2312"/>
          <w:color w:val="auto"/>
          <w:sz w:val="28"/>
        </w:rPr>
        <w:t>25000</w:t>
      </w:r>
      <w:r>
        <w:rPr>
          <w:rFonts w:hint="eastAsia" w:eastAsia="仿宋_GB2312"/>
          <w:color w:val="auto"/>
          <w:sz w:val="28"/>
        </w:rPr>
        <w:t>人口的用水问题。</w:t>
      </w:r>
    </w:p>
    <w:p w14:paraId="56604461">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D94511C">
      <w:pPr>
        <w:pStyle w:val="2"/>
        <w:numPr>
          <w:ilvl w:val="0"/>
          <w:numId w:val="5"/>
        </w:numPr>
        <w:ind w:firstLine="560"/>
        <w:rPr>
          <w:rFonts w:eastAsia="仿宋_GB2312"/>
          <w:bCs/>
          <w:color w:val="auto"/>
          <w:kern w:val="44"/>
          <w:sz w:val="28"/>
          <w:szCs w:val="36"/>
        </w:rPr>
      </w:pPr>
      <w:r>
        <w:rPr>
          <w:rFonts w:hint="eastAsia" w:eastAsia="仿宋_GB2312"/>
          <w:bCs/>
          <w:color w:val="auto"/>
          <w:kern w:val="44"/>
          <w:sz w:val="28"/>
          <w:szCs w:val="36"/>
        </w:rPr>
        <w:t>湾则水库供水工程</w:t>
      </w:r>
    </w:p>
    <w:p w14:paraId="69FB2D3C">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下</w:t>
      </w:r>
      <w:r>
        <w:rPr>
          <w:rFonts w:hint="eastAsia" w:ascii="Times New Roman" w:hAnsi="Times New Roman" w:eastAsia="仿宋_GB2312"/>
          <w:bCs/>
          <w:color w:val="auto"/>
          <w:kern w:val="44"/>
          <w:sz w:val="28"/>
          <w:szCs w:val="36"/>
        </w:rPr>
        <w:t>湾则</w:t>
      </w:r>
      <w:r>
        <w:rPr>
          <w:rFonts w:hint="eastAsia" w:eastAsia="仿宋_GB2312"/>
          <w:bCs/>
          <w:color w:val="auto"/>
          <w:kern w:val="44"/>
          <w:sz w:val="28"/>
          <w:szCs w:val="36"/>
        </w:rPr>
        <w:t>村</w:t>
      </w:r>
    </w:p>
    <w:p w14:paraId="35C44B37">
      <w:pPr>
        <w:autoSpaceDE w:val="0"/>
        <w:autoSpaceDN w:val="0"/>
        <w:adjustRightInd w:val="0"/>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盘活湾则水库置换优质水源。新建湾则水库湾则至东大煤矿、里必煤矿、河头煤矿三条供水管道，为其提供工业用水的同时，覆盖管道沿线的除尘绿化用水。年供水量</w:t>
      </w:r>
      <w:r>
        <w:rPr>
          <w:rFonts w:hint="eastAsia" w:ascii="Times New Roman" w:hAnsi="Times New Roman" w:eastAsia="仿宋_GB2312" w:cs="仿宋_GB2312"/>
          <w:color w:val="auto"/>
          <w:sz w:val="28"/>
        </w:rPr>
        <w:t>2000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（为工业供水和灌溉供水，非生活用水，不计入新增水量）。</w:t>
      </w:r>
    </w:p>
    <w:p w14:paraId="6FE650CF">
      <w:pPr>
        <w:autoSpaceDE w:val="0"/>
        <w:autoSpaceDN w:val="0"/>
        <w:adjustRightInd w:val="0"/>
        <w:snapToGrid w:val="0"/>
        <w:spacing w:line="360" w:lineRule="auto"/>
        <w:ind w:firstLine="560" w:firstLineChars="200"/>
        <w:rPr>
          <w:rFonts w:hint="eastAsia"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5</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AF67595">
      <w:pPr>
        <w:pStyle w:val="2"/>
        <w:numPr>
          <w:ilvl w:val="0"/>
          <w:numId w:val="5"/>
        </w:numPr>
        <w:ind w:left="0" w:leftChars="0" w:firstLine="560" w:firstLineChars="200"/>
        <w:rPr>
          <w:rFonts w:hint="eastAsia" w:eastAsia="仿宋_GB2312"/>
          <w:bCs/>
          <w:color w:val="0000FF"/>
          <w:kern w:val="44"/>
          <w:sz w:val="28"/>
          <w:szCs w:val="36"/>
          <w:lang w:val="en-US" w:eastAsia="zh-CN"/>
        </w:rPr>
      </w:pPr>
      <w:r>
        <w:rPr>
          <w:rFonts w:hint="eastAsia" w:eastAsia="仿宋_GB2312"/>
          <w:bCs/>
          <w:color w:val="0000FF"/>
          <w:kern w:val="44"/>
          <w:sz w:val="28"/>
          <w:szCs w:val="36"/>
          <w:lang w:val="en-US" w:eastAsia="zh-CN"/>
        </w:rPr>
        <w:t>沁水县县城第三水厂二期项目建设工程</w:t>
      </w:r>
    </w:p>
    <w:p w14:paraId="076956B0">
      <w:pPr>
        <w:snapToGrid w:val="0"/>
        <w:spacing w:line="360" w:lineRule="auto"/>
        <w:ind w:firstLine="560" w:firstLineChars="200"/>
        <w:rPr>
          <w:rFonts w:eastAsia="仿宋_GB2312"/>
          <w:color w:val="0000FF"/>
          <w:sz w:val="28"/>
        </w:rPr>
      </w:pPr>
      <w:r>
        <w:rPr>
          <w:rFonts w:eastAsia="仿宋_GB2312"/>
          <w:color w:val="0000FF"/>
          <w:sz w:val="28"/>
        </w:rPr>
        <w:t>建设地点：</w:t>
      </w:r>
      <w:r>
        <w:rPr>
          <w:rFonts w:hint="eastAsia" w:eastAsia="仿宋_GB2312"/>
          <w:bCs/>
          <w:color w:val="0000FF"/>
          <w:kern w:val="44"/>
          <w:sz w:val="28"/>
          <w:szCs w:val="36"/>
          <w:lang w:val="en-US" w:eastAsia="zh-CN"/>
        </w:rPr>
        <w:t>沁水县县城</w:t>
      </w:r>
    </w:p>
    <w:p w14:paraId="6CDBACEB">
      <w:pPr>
        <w:snapToGrid w:val="0"/>
        <w:spacing w:line="360" w:lineRule="auto"/>
        <w:ind w:firstLine="560" w:firstLineChars="200"/>
        <w:rPr>
          <w:rFonts w:eastAsia="仿宋_GB2312"/>
          <w:color w:val="0000FF"/>
          <w:sz w:val="28"/>
        </w:rPr>
      </w:pPr>
      <w:r>
        <w:rPr>
          <w:rFonts w:eastAsia="仿宋_GB2312"/>
          <w:color w:val="0000FF"/>
          <w:sz w:val="28"/>
        </w:rPr>
        <w:t>建设内容：</w:t>
      </w:r>
      <w:r>
        <w:rPr>
          <w:rFonts w:hint="eastAsia" w:eastAsia="仿宋_GB2312"/>
          <w:color w:val="0000FF"/>
          <w:sz w:val="28"/>
        </w:rPr>
        <w:t>新建张峰一级泵站浮船泵站工程、张峰泵站水源地保护及管理配套工程、智慧化生产调度中心平台工程、县城周边区域供水管网延伸工程。</w:t>
      </w:r>
    </w:p>
    <w:p w14:paraId="189F16BD">
      <w:pPr>
        <w:snapToGrid w:val="0"/>
        <w:spacing w:line="360" w:lineRule="auto"/>
        <w:ind w:firstLine="560" w:firstLineChars="200"/>
        <w:rPr>
          <w:rFonts w:hint="eastAsia" w:eastAsia="仿宋_GB2312"/>
          <w:color w:val="0000FF"/>
          <w:sz w:val="28"/>
          <w:lang w:val="en-US" w:eastAsia="zh-CN"/>
        </w:rPr>
      </w:pPr>
      <w:r>
        <w:rPr>
          <w:rFonts w:eastAsia="仿宋_GB2312"/>
          <w:color w:val="0000FF"/>
          <w:sz w:val="28"/>
        </w:rPr>
        <w:t>工程投资：</w:t>
      </w:r>
      <w:r>
        <w:rPr>
          <w:rFonts w:hint="eastAsia" w:eastAsia="仿宋_GB2312"/>
          <w:color w:val="0000FF"/>
          <w:sz w:val="28"/>
        </w:rPr>
        <w:t>总投资</w:t>
      </w:r>
      <w:r>
        <w:rPr>
          <w:rFonts w:hint="eastAsia" w:ascii="Times New Roman" w:hAnsi="Times New Roman" w:eastAsia="仿宋_GB2312"/>
          <w:bCs/>
          <w:color w:val="0000FF"/>
          <w:sz w:val="28"/>
          <w:szCs w:val="28"/>
          <w:lang w:val="en-US" w:eastAsia="zh-CN"/>
        </w:rPr>
        <w:t>1.04</w:t>
      </w:r>
      <w:r>
        <w:rPr>
          <w:rFonts w:hint="eastAsia" w:ascii="Times New Roman" w:hAnsi="Times New Roman" w:eastAsia="仿宋_GB2312"/>
          <w:bCs/>
          <w:color w:val="0000FF"/>
          <w:sz w:val="28"/>
          <w:szCs w:val="28"/>
        </w:rPr>
        <w:t>亿</w:t>
      </w:r>
      <w:r>
        <w:rPr>
          <w:rFonts w:eastAsia="仿宋_GB2312"/>
          <w:bCs/>
          <w:color w:val="0000FF"/>
          <w:kern w:val="44"/>
          <w:sz w:val="28"/>
          <w:szCs w:val="36"/>
        </w:rPr>
        <w:t>元</w:t>
      </w:r>
      <w:r>
        <w:rPr>
          <w:rFonts w:hint="eastAsia" w:eastAsia="仿宋_GB2312"/>
          <w:bCs/>
          <w:color w:val="0000FF"/>
          <w:kern w:val="44"/>
          <w:sz w:val="28"/>
          <w:szCs w:val="36"/>
        </w:rPr>
        <w:t>。</w:t>
      </w:r>
    </w:p>
    <w:p w14:paraId="4DCBA356">
      <w:pPr>
        <w:pStyle w:val="8"/>
        <w:rPr>
          <w:color w:val="auto"/>
        </w:rPr>
      </w:pPr>
      <w:bookmarkStart w:id="243" w:name="_Toc2610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新建蓄水工程</w:t>
      </w:r>
      <w:bookmarkEnd w:id="243"/>
    </w:p>
    <w:p w14:paraId="5FF0C999">
      <w:pPr>
        <w:numPr>
          <w:ilvl w:val="0"/>
          <w:numId w:val="0"/>
        </w:numPr>
        <w:snapToGrid w:val="0"/>
        <w:spacing w:line="360" w:lineRule="auto"/>
        <w:ind w:firstLine="560" w:firstLineChars="200"/>
        <w:rPr>
          <w:rFonts w:hint="eastAsia" w:eastAsia="仿宋_GB2312"/>
          <w:bCs/>
          <w:color w:val="auto"/>
          <w:kern w:val="44"/>
          <w:sz w:val="28"/>
          <w:szCs w:val="28"/>
        </w:rPr>
        <w:sectPr>
          <w:pgSz w:w="11906" w:h="16838"/>
          <w:pgMar w:top="1531" w:right="1247" w:bottom="1247" w:left="1417" w:header="850" w:footer="992" w:gutter="0"/>
          <w:pgNumType w:fmt="numberInDash"/>
          <w:cols w:space="720" w:num="1"/>
          <w:docGrid w:type="lines" w:linePitch="312" w:charSpace="0"/>
        </w:sectPr>
      </w:pPr>
      <w:r>
        <w:rPr>
          <w:rFonts w:hint="eastAsia" w:eastAsia="仿宋_GB2312"/>
          <w:color w:val="auto"/>
          <w:sz w:val="28"/>
          <w:szCs w:val="28"/>
        </w:rPr>
        <w:t>“十四五”时期，我县规划建设新建蓄水工程</w:t>
      </w:r>
      <w:r>
        <w:rPr>
          <w:rFonts w:hint="eastAsia" w:eastAsia="仿宋_GB2312"/>
          <w:color w:val="auto"/>
          <w:sz w:val="28"/>
          <w:szCs w:val="28"/>
          <w:lang w:val="en-US" w:eastAsia="zh-CN"/>
        </w:rPr>
        <w:t>1处，</w:t>
      </w:r>
      <w:r>
        <w:rPr>
          <w:rFonts w:hint="eastAsia" w:eastAsia="仿宋_GB2312"/>
          <w:color w:val="auto"/>
          <w:sz w:val="28"/>
          <w:szCs w:val="28"/>
        </w:rPr>
        <w:t>沁水县必底河及配套供水工程（此为跨五年规划储备项目）</w:t>
      </w:r>
      <w:r>
        <w:rPr>
          <w:rFonts w:hint="eastAsia" w:eastAsia="仿宋_GB2312"/>
          <w:color w:val="auto"/>
          <w:sz w:val="28"/>
          <w:szCs w:val="28"/>
          <w:lang w:eastAsia="zh-CN"/>
        </w:rPr>
        <w:t>。</w:t>
      </w:r>
      <w:r>
        <w:rPr>
          <w:rFonts w:eastAsia="仿宋_GB2312"/>
          <w:color w:val="auto"/>
          <w:sz w:val="28"/>
          <w:szCs w:val="28"/>
        </w:rPr>
        <w:t>建设地点：</w:t>
      </w:r>
      <w:r>
        <w:rPr>
          <w:rFonts w:hint="eastAsia" w:eastAsia="仿宋_GB2312"/>
          <w:bCs/>
          <w:color w:val="auto"/>
          <w:kern w:val="44"/>
          <w:sz w:val="28"/>
          <w:szCs w:val="28"/>
        </w:rPr>
        <w:t>端氏镇林村</w:t>
      </w:r>
      <w:r>
        <w:rPr>
          <w:rFonts w:hint="eastAsia" w:eastAsia="仿宋_GB2312"/>
          <w:bCs/>
          <w:color w:val="auto"/>
          <w:kern w:val="44"/>
          <w:sz w:val="28"/>
          <w:szCs w:val="28"/>
          <w:lang w:eastAsia="zh-CN"/>
        </w:rPr>
        <w:t>。</w:t>
      </w:r>
      <w:r>
        <w:rPr>
          <w:rFonts w:eastAsia="仿宋_GB2312"/>
          <w:color w:val="auto"/>
          <w:sz w:val="28"/>
          <w:szCs w:val="28"/>
        </w:rPr>
        <w:t>建设内容：</w:t>
      </w:r>
      <w:r>
        <w:rPr>
          <w:rFonts w:hint="eastAsia" w:eastAsia="仿宋_GB2312"/>
          <w:color w:val="auto"/>
          <w:sz w:val="28"/>
          <w:szCs w:val="28"/>
        </w:rPr>
        <w:t xml:space="preserve">新建必底河水库拦河坝一座，铺设输配水管道 </w:t>
      </w:r>
      <w:r>
        <w:rPr>
          <w:rFonts w:hint="eastAsia" w:ascii="Times New Roman" w:hAnsi="Times New Roman" w:eastAsia="仿宋_GB2312"/>
          <w:color w:val="auto"/>
          <w:sz w:val="28"/>
          <w:szCs w:val="28"/>
        </w:rPr>
        <w:t>9</w:t>
      </w:r>
      <w:r>
        <w:rPr>
          <w:rFonts w:hint="eastAsia" w:eastAsia="仿宋_GB2312"/>
          <w:color w:val="auto"/>
          <w:sz w:val="28"/>
          <w:szCs w:val="28"/>
        </w:rPr>
        <w:t>.</w:t>
      </w:r>
      <w:r>
        <w:rPr>
          <w:rFonts w:hint="eastAsia" w:ascii="Times New Roman" w:hAnsi="Times New Roman" w:eastAsia="仿宋_GB2312"/>
          <w:color w:val="auto"/>
          <w:sz w:val="28"/>
          <w:szCs w:val="28"/>
        </w:rPr>
        <w:t>8km</w:t>
      </w:r>
      <w:r>
        <w:rPr>
          <w:rFonts w:hint="eastAsia" w:eastAsia="仿宋_GB2312"/>
          <w:color w:val="auto"/>
          <w:sz w:val="28"/>
          <w:szCs w:val="28"/>
        </w:rPr>
        <w:t>。新建必底河水库一座，库容</w:t>
      </w:r>
      <w:r>
        <w:rPr>
          <w:rFonts w:hint="eastAsia" w:ascii="Times New Roman" w:hAnsi="Times New Roman" w:eastAsia="仿宋_GB2312"/>
          <w:color w:val="auto"/>
          <w:sz w:val="28"/>
          <w:szCs w:val="28"/>
        </w:rPr>
        <w:t>137</w:t>
      </w:r>
      <w:r>
        <w:rPr>
          <w:rFonts w:hint="eastAsia" w:eastAsia="仿宋_GB2312"/>
          <w:color w:val="auto"/>
          <w:sz w:val="28"/>
          <w:szCs w:val="28"/>
        </w:rPr>
        <w:t>.</w:t>
      </w:r>
      <w:r>
        <w:rPr>
          <w:rFonts w:hint="eastAsia" w:ascii="Times New Roman" w:hAnsi="Times New Roman" w:eastAsia="仿宋_GB2312"/>
          <w:color w:val="auto"/>
          <w:sz w:val="28"/>
          <w:szCs w:val="28"/>
        </w:rPr>
        <w:t>9</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³；供水工程年供水量</w:t>
      </w:r>
      <w:r>
        <w:rPr>
          <w:rFonts w:hint="eastAsia" w:ascii="Times New Roman" w:hAnsi="Times New Roman" w:eastAsia="仿宋_GB2312"/>
          <w:color w:val="auto"/>
          <w:sz w:val="28"/>
          <w:szCs w:val="28"/>
        </w:rPr>
        <w:t>202</w:t>
      </w:r>
      <w:r>
        <w:rPr>
          <w:rFonts w:hint="eastAsia" w:eastAsia="仿宋_GB2312"/>
          <w:color w:val="auto"/>
          <w:sz w:val="28"/>
          <w:szCs w:val="28"/>
        </w:rPr>
        <w:t>.</w:t>
      </w:r>
      <w:r>
        <w:rPr>
          <w:rFonts w:hint="eastAsia" w:ascii="Times New Roman" w:hAnsi="Times New Roman" w:eastAsia="仿宋_GB2312"/>
          <w:color w:val="auto"/>
          <w:sz w:val="28"/>
          <w:szCs w:val="28"/>
        </w:rPr>
        <w:t>4</w:t>
      </w:r>
      <w:r>
        <w:rPr>
          <w:rFonts w:hint="eastAsia" w:eastAsia="仿宋_GB2312"/>
          <w:color w:val="auto"/>
          <w:sz w:val="28"/>
          <w:szCs w:val="28"/>
        </w:rPr>
        <w:t xml:space="preserve"> 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50</w:t>
      </w:r>
      <w:r>
        <w:rPr>
          <w:rFonts w:hint="eastAsia" w:eastAsia="仿宋_GB2312"/>
          <w:color w:val="auto"/>
          <w:sz w:val="28"/>
          <w:szCs w:val="28"/>
        </w:rPr>
        <w:t>%保证率），</w:t>
      </w:r>
      <w:r>
        <w:rPr>
          <w:rFonts w:hint="eastAsia" w:ascii="Times New Roman" w:hAnsi="Times New Roman" w:eastAsia="仿宋_GB2312"/>
          <w:color w:val="auto"/>
          <w:sz w:val="28"/>
          <w:szCs w:val="28"/>
        </w:rPr>
        <w:t>96</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95</w:t>
      </w:r>
      <w:r>
        <w:rPr>
          <w:rFonts w:hint="eastAsia" w:eastAsia="仿宋_GB2312"/>
          <w:color w:val="auto"/>
          <w:sz w:val="28"/>
          <w:szCs w:val="28"/>
        </w:rPr>
        <w:t>%保证率）。</w:t>
      </w:r>
      <w:r>
        <w:rPr>
          <w:rFonts w:eastAsia="仿宋_GB2312"/>
          <w:color w:val="auto"/>
          <w:sz w:val="28"/>
          <w:szCs w:val="28"/>
        </w:rPr>
        <w:t>工程投资：</w:t>
      </w:r>
      <w:r>
        <w:rPr>
          <w:rFonts w:hint="eastAsia" w:eastAsia="仿宋_GB2312"/>
          <w:color w:val="auto"/>
          <w:sz w:val="28"/>
          <w:szCs w:val="28"/>
        </w:rPr>
        <w:t>总投资</w:t>
      </w:r>
      <w:r>
        <w:rPr>
          <w:rFonts w:hint="eastAsia" w:ascii="Times New Roman" w:hAnsi="Times New Roman" w:eastAsia="仿宋_GB2312" w:cs="仿宋_GB2312"/>
          <w:bCs/>
          <w:color w:val="auto"/>
          <w:sz w:val="28"/>
          <w:szCs w:val="28"/>
          <w:lang w:val="en-US" w:eastAsia="zh-CN"/>
        </w:rPr>
        <w:t>1.7757</w:t>
      </w:r>
      <w:r>
        <w:rPr>
          <w:rFonts w:hint="eastAsia" w:ascii="Times New Roman" w:hAnsi="Times New Roman" w:eastAsia="仿宋"/>
          <w:bCs/>
          <w:color w:val="auto"/>
          <w:kern w:val="0"/>
          <w:sz w:val="28"/>
          <w:szCs w:val="28"/>
        </w:rPr>
        <w:t>亿</w:t>
      </w:r>
      <w:r>
        <w:rPr>
          <w:rFonts w:eastAsia="仿宋_GB2312"/>
          <w:bCs/>
          <w:color w:val="auto"/>
          <w:kern w:val="44"/>
          <w:sz w:val="28"/>
          <w:szCs w:val="28"/>
        </w:rPr>
        <w:t>元</w:t>
      </w:r>
      <w:r>
        <w:rPr>
          <w:rFonts w:hint="eastAsia" w:eastAsia="仿宋_GB2312"/>
          <w:bCs/>
          <w:color w:val="auto"/>
          <w:kern w:val="44"/>
          <w:sz w:val="28"/>
          <w:szCs w:val="28"/>
        </w:rPr>
        <w:t>。</w:t>
      </w:r>
    </w:p>
    <w:p w14:paraId="378D069B">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8804275" cy="6069330"/>
            <wp:effectExtent l="0" t="0" r="15875" b="7620"/>
            <wp:docPr id="9" name="图片 9" descr="C:/Users/hp/AppData/Local/Temp/picturecompress_202108111127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p/AppData/Local/Temp/picturecompress_20210811112744/output_1.jpgoutput_1"/>
                    <pic:cNvPicPr>
                      <a:picLocks noChangeAspect="1"/>
                    </pic:cNvPicPr>
                  </pic:nvPicPr>
                  <pic:blipFill>
                    <a:blip r:embed="rId16"/>
                    <a:stretch>
                      <a:fillRect/>
                    </a:stretch>
                  </pic:blipFill>
                  <pic:spPr>
                    <a:xfrm>
                      <a:off x="0" y="0"/>
                      <a:ext cx="8804275" cy="6069330"/>
                    </a:xfrm>
                    <a:prstGeom prst="rect">
                      <a:avLst/>
                    </a:prstGeom>
                  </pic:spPr>
                </pic:pic>
              </a:graphicData>
            </a:graphic>
          </wp:inline>
        </w:drawing>
      </w:r>
    </w:p>
    <w:p w14:paraId="45B7F1DF">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59850" cy="5540375"/>
            <wp:effectExtent l="0" t="0" r="12700" b="3175"/>
            <wp:docPr id="11" name="图片 11" descr="新建供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建供水工程"/>
                    <pic:cNvPicPr>
                      <a:picLocks noChangeAspect="1"/>
                    </pic:cNvPicPr>
                  </pic:nvPicPr>
                  <pic:blipFill>
                    <a:blip r:embed="rId17"/>
                    <a:stretch>
                      <a:fillRect/>
                    </a:stretch>
                  </pic:blipFill>
                  <pic:spPr>
                    <a:xfrm>
                      <a:off x="0" y="0"/>
                      <a:ext cx="8959850" cy="5540375"/>
                    </a:xfrm>
                    <a:prstGeom prst="rect">
                      <a:avLst/>
                    </a:prstGeom>
                  </pic:spPr>
                </pic:pic>
              </a:graphicData>
            </a:graphic>
          </wp:inline>
        </w:drawing>
      </w:r>
      <w:r>
        <w:rPr>
          <w:rFonts w:hint="eastAsia" w:eastAsia="宋体"/>
          <w:color w:val="auto"/>
          <w:lang w:eastAsia="zh-CN"/>
        </w:rPr>
        <w:drawing>
          <wp:inline distT="0" distB="0" distL="114300" distR="114300">
            <wp:extent cx="8946515" cy="5490210"/>
            <wp:effectExtent l="0" t="0" r="6985" b="15240"/>
            <wp:docPr id="10" name="图片 10" descr="D:\设计\沁水县“十四五”\新建蓄水工程--.png新建蓄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设计\沁水县“十四五”\新建蓄水工程--.png新建蓄水工程--"/>
                    <pic:cNvPicPr>
                      <a:picLocks noChangeAspect="1"/>
                    </pic:cNvPicPr>
                  </pic:nvPicPr>
                  <pic:blipFill>
                    <a:blip r:embed="rId18"/>
                    <a:srcRect/>
                    <a:stretch>
                      <a:fillRect/>
                    </a:stretch>
                  </pic:blipFill>
                  <pic:spPr>
                    <a:xfrm>
                      <a:off x="0" y="0"/>
                      <a:ext cx="8946515" cy="5490210"/>
                    </a:xfrm>
                    <a:prstGeom prst="rect">
                      <a:avLst/>
                    </a:prstGeom>
                  </pic:spPr>
                </pic:pic>
              </a:graphicData>
            </a:graphic>
          </wp:inline>
        </w:drawing>
      </w:r>
    </w:p>
    <w:p w14:paraId="0302E10D">
      <w:pPr>
        <w:pStyle w:val="6"/>
        <w:jc w:val="center"/>
        <w:rPr>
          <w:rFonts w:eastAsia="宋体" w:cs="Times New Roman"/>
          <w:color w:val="auto"/>
        </w:rPr>
      </w:pPr>
      <w:bookmarkStart w:id="244" w:name="_Toc15825"/>
      <w:bookmarkStart w:id="245" w:name="_Toc10891"/>
      <w:bookmarkStart w:id="246" w:name="_Toc5434"/>
      <w:bookmarkStart w:id="247" w:name="_Toc6133"/>
      <w:r>
        <w:rPr>
          <w:rFonts w:hint="eastAsia" w:eastAsia="宋体" w:cs="Times New Roman"/>
          <w:color w:val="auto"/>
        </w:rPr>
        <w:t>第五章  水生态修复与保护</w:t>
      </w:r>
      <w:bookmarkEnd w:id="244"/>
      <w:bookmarkEnd w:id="245"/>
      <w:bookmarkEnd w:id="246"/>
      <w:bookmarkEnd w:id="247"/>
    </w:p>
    <w:p w14:paraId="6E333C4C">
      <w:pPr>
        <w:adjustRightInd w:val="0"/>
        <w:snapToGrid w:val="0"/>
        <w:spacing w:line="360" w:lineRule="auto"/>
        <w:ind w:firstLine="560" w:firstLineChars="200"/>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p>
    <w:p w14:paraId="46DCAB15">
      <w:pPr>
        <w:adjustRightInd w:val="0"/>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建立健全河道管理长效机制为抓手，牢固树立绿水青山就是金山银山的理念，发扬“右玉”精神，进一步明晰河湖管理范围和水域岸线功能，按照“严保护、重治理、提质量”的思路，提升水生态系统质量和稳定性，通过“清四乱”常态化、规范化加大河道保护修复和水环境综合治理力度，扎实开展沁河及其重要支流大治理等工作，多措并举，全面规范河道管理，建设造福人民的幸福河。</w:t>
      </w:r>
    </w:p>
    <w:p w14:paraId="0775B601">
      <w:pPr>
        <w:pStyle w:val="2"/>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十四五</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期间，拟规划黄河流域沁河段水环境质量改善项目，完善沁河水电站生态基流改造、水库水雨情测报系统建设和涧河河道治理工程。</w:t>
      </w:r>
    </w:p>
    <w:p w14:paraId="484D2ED5">
      <w:pPr>
        <w:adjustRightInd w:val="0"/>
        <w:snapToGrid w:val="0"/>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“十四五”期间，对沁河</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条（段）河流进行治理，总投资</w:t>
      </w:r>
      <w:r>
        <w:rPr>
          <w:rFonts w:hint="eastAsia" w:ascii="Times New Roman" w:hAnsi="Times New Roman" w:eastAsia="仿宋_GB2312" w:cs="仿宋_GB2312"/>
          <w:color w:val="auto"/>
          <w:sz w:val="28"/>
          <w:szCs w:val="28"/>
        </w:rPr>
        <w:t>19.114</w:t>
      </w:r>
      <w:r>
        <w:rPr>
          <w:rFonts w:hint="eastAsia" w:ascii="仿宋_GB2312" w:hAnsi="仿宋_GB2312" w:eastAsia="仿宋_GB2312" w:cs="仿宋_GB2312"/>
          <w:color w:val="auto"/>
          <w:sz w:val="28"/>
          <w:szCs w:val="28"/>
        </w:rPr>
        <w:t>亿元。其中：“十三五”期间完成投资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亿元，“十四五”还需投资</w:t>
      </w:r>
      <w:r>
        <w:rPr>
          <w:rFonts w:hint="eastAsia" w:ascii="Times New Roman" w:hAnsi="Times New Roman" w:eastAsia="仿宋_GB2312" w:cs="仿宋_GB2312"/>
          <w:color w:val="auto"/>
          <w:sz w:val="28"/>
          <w:szCs w:val="28"/>
        </w:rPr>
        <w:t>18.814</w:t>
      </w:r>
      <w:r>
        <w:rPr>
          <w:rFonts w:hint="eastAsia" w:ascii="仿宋_GB2312" w:hAnsi="仿宋_GB2312" w:eastAsia="仿宋_GB2312" w:cs="仿宋_GB2312"/>
          <w:color w:val="auto"/>
          <w:sz w:val="28"/>
          <w:szCs w:val="28"/>
        </w:rPr>
        <w:t>亿元。包括：沁河流域生态修复与保护</w:t>
      </w:r>
      <w:r>
        <w:rPr>
          <w:rFonts w:hint="eastAsia" w:ascii="Times New Roman" w:hAnsi="Times New Roman" w:eastAsia="仿宋_GB2312" w:cs="仿宋_GB2312"/>
          <w:color w:val="auto"/>
          <w:sz w:val="28"/>
          <w:szCs w:val="28"/>
        </w:rPr>
        <w:t>14.564</w:t>
      </w:r>
      <w:r>
        <w:rPr>
          <w:rFonts w:hint="eastAsia" w:ascii="仿宋_GB2312" w:hAnsi="仿宋_GB2312" w:eastAsia="仿宋_GB2312" w:cs="仿宋_GB2312"/>
          <w:color w:val="auto"/>
          <w:sz w:val="28"/>
          <w:szCs w:val="28"/>
        </w:rPr>
        <w:t>亿元；沁水县水系连通及水美乡村建设总投资</w:t>
      </w:r>
      <w:r>
        <w:rPr>
          <w:rFonts w:hint="eastAsia" w:ascii="Times New Roman" w:hAnsi="Times New Roman" w:eastAsia="仿宋_GB2312" w:cs="仿宋_GB2312"/>
          <w:color w:val="auto"/>
          <w:sz w:val="28"/>
          <w:szCs w:val="28"/>
          <w:lang w:val="en-US" w:eastAsia="zh-CN"/>
        </w:rPr>
        <w:t>3.6</w:t>
      </w:r>
      <w:r>
        <w:rPr>
          <w:rFonts w:hint="eastAsia" w:ascii="仿宋_GB2312" w:hAnsi="仿宋_GB2312" w:eastAsia="仿宋_GB2312" w:cs="仿宋_GB2312"/>
          <w:color w:val="auto"/>
          <w:sz w:val="28"/>
          <w:szCs w:val="28"/>
        </w:rPr>
        <w:t>亿元。汾河流域生态修复与保护工程总投资</w:t>
      </w:r>
      <w:r>
        <w:rPr>
          <w:rFonts w:hint="eastAsia" w:ascii="Times New Roman" w:hAnsi="Times New Roman" w:eastAsia="仿宋_GB2312" w:cs="仿宋_GB2312"/>
          <w:color w:val="auto"/>
          <w:sz w:val="28"/>
          <w:szCs w:val="28"/>
        </w:rPr>
        <w:t>4</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w:t>
      </w:r>
      <w:r>
        <w:rPr>
          <w:rFonts w:hint="eastAsia" w:ascii="仿宋_GB2312" w:hAnsi="仿宋_GB2312" w:eastAsia="仿宋_GB2312" w:cs="仿宋_GB2312"/>
          <w:color w:val="auto"/>
          <w:sz w:val="28"/>
          <w:szCs w:val="28"/>
        </w:rPr>
        <w:t>亿元。</w:t>
      </w:r>
    </w:p>
    <w:p w14:paraId="7F9DDEE7">
      <w:pPr>
        <w:pStyle w:val="7"/>
        <w:rPr>
          <w:color w:val="auto"/>
        </w:rPr>
      </w:pPr>
      <w:bookmarkStart w:id="248" w:name="_Toc7154"/>
      <w:bookmarkStart w:id="249" w:name="_Toc31032"/>
      <w:bookmarkStart w:id="250" w:name="_Toc27713"/>
      <w:bookmarkStart w:id="251" w:name="_Toc2302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 xml:space="preserve"> </w:t>
      </w:r>
      <w:bookmarkStart w:id="252" w:name="_Toc2104"/>
      <w:bookmarkStart w:id="253" w:name="_Toc22960"/>
      <w:bookmarkStart w:id="254" w:name="_Toc13760"/>
      <w:r>
        <w:rPr>
          <w:rFonts w:hint="eastAsia"/>
          <w:color w:val="auto"/>
        </w:rPr>
        <w:t>沁河</w:t>
      </w:r>
      <w:bookmarkEnd w:id="252"/>
      <w:bookmarkEnd w:id="253"/>
      <w:bookmarkEnd w:id="254"/>
      <w:r>
        <w:rPr>
          <w:rFonts w:hint="eastAsia"/>
          <w:color w:val="auto"/>
        </w:rPr>
        <w:t>流域</w:t>
      </w:r>
      <w:bookmarkEnd w:id="248"/>
      <w:bookmarkEnd w:id="249"/>
      <w:bookmarkEnd w:id="250"/>
      <w:r>
        <w:rPr>
          <w:rFonts w:hint="eastAsia"/>
          <w:color w:val="auto"/>
        </w:rPr>
        <w:t>生态修复与保护</w:t>
      </w:r>
      <w:bookmarkEnd w:id="251"/>
    </w:p>
    <w:p w14:paraId="2DA3F81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沁河流域沁水段生态保护与修复建设项目围绕“一带、双廊、三区段、多节点”规划展开，整体打造沁河百里风光带，其中融汇古堡文化博览、生态水系景观两条廊道建设理念，依托张峰水库优势打造高峡龙湖生态景观区段，依托郑庄镇农业优势打造观光农业生态景观区段，依托端氏、嘉峰、郑村镇历史文化优势打造古今人文荟萃景观区段，串连</w:t>
      </w:r>
      <w:r>
        <w:rPr>
          <w:rFonts w:ascii="Times New Roman" w:hAnsi="Times New Roman" w:eastAsia="仿宋" w:cs="仿宋_GB2312"/>
          <w:color w:val="auto"/>
          <w:sz w:val="28"/>
          <w:szCs w:val="28"/>
        </w:rPr>
        <w:t>5</w:t>
      </w:r>
      <w:r>
        <w:rPr>
          <w:rFonts w:hint="eastAsia" w:ascii="仿宋" w:hAnsi="仿宋" w:eastAsia="仿宋"/>
          <w:color w:val="auto"/>
          <w:sz w:val="28"/>
          <w:szCs w:val="28"/>
        </w:rPr>
        <w:t>个节点的生态修复。</w:t>
      </w:r>
    </w:p>
    <w:p w14:paraId="7CE0E79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建设地点为沁河流域沁水县境内郑庄、端氏、嘉峰镇</w:t>
      </w:r>
      <w:r>
        <w:rPr>
          <w:rFonts w:hint="eastAsia" w:ascii="Times New Roman" w:hAnsi="Times New Roman" w:eastAsia="仿宋" w:cs="仿宋_GB2312"/>
          <w:color w:val="auto"/>
          <w:sz w:val="28"/>
          <w:szCs w:val="28"/>
        </w:rPr>
        <w:t>3</w:t>
      </w:r>
      <w:r>
        <w:rPr>
          <w:rFonts w:hint="eastAsia" w:ascii="仿宋" w:hAnsi="仿宋" w:eastAsia="仿宋"/>
          <w:color w:val="auto"/>
          <w:sz w:val="28"/>
          <w:szCs w:val="28"/>
        </w:rPr>
        <w:t>个乡镇。建设内容：</w:t>
      </w:r>
      <w:r>
        <w:rPr>
          <w:rFonts w:hint="eastAsia" w:ascii="仿宋" w:hAnsi="仿宋" w:eastAsia="仿宋" w:cs="仿宋"/>
          <w:color w:val="auto"/>
          <w:sz w:val="28"/>
          <w:szCs w:val="28"/>
        </w:rPr>
        <w:t>新建</w:t>
      </w:r>
      <w:r>
        <w:rPr>
          <w:rFonts w:hint="eastAsia" w:ascii="Times New Roman" w:hAnsi="Times New Roman" w:eastAsia="仿宋_GB2312" w:cs="仿宋_GB2312"/>
          <w:bCs/>
          <w:color w:val="auto"/>
          <w:sz w:val="28"/>
          <w:szCs w:val="28"/>
        </w:rPr>
        <w:t>60.8km</w:t>
      </w:r>
      <w:r>
        <w:rPr>
          <w:rFonts w:hint="eastAsia" w:ascii="仿宋" w:hAnsi="仿宋" w:eastAsia="仿宋" w:cs="仿宋"/>
          <w:color w:val="auto"/>
          <w:sz w:val="28"/>
          <w:szCs w:val="28"/>
        </w:rPr>
        <w:t>沿河绿道，与已有交通系统整合衔接，从上游开始依次串联</w:t>
      </w:r>
      <w:r>
        <w:rPr>
          <w:rFonts w:hint="eastAsia" w:ascii="仿宋" w:hAnsi="仿宋" w:eastAsia="仿宋"/>
          <w:color w:val="auto"/>
          <w:sz w:val="28"/>
          <w:szCs w:val="28"/>
        </w:rPr>
        <w:t>张峰、南郎</w:t>
      </w:r>
      <w:r>
        <w:rPr>
          <w:rFonts w:hint="eastAsia" w:ascii="Times New Roman" w:hAnsi="Times New Roman" w:eastAsia="仿宋" w:cs="仿宋_GB2312"/>
          <w:color w:val="auto"/>
          <w:sz w:val="28"/>
          <w:szCs w:val="28"/>
        </w:rPr>
        <w:t>2</w:t>
      </w:r>
      <w:r>
        <w:rPr>
          <w:rFonts w:hint="eastAsia" w:ascii="仿宋" w:hAnsi="仿宋" w:eastAsia="仿宋"/>
          <w:color w:val="auto"/>
          <w:sz w:val="28"/>
          <w:szCs w:val="28"/>
        </w:rPr>
        <w:t>个湿</w:t>
      </w:r>
      <w:r>
        <w:rPr>
          <w:rFonts w:hint="eastAsia" w:ascii="Times New Roman" w:hAnsi="Times New Roman" w:eastAsia="仿宋"/>
          <w:color w:val="auto"/>
          <w:sz w:val="28"/>
          <w:szCs w:val="28"/>
        </w:rPr>
        <w:t>地</w:t>
      </w:r>
      <w:r>
        <w:rPr>
          <w:rFonts w:hint="eastAsia" w:ascii="Times New Roman" w:hAnsi="Times New Roman" w:eastAsia="仿宋" w:cs="仿宋_GB2312"/>
          <w:color w:val="auto"/>
          <w:sz w:val="28"/>
          <w:szCs w:val="28"/>
        </w:rPr>
        <w:t>14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eastAsia="仿宋_GB2312"/>
          <w:color w:val="auto"/>
          <w:sz w:val="28"/>
        </w:rPr>
        <w:t>万</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s="仿宋"/>
          <w:color w:val="auto"/>
          <w:sz w:val="28"/>
          <w:szCs w:val="28"/>
        </w:rPr>
        <w:t>；郑庄镇、端氏镇、窦庄古堡、树理广场（嘉峰镇树理中学旁）、武安</w:t>
      </w:r>
      <w:r>
        <w:rPr>
          <w:rFonts w:hint="eastAsia" w:ascii="Times New Roman" w:hAnsi="Times New Roman" w:eastAsia="仿宋" w:cs="仿宋_GB2312"/>
          <w:color w:val="auto"/>
          <w:sz w:val="28"/>
          <w:szCs w:val="28"/>
        </w:rPr>
        <w:t>5</w:t>
      </w:r>
      <w:r>
        <w:rPr>
          <w:rFonts w:hint="eastAsia" w:ascii="仿宋" w:hAnsi="仿宋" w:eastAsia="仿宋" w:cs="仿宋"/>
          <w:color w:val="auto"/>
          <w:sz w:val="28"/>
          <w:szCs w:val="28"/>
        </w:rPr>
        <w:t>个生态节点，</w:t>
      </w:r>
      <w:r>
        <w:rPr>
          <w:rFonts w:hint="eastAsia" w:ascii="仿宋" w:hAnsi="仿宋" w:eastAsia="仿宋"/>
          <w:color w:val="auto"/>
          <w:sz w:val="28"/>
          <w:szCs w:val="28"/>
        </w:rPr>
        <w:t>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olor w:val="auto"/>
          <w:sz w:val="28"/>
          <w:szCs w:val="28"/>
        </w:rPr>
        <w:t>，</w:t>
      </w:r>
      <w:r>
        <w:rPr>
          <w:rFonts w:hint="eastAsia" w:ascii="仿宋" w:hAnsi="仿宋" w:eastAsia="仿宋" w:cs="仿宋"/>
          <w:color w:val="auto"/>
          <w:sz w:val="28"/>
          <w:szCs w:val="28"/>
        </w:rPr>
        <w:t>建设内容主要包括：场地土方，浅滩湿地带，滨水码头，景观驿站，栈道，亲水平台，道路广场，护栏，标识系统，智慧路灯，公共厕所，分类垃圾箱，景观绿化及其他；</w:t>
      </w:r>
      <w:r>
        <w:rPr>
          <w:rFonts w:hint="eastAsia" w:eastAsia="仿宋_GB2312"/>
          <w:color w:val="auto"/>
          <w:sz w:val="28"/>
          <w:szCs w:val="28"/>
        </w:rPr>
        <w:t>嘉峰镇潘河、柿沟河、郑村河、马庄河、沙河、灰泉沟</w:t>
      </w:r>
      <w:r>
        <w:rPr>
          <w:rFonts w:hint="eastAsia" w:ascii="Times New Roman" w:hAnsi="Times New Roman" w:eastAsia="仿宋" w:cs="仿宋_GB2312"/>
          <w:color w:val="auto"/>
          <w:sz w:val="28"/>
          <w:szCs w:val="28"/>
        </w:rPr>
        <w:t>6</w:t>
      </w:r>
      <w:r>
        <w:rPr>
          <w:rFonts w:hint="eastAsia" w:eastAsia="仿宋_GB2312"/>
          <w:color w:val="auto"/>
          <w:sz w:val="28"/>
          <w:szCs w:val="28"/>
        </w:rPr>
        <w:t>条支流口生态综合治理</w:t>
      </w:r>
      <w:r>
        <w:rPr>
          <w:rFonts w:hint="eastAsia" w:ascii="仿宋" w:hAnsi="仿宋" w:eastAsia="仿宋"/>
          <w:color w:val="auto"/>
          <w:sz w:val="28"/>
          <w:szCs w:val="28"/>
        </w:rPr>
        <w:t>，共</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87</w:t>
      </w:r>
      <w:r>
        <w:rPr>
          <w:rFonts w:hint="eastAsia" w:ascii="Times New Roman" w:hAnsi="Times New Roman" w:eastAsia="仿宋_GB2312" w:cs="仿宋_GB2312"/>
          <w:bCs/>
          <w:color w:val="auto"/>
          <w:sz w:val="28"/>
          <w:szCs w:val="28"/>
        </w:rPr>
        <w:t>km</w:t>
      </w:r>
      <w:r>
        <w:rPr>
          <w:rFonts w:hint="eastAsia" w:ascii="仿宋" w:hAnsi="仿宋" w:eastAsia="仿宋"/>
          <w:color w:val="auto"/>
          <w:sz w:val="28"/>
          <w:szCs w:val="28"/>
        </w:rPr>
        <w:t>。</w:t>
      </w:r>
    </w:p>
    <w:p w14:paraId="06EE894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s="仿宋"/>
          <w:color w:val="auto"/>
          <w:sz w:val="28"/>
          <w:szCs w:val="28"/>
        </w:rPr>
        <w:t>具体项目如下：</w:t>
      </w:r>
    </w:p>
    <w:p w14:paraId="7B45A4CF">
      <w:pPr>
        <w:pStyle w:val="8"/>
        <w:rPr>
          <w:color w:val="auto"/>
        </w:rPr>
      </w:pPr>
      <w:bookmarkStart w:id="255" w:name="_Toc32114"/>
      <w:bookmarkStart w:id="256" w:name="_Toc16107"/>
      <w:bookmarkStart w:id="257" w:name="_Toc14803"/>
      <w:bookmarkStart w:id="258" w:name="_Toc14361"/>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新建工程</w:t>
      </w:r>
      <w:bookmarkEnd w:id="255"/>
      <w:bookmarkEnd w:id="256"/>
      <w:bookmarkEnd w:id="257"/>
      <w:bookmarkEnd w:id="258"/>
    </w:p>
    <w:p w14:paraId="2C251F22">
      <w:pPr>
        <w:adjustRightInd w:val="0"/>
        <w:snapToGrid w:val="0"/>
        <w:spacing w:line="360" w:lineRule="auto"/>
        <w:ind w:firstLine="560" w:firstLineChars="200"/>
        <w:rPr>
          <w:rFonts w:ascii="仿宋_GB2312" w:hAnsi="仿宋_GB2312" w:eastAsia="仿宋_GB2312" w:cs="仿宋_GB2312"/>
          <w:color w:val="auto"/>
          <w:sz w:val="28"/>
          <w:szCs w:val="28"/>
        </w:rPr>
      </w:pPr>
      <w:r>
        <w:rPr>
          <w:rFonts w:ascii="Times New Roman" w:hAnsi="Times New Roman" w:eastAsia="仿宋_GB2312" w:cs="仿宋_GB2312"/>
          <w:color w:val="auto"/>
          <w:sz w:val="28"/>
          <w:szCs w:val="28"/>
        </w:rPr>
        <w:t>1</w:t>
      </w:r>
      <w:r>
        <w:rPr>
          <w:rFonts w:ascii="Times New Roman" w:hAnsi="Times New Roman" w:eastAsia="仿宋_GB2312"/>
          <w:color w:val="auto"/>
          <w:sz w:val="28"/>
          <w:szCs w:val="28"/>
        </w:rPr>
        <w:t>、</w:t>
      </w:r>
      <w:r>
        <w:rPr>
          <w:rFonts w:ascii="仿宋_GB2312" w:hAnsi="仿宋_GB2312" w:eastAsia="仿宋_GB2312" w:cs="仿宋_GB2312"/>
          <w:color w:val="auto"/>
          <w:sz w:val="28"/>
          <w:szCs w:val="28"/>
        </w:rPr>
        <w:t>沁河流域沁水县段生态修复与保护建设项目（一期）</w:t>
      </w:r>
    </w:p>
    <w:p w14:paraId="42339663">
      <w:pPr>
        <w:snapToGrid w:val="0"/>
        <w:spacing w:line="360" w:lineRule="auto"/>
        <w:ind w:firstLine="560" w:firstLineChars="200"/>
        <w:rPr>
          <w:rFonts w:eastAsia="仿宋_GB2312"/>
          <w:bCs/>
          <w:color w:val="auto"/>
          <w:kern w:val="44"/>
          <w:sz w:val="28"/>
          <w:szCs w:val="28"/>
        </w:rPr>
      </w:pPr>
      <w:r>
        <w:rPr>
          <w:rFonts w:eastAsia="仿宋_GB2312"/>
          <w:color w:val="auto"/>
          <w:sz w:val="28"/>
        </w:rPr>
        <w:t>建设地点：</w:t>
      </w:r>
      <w:r>
        <w:rPr>
          <w:rFonts w:hint="eastAsia" w:eastAsia="仿宋_GB2312"/>
          <w:bCs/>
          <w:color w:val="auto"/>
          <w:kern w:val="44"/>
          <w:sz w:val="28"/>
          <w:szCs w:val="28"/>
        </w:rPr>
        <w:t>郑庄镇、端氏镇、嘉峰镇</w:t>
      </w:r>
    </w:p>
    <w:p w14:paraId="25F10249">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对沿河郑庄镇、端氏镇、窦庄村、潘庄村和武安村</w:t>
      </w:r>
      <w:r>
        <w:rPr>
          <w:rFonts w:hint="eastAsia" w:ascii="Times New Roman" w:hAnsi="Times New Roman" w:eastAsia="仿宋_GB2312" w:cs="仿宋_GB2312"/>
          <w:color w:val="auto"/>
          <w:sz w:val="28"/>
        </w:rPr>
        <w:t>5</w:t>
      </w:r>
      <w:r>
        <w:rPr>
          <w:rFonts w:hint="eastAsia" w:eastAsia="仿宋_GB2312"/>
          <w:color w:val="auto"/>
          <w:sz w:val="28"/>
        </w:rPr>
        <w:t>段干流进行生态修复与保护，在河岸的水、陆交错带恢复绿化，削减面源污染负荷，逐渐恢复水体的自然净化能力，减少黄河的泥沙量；利用工程措施拦蓄部分径流，在河道形成一定的湿地水面，推动水生态持续向好。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eastAsia="仿宋_GB2312"/>
          <w:color w:val="auto"/>
          <w:sz w:val="28"/>
        </w:rPr>
        <w:t>。主要包括：场地土方，浅滩湿地带，新建堤防，河道疏浚、林草修复等。</w:t>
      </w:r>
    </w:p>
    <w:p w14:paraId="5AC1174A">
      <w:pPr>
        <w:snapToGrid w:val="0"/>
        <w:spacing w:line="360" w:lineRule="auto"/>
        <w:ind w:firstLine="560" w:firstLineChars="200"/>
        <w:rPr>
          <w:rFonts w:eastAsia="仿宋_GB2312"/>
          <w:bCs/>
          <w:color w:val="auto"/>
          <w:kern w:val="44"/>
          <w:sz w:val="28"/>
          <w:szCs w:val="36"/>
        </w:rPr>
      </w:pPr>
      <w:r>
        <w:rPr>
          <w:rFonts w:eastAsia="仿宋_GB2312"/>
          <w:color w:val="auto"/>
          <w:sz w:val="28"/>
          <w:szCs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2</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64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color w:val="auto"/>
          <w:sz w:val="28"/>
        </w:rPr>
        <w:t>。</w:t>
      </w:r>
      <w:r>
        <w:rPr>
          <w:rFonts w:hint="eastAsia" w:eastAsia="仿宋_GB2312"/>
          <w:bCs/>
          <w:color w:val="auto"/>
          <w:kern w:val="44"/>
          <w:sz w:val="28"/>
          <w:szCs w:val="36"/>
        </w:rPr>
        <w:t>项目于</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3</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23</w:t>
      </w:r>
      <w:r>
        <w:rPr>
          <w:rFonts w:hint="eastAsia" w:eastAsia="仿宋_GB2312"/>
          <w:bCs/>
          <w:color w:val="auto"/>
          <w:kern w:val="44"/>
          <w:sz w:val="28"/>
          <w:szCs w:val="36"/>
        </w:rPr>
        <w:t>日，完成可研批复，</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4</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18</w:t>
      </w:r>
      <w:r>
        <w:rPr>
          <w:rFonts w:hint="eastAsia" w:eastAsia="仿宋_GB2312"/>
          <w:bCs/>
          <w:color w:val="auto"/>
          <w:kern w:val="44"/>
          <w:sz w:val="28"/>
          <w:szCs w:val="36"/>
        </w:rPr>
        <w:t>日在沁水县公共资源交易中心完成</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招标。随后，</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设计中标单位进场开展工作，与项目乡镇、村委进行了充分的沟通和征求意见，优化了设计方案。</w:t>
      </w:r>
    </w:p>
    <w:p w14:paraId="7B6E3A87">
      <w:pPr>
        <w:numPr>
          <w:ilvl w:val="0"/>
          <w:numId w:val="6"/>
        </w:numPr>
        <w:snapToGrid w:val="0"/>
        <w:spacing w:line="360" w:lineRule="auto"/>
        <w:ind w:firstLine="560" w:firstLineChars="200"/>
        <w:rPr>
          <w:rFonts w:ascii="Times New Roman" w:hAnsi="Times New Roman" w:eastAsia="仿宋_GB2312"/>
          <w:color w:val="0000FF"/>
          <w:sz w:val="28"/>
          <w:szCs w:val="28"/>
        </w:rPr>
      </w:pPr>
      <w:r>
        <w:rPr>
          <w:rFonts w:hint="eastAsia" w:ascii="Times New Roman" w:hAnsi="Times New Roman" w:eastAsia="仿宋_GB2312"/>
          <w:color w:val="0000FF"/>
          <w:sz w:val="28"/>
          <w:szCs w:val="28"/>
        </w:rPr>
        <w:t>沁河流域沁水县段干流水生态综合治理项目</w:t>
      </w:r>
    </w:p>
    <w:p w14:paraId="6CC19420">
      <w:pPr>
        <w:snapToGrid w:val="0"/>
        <w:spacing w:line="360" w:lineRule="auto"/>
        <w:ind w:firstLine="560" w:firstLineChars="200"/>
        <w:rPr>
          <w:rFonts w:eastAsia="仿宋_GB2312"/>
          <w:bCs/>
          <w:color w:val="0000FF"/>
          <w:kern w:val="44"/>
          <w:sz w:val="28"/>
          <w:szCs w:val="28"/>
        </w:rPr>
      </w:pPr>
      <w:r>
        <w:rPr>
          <w:rFonts w:eastAsia="仿宋_GB2312"/>
          <w:color w:val="0000FF"/>
          <w:sz w:val="28"/>
        </w:rPr>
        <w:t>建设地点：</w:t>
      </w:r>
      <w:r>
        <w:rPr>
          <w:rFonts w:hint="eastAsia" w:eastAsia="仿宋_GB2312"/>
          <w:bCs/>
          <w:color w:val="0000FF"/>
          <w:kern w:val="44"/>
          <w:sz w:val="28"/>
          <w:szCs w:val="28"/>
        </w:rPr>
        <w:t>郑庄镇、端氏镇、嘉峰镇</w:t>
      </w:r>
    </w:p>
    <w:p w14:paraId="79C7E6E3">
      <w:pPr>
        <w:pStyle w:val="11"/>
        <w:snapToGrid w:val="0"/>
        <w:spacing w:line="360" w:lineRule="auto"/>
        <w:ind w:firstLine="560"/>
        <w:rPr>
          <w:rFonts w:eastAsia="仿宋_GB2312"/>
          <w:color w:val="0000FF"/>
          <w:sz w:val="28"/>
        </w:rPr>
      </w:pPr>
      <w:r>
        <w:rPr>
          <w:rFonts w:eastAsia="仿宋_GB2312"/>
          <w:color w:val="0000FF"/>
          <w:sz w:val="28"/>
        </w:rPr>
        <w:t>建设内容：</w:t>
      </w:r>
      <w:r>
        <w:rPr>
          <w:rFonts w:hint="eastAsia" w:eastAsia="仿宋_GB2312"/>
          <w:color w:val="0000FF"/>
          <w:sz w:val="28"/>
          <w:lang w:eastAsia="zh-CN"/>
        </w:rPr>
        <w:t>⑴</w:t>
      </w:r>
      <w:r>
        <w:rPr>
          <w:rFonts w:hint="eastAsia" w:eastAsia="仿宋_GB2312"/>
          <w:color w:val="0000FF"/>
          <w:sz w:val="28"/>
        </w:rPr>
        <w:t>新建沁河干流慢行系统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，新建湿地</w:t>
      </w:r>
      <w:r>
        <w:rPr>
          <w:rFonts w:hint="eastAsia" w:ascii="Times New Roman" w:hAnsi="Times New Roman" w:eastAsia="仿宋_GB2312" w:cs="仿宋_GB2312"/>
          <w:color w:val="0000FF"/>
          <w:sz w:val="28"/>
        </w:rPr>
        <w:t>14</w:t>
      </w:r>
      <w:r>
        <w:rPr>
          <w:rFonts w:hint="eastAsia" w:eastAsia="仿宋_GB2312"/>
          <w:color w:val="0000FF"/>
          <w:sz w:val="28"/>
        </w:rPr>
        <w:t>.</w:t>
      </w:r>
      <w:r>
        <w:rPr>
          <w:rFonts w:hint="eastAsia" w:ascii="Times New Roman" w:hAnsi="Times New Roman" w:eastAsia="仿宋_GB2312" w:cs="仿宋_GB2312"/>
          <w:color w:val="0000FF"/>
          <w:sz w:val="28"/>
        </w:rPr>
        <w:t>6</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。沿沁河河道由张峰水库坝址下游至沁水县界，利用河道滩涂布设慢行系统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w:t>
      </w:r>
      <w:r>
        <w:rPr>
          <w:rFonts w:hint="eastAsia" w:ascii="Times New Roman" w:hAnsi="Times New Roman" w:eastAsia="仿宋_GB2312" w:cs="仿宋_GB2312"/>
          <w:color w:val="0000FF"/>
          <w:sz w:val="28"/>
        </w:rPr>
        <w:t>10</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张峰湿地，</w:t>
      </w:r>
      <w:r>
        <w:rPr>
          <w:rFonts w:hint="eastAsia" w:ascii="Times New Roman" w:hAnsi="Times New Roman" w:eastAsia="仿宋_GB2312" w:cs="仿宋_GB2312"/>
          <w:color w:val="0000FF"/>
          <w:sz w:val="28"/>
        </w:rPr>
        <w:t>4</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南郎湿地。</w:t>
      </w:r>
      <w:r>
        <w:rPr>
          <w:rFonts w:hint="eastAsia" w:eastAsia="仿宋_GB2312"/>
          <w:color w:val="0000FF"/>
          <w:sz w:val="28"/>
          <w:lang w:eastAsia="zh-CN"/>
        </w:rPr>
        <w:t>⑵</w:t>
      </w:r>
      <w:r>
        <w:rPr>
          <w:rFonts w:hint="eastAsia" w:eastAsia="仿宋_GB2312"/>
          <w:color w:val="0000FF"/>
          <w:sz w:val="28"/>
        </w:rPr>
        <w:t xml:space="preserve">疏浚河道 </w:t>
      </w:r>
      <w:r>
        <w:rPr>
          <w:rFonts w:hint="eastAsia" w:ascii="Times New Roman" w:hAnsi="Times New Roman" w:eastAsia="仿宋_GB2312"/>
          <w:color w:val="0000FF"/>
          <w:sz w:val="28"/>
        </w:rPr>
        <w:t>50km</w:t>
      </w:r>
      <w:r>
        <w:rPr>
          <w:rFonts w:hint="eastAsia" w:eastAsia="仿宋_GB2312"/>
          <w:color w:val="0000FF"/>
          <w:sz w:val="28"/>
        </w:rPr>
        <w:t>，生态护坡</w:t>
      </w:r>
      <w:r>
        <w:rPr>
          <w:rFonts w:hint="eastAsia" w:ascii="Times New Roman" w:hAnsi="Times New Roman" w:eastAsia="仿宋_GB2312"/>
          <w:color w:val="0000FF"/>
          <w:sz w:val="28"/>
        </w:rPr>
        <w:t>50km</w:t>
      </w:r>
      <w:r>
        <w:rPr>
          <w:rFonts w:hint="eastAsia" w:eastAsia="仿宋_GB2312"/>
          <w:color w:val="0000FF"/>
          <w:sz w:val="28"/>
        </w:rPr>
        <w:t xml:space="preserve">，张峰村、石室村、南郎村、郑庄村、南大村、河北村、八里村、中乡村沿岸生态缓冲带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 xml:space="preserve">，林草管护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，防冲设施（河堤 易受冲刷处采用石笼等方式保护堤岸）</w:t>
      </w:r>
      <w:r>
        <w:rPr>
          <w:rFonts w:hint="eastAsia" w:ascii="Times New Roman" w:hAnsi="Times New Roman" w:eastAsia="仿宋_GB2312"/>
          <w:color w:val="0000FF"/>
          <w:sz w:val="28"/>
        </w:rPr>
        <w:t>38km</w:t>
      </w:r>
      <w:r>
        <w:rPr>
          <w:rFonts w:hint="eastAsia" w:eastAsia="仿宋_GB2312"/>
          <w:color w:val="0000FF"/>
          <w:sz w:val="28"/>
        </w:rPr>
        <w:t xml:space="preserve">，新建潘河、柿沟河、郑村河、马庄河、沙河、山泽河入沁河口湿地、沁河樊庄段湿地共 </w:t>
      </w:r>
      <w:r>
        <w:rPr>
          <w:rFonts w:hint="eastAsia" w:ascii="Times New Roman" w:hAnsi="Times New Roman" w:eastAsia="仿宋_GB2312"/>
          <w:color w:val="0000FF"/>
          <w:sz w:val="28"/>
        </w:rPr>
        <w:t>4</w:t>
      </w:r>
      <w:r>
        <w:rPr>
          <w:rFonts w:hint="eastAsia" w:eastAsia="仿宋_GB2312"/>
          <w:color w:val="0000FF"/>
          <w:sz w:val="28"/>
        </w:rPr>
        <w:t>.</w:t>
      </w:r>
      <w:r>
        <w:rPr>
          <w:rFonts w:hint="eastAsia" w:ascii="Times New Roman" w:hAnsi="Times New Roman" w:eastAsia="仿宋_GB2312"/>
          <w:color w:val="0000FF"/>
          <w:sz w:val="28"/>
        </w:rPr>
        <w:t>3hm</w:t>
      </w:r>
      <w:r>
        <w:rPr>
          <w:rFonts w:hint="eastAsia" w:ascii="Times New Roman" w:hAnsi="Times New Roman" w:eastAsia="仿宋_GB2312"/>
          <w:color w:val="0000FF"/>
          <w:sz w:val="28"/>
          <w:vertAlign w:val="superscript"/>
        </w:rPr>
        <w:t>2</w:t>
      </w:r>
      <w:r>
        <w:rPr>
          <w:rFonts w:hint="eastAsia" w:eastAsia="仿宋_GB2312"/>
          <w:color w:val="0000FF"/>
          <w:sz w:val="28"/>
        </w:rPr>
        <w:t>。</w:t>
      </w:r>
    </w:p>
    <w:p w14:paraId="5C8E303C">
      <w:pPr>
        <w:pStyle w:val="2"/>
        <w:ind w:firstLine="560"/>
        <w:rPr>
          <w:rFonts w:eastAsia="仿宋_GB2312"/>
          <w:color w:val="0000FF"/>
          <w:sz w:val="28"/>
        </w:rPr>
      </w:pPr>
    </w:p>
    <w:p w14:paraId="266F0278">
      <w:pPr>
        <w:pStyle w:val="2"/>
        <w:ind w:firstLine="560"/>
      </w:pPr>
      <w:r>
        <w:rPr>
          <w:rFonts w:eastAsia="仿宋_GB2312"/>
          <w:color w:val="0000FF"/>
          <w:sz w:val="28"/>
          <w:szCs w:val="28"/>
        </w:rPr>
        <w:t>工程投资：</w:t>
      </w:r>
      <w:r>
        <w:rPr>
          <w:rFonts w:hint="eastAsia" w:eastAsia="仿宋_GB2312" w:cs="仿宋_GB2312"/>
          <w:color w:val="0000FF"/>
          <w:sz w:val="28"/>
          <w:szCs w:val="28"/>
          <w:lang w:val="en-US" w:eastAsia="zh-CN"/>
        </w:rPr>
        <w:t>10.535</w:t>
      </w:r>
      <w:r>
        <w:rPr>
          <w:rFonts w:hint="eastAsia" w:eastAsia="仿宋_GB2312"/>
          <w:color w:val="0000FF"/>
          <w:sz w:val="28"/>
          <w:szCs w:val="28"/>
        </w:rPr>
        <w:t>亿元。</w:t>
      </w:r>
    </w:p>
    <w:p w14:paraId="423D8D2A">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lang w:val="en-US" w:eastAsia="zh-CN"/>
        </w:rPr>
        <w:t>3</w:t>
      </w:r>
      <w:r>
        <w:rPr>
          <w:rFonts w:hint="eastAsia" w:ascii="Times New Roman" w:hAnsi="Times New Roman" w:eastAsia="仿宋_GB2312"/>
          <w:color w:val="auto"/>
          <w:sz w:val="28"/>
        </w:rPr>
        <w:t>、</w:t>
      </w:r>
      <w:r>
        <w:rPr>
          <w:rFonts w:hint="eastAsia" w:eastAsia="仿宋_GB2312"/>
          <w:color w:val="auto"/>
          <w:sz w:val="28"/>
        </w:rPr>
        <w:t>中小河流治理工程</w:t>
      </w:r>
    </w:p>
    <w:p w14:paraId="552BBAD7">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p>
    <w:p w14:paraId="007ED4B2">
      <w:pPr>
        <w:snapToGrid w:val="0"/>
        <w:spacing w:line="360" w:lineRule="auto"/>
        <w:ind w:firstLine="560" w:firstLineChars="200"/>
        <w:rPr>
          <w:rFonts w:eastAsia="仿宋_GB2312"/>
          <w:color w:val="auto"/>
          <w:sz w:val="28"/>
        </w:rPr>
      </w:pPr>
      <w:r>
        <w:rPr>
          <w:rFonts w:hint="eastAsia" w:eastAsia="仿宋_GB2312"/>
          <w:color w:val="auto"/>
          <w:sz w:val="28"/>
        </w:rPr>
        <w:t>建设内容：柿庄河河道治理范围从大端村至端氏河汇入口，治理长度约</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 xml:space="preserve">；新建堤防 </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69km</w:t>
      </w:r>
      <w:r>
        <w:rPr>
          <w:rFonts w:hint="eastAsia" w:eastAsia="仿宋_GB2312"/>
          <w:color w:val="auto"/>
          <w:sz w:val="28"/>
        </w:rPr>
        <w:t>，地方拆除重建</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863km</w:t>
      </w:r>
      <w:r>
        <w:rPr>
          <w:rFonts w:hint="eastAsia" w:eastAsia="仿宋_GB2312"/>
          <w:color w:val="auto"/>
          <w:sz w:val="28"/>
        </w:rPr>
        <w:t>，支流口防护</w:t>
      </w:r>
      <w:r>
        <w:rPr>
          <w:rFonts w:hint="eastAsia" w:ascii="Times New Roman" w:hAnsi="Times New Roman" w:eastAsia="仿宋_GB2312" w:cs="仿宋_GB2312"/>
          <w:color w:val="auto"/>
          <w:sz w:val="28"/>
        </w:rPr>
        <w:t>5</w:t>
      </w:r>
      <w:r>
        <w:rPr>
          <w:rFonts w:hint="eastAsia" w:eastAsia="仿宋_GB2312"/>
          <w:color w:val="auto"/>
          <w:sz w:val="28"/>
        </w:rPr>
        <w:t>处，长度</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47km</w:t>
      </w:r>
      <w:r>
        <w:rPr>
          <w:rFonts w:hint="eastAsia" w:eastAsia="仿宋_GB2312"/>
          <w:color w:val="auto"/>
          <w:sz w:val="28"/>
        </w:rPr>
        <w:t>；旧堤维修加固</w:t>
      </w:r>
      <w:r>
        <w:rPr>
          <w:rFonts w:hint="eastAsia" w:ascii="Times New Roman" w:hAnsi="Times New Roman" w:eastAsia="仿宋_GB2312" w:cs="仿宋_GB2312"/>
          <w:color w:val="auto"/>
          <w:sz w:val="28"/>
        </w:rPr>
        <w:t>8km</w:t>
      </w:r>
      <w:r>
        <w:rPr>
          <w:rFonts w:hint="eastAsia" w:eastAsia="仿宋_GB2312"/>
          <w:color w:val="auto"/>
          <w:sz w:val="28"/>
        </w:rPr>
        <w:t xml:space="preserve">，河槽整治 </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418</w:t>
      </w:r>
      <w:r>
        <w:rPr>
          <w:rFonts w:hint="eastAsia" w:eastAsia="仿宋_GB2312"/>
          <w:color w:val="auto"/>
          <w:sz w:val="28"/>
        </w:rPr>
        <w:t>亿元；芦苇河张村乡段河道治理疏浚整治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；新建格宾笼石防护</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99km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582km</w:t>
      </w:r>
      <w:r>
        <w:rPr>
          <w:rFonts w:hint="eastAsia" w:eastAsia="仿宋_GB2312"/>
          <w:color w:val="auto"/>
          <w:sz w:val="28"/>
        </w:rPr>
        <w:t>：（左岸新建格宾笼石防护</w:t>
      </w:r>
      <w:r>
        <w:rPr>
          <w:rFonts w:hint="eastAsia" w:ascii="Times New Roman" w:hAnsi="Times New Roman" w:eastAsia="仿宋_GB2312" w:cs="仿宋_GB2312"/>
          <w:color w:val="auto"/>
          <w:sz w:val="28"/>
        </w:rPr>
        <w:t>3</w:t>
      </w:r>
      <w:r>
        <w:rPr>
          <w:rFonts w:hint="eastAsia" w:eastAsia="仿宋_GB2312"/>
          <w:color w:val="auto"/>
          <w:sz w:val="28"/>
        </w:rPr>
        <w:t>.</w:t>
      </w:r>
      <w:r>
        <w:rPr>
          <w:rFonts w:hint="eastAsia" w:ascii="Times New Roman" w:hAnsi="Times New Roman" w:eastAsia="仿宋_GB2312" w:cs="仿宋_GB2312"/>
          <w:color w:val="auto"/>
          <w:sz w:val="28"/>
        </w:rPr>
        <w:t>384km</w:t>
      </w:r>
      <w:r>
        <w:rPr>
          <w:rFonts w:hint="eastAsia" w:eastAsia="仿宋_GB2312"/>
          <w:color w:val="auto"/>
          <w:sz w:val="28"/>
        </w:rPr>
        <w:t>，新建格宾笼石贴坡式防护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329km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323km</w:t>
      </w:r>
      <w:r>
        <w:rPr>
          <w:rFonts w:hint="eastAsia" w:eastAsia="仿宋_GB2312"/>
          <w:color w:val="auto"/>
          <w:sz w:val="28"/>
        </w:rPr>
        <w:t>，治理段右岸新建格宾笼石贴坡式防护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54km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259km</w:t>
      </w:r>
      <w:r>
        <w:rPr>
          <w:rFonts w:hint="eastAsia" w:eastAsia="仿宋_GB2312"/>
          <w:color w:val="auto"/>
          <w:sz w:val="28"/>
        </w:rPr>
        <w:t>；冯村支流治理段左岸新建格宾笼石防护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434km</w:t>
      </w:r>
      <w:r>
        <w:rPr>
          <w:rFonts w:hint="eastAsia" w:eastAsia="仿宋_GB2312"/>
          <w:color w:val="auto"/>
          <w:sz w:val="28"/>
        </w:rPr>
        <w:t>，治理段右岸新建格宾笼石防护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305km</w:t>
      </w:r>
      <w:r>
        <w:rPr>
          <w:rFonts w:hint="eastAsia" w:eastAsia="仿宋_GB2312"/>
          <w:color w:val="auto"/>
          <w:sz w:val="28"/>
        </w:rPr>
        <w:t>），滩槽整治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 xml:space="preserve">。投资 </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233</w:t>
      </w:r>
      <w:r>
        <w:rPr>
          <w:rFonts w:hint="eastAsia" w:eastAsia="仿宋_GB2312"/>
          <w:color w:val="auto"/>
          <w:sz w:val="28"/>
        </w:rPr>
        <w:t>亿元。共完成治理长度</w:t>
      </w:r>
      <w:r>
        <w:rPr>
          <w:rFonts w:hint="eastAsia" w:ascii="Times New Roman" w:hAnsi="Times New Roman" w:eastAsia="仿宋_GB2312" w:cs="仿宋_GB2312"/>
          <w:color w:val="auto"/>
          <w:sz w:val="28"/>
        </w:rPr>
        <w:t>37</w:t>
      </w:r>
      <w:r>
        <w:rPr>
          <w:rFonts w:hint="eastAsia" w:eastAsia="仿宋_GB2312"/>
          <w:color w:val="auto"/>
          <w:sz w:val="28"/>
        </w:rPr>
        <w:t>.</w:t>
      </w:r>
      <w:r>
        <w:rPr>
          <w:rFonts w:hint="eastAsia" w:ascii="Times New Roman" w:hAnsi="Times New Roman" w:eastAsia="仿宋_GB2312" w:cs="仿宋_GB2312"/>
          <w:color w:val="auto"/>
          <w:sz w:val="28"/>
        </w:rPr>
        <w:t>14km</w:t>
      </w:r>
      <w:r>
        <w:rPr>
          <w:rFonts w:hint="eastAsia" w:eastAsia="仿宋_GB2312"/>
          <w:color w:val="auto"/>
          <w:sz w:val="28"/>
        </w:rPr>
        <w:t>。</w:t>
      </w:r>
    </w:p>
    <w:p w14:paraId="4D43C30C">
      <w:pPr>
        <w:snapToGrid w:val="0"/>
        <w:spacing w:line="360" w:lineRule="auto"/>
        <w:ind w:firstLine="560" w:firstLineChars="200"/>
        <w:rPr>
          <w:rFonts w:hint="eastAsia" w:eastAsia="仿宋_GB2312"/>
          <w:color w:val="auto"/>
          <w:sz w:val="28"/>
        </w:rPr>
      </w:pPr>
      <w:r>
        <w:rPr>
          <w:rFonts w:hint="eastAsia" w:eastAsia="仿宋_GB2312"/>
          <w:color w:val="auto"/>
          <w:sz w:val="28"/>
        </w:rPr>
        <w:t>工程总投资：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651</w:t>
      </w:r>
      <w:r>
        <w:rPr>
          <w:rFonts w:hint="eastAsia" w:eastAsia="仿宋_GB2312"/>
          <w:color w:val="auto"/>
          <w:sz w:val="28"/>
        </w:rPr>
        <w:t>亿元。柿庄河河道治理工期</w:t>
      </w:r>
      <w:r>
        <w:rPr>
          <w:rFonts w:hint="eastAsia" w:ascii="Times New Roman" w:hAnsi="Times New Roman" w:eastAsia="仿宋_GB2312" w:cs="仿宋_GB2312"/>
          <w:color w:val="auto"/>
          <w:sz w:val="28"/>
        </w:rPr>
        <w:t>18</w:t>
      </w:r>
      <w:r>
        <w:rPr>
          <w:rFonts w:hint="eastAsia" w:eastAsia="仿宋_GB2312"/>
          <w:color w:val="auto"/>
          <w:sz w:val="28"/>
        </w:rPr>
        <w:t>个月，芦苇河张村乡段河道治理工期</w:t>
      </w:r>
      <w:r>
        <w:rPr>
          <w:rFonts w:hint="eastAsia" w:ascii="Times New Roman" w:hAnsi="Times New Roman" w:eastAsia="仿宋_GB2312" w:cs="仿宋_GB2312"/>
          <w:color w:val="auto"/>
          <w:sz w:val="28"/>
        </w:rPr>
        <w:t>12</w:t>
      </w:r>
      <w:r>
        <w:rPr>
          <w:rFonts w:hint="eastAsia" w:eastAsia="仿宋_GB2312"/>
          <w:color w:val="auto"/>
          <w:sz w:val="28"/>
        </w:rPr>
        <w:t>个月。</w:t>
      </w:r>
    </w:p>
    <w:p w14:paraId="080970B6">
      <w:pPr>
        <w:pStyle w:val="2"/>
        <w:ind w:firstLine="560"/>
        <w:rPr>
          <w:rFonts w:eastAsia="仿宋_GB2312"/>
          <w:color w:val="auto"/>
          <w:sz w:val="28"/>
        </w:rPr>
      </w:pPr>
      <w:r>
        <w:rPr>
          <w:rFonts w:hint="eastAsia" w:ascii="Times New Roman" w:hAnsi="Times New Roman" w:eastAsia="仿宋_GB2312" w:cs="仿宋_GB2312"/>
          <w:color w:val="auto"/>
          <w:sz w:val="28"/>
          <w:lang w:val="en-US" w:eastAsia="zh-CN"/>
        </w:rPr>
        <w:t>4</w:t>
      </w:r>
      <w:r>
        <w:rPr>
          <w:rFonts w:eastAsia="仿宋_GB2312"/>
          <w:color w:val="auto"/>
          <w:sz w:val="28"/>
        </w:rPr>
        <w:t>、沁水县县河长征隧洞段河道水毁修复工程</w:t>
      </w:r>
    </w:p>
    <w:p w14:paraId="4B43E561">
      <w:pPr>
        <w:snapToGrid w:val="0"/>
        <w:spacing w:line="360" w:lineRule="auto"/>
        <w:ind w:firstLine="560" w:firstLineChars="200"/>
        <w:rPr>
          <w:rFonts w:eastAsia="仿宋_GB2312"/>
          <w:color w:val="auto"/>
          <w:sz w:val="28"/>
        </w:rPr>
      </w:pPr>
      <w:r>
        <w:rPr>
          <w:rFonts w:eastAsia="仿宋_GB2312"/>
          <w:color w:val="auto"/>
          <w:sz w:val="28"/>
        </w:rPr>
        <w:t>建设地点：沁水县</w:t>
      </w:r>
      <w:r>
        <w:rPr>
          <w:rFonts w:hint="eastAsia" w:eastAsia="仿宋_GB2312"/>
          <w:color w:val="auto"/>
          <w:sz w:val="28"/>
        </w:rPr>
        <w:t xml:space="preserve">龙港镇 </w:t>
      </w:r>
    </w:p>
    <w:p w14:paraId="369B30B1">
      <w:pPr>
        <w:pStyle w:val="2"/>
        <w:ind w:firstLine="560"/>
        <w:rPr>
          <w:rFonts w:eastAsia="仿宋_GB2312"/>
          <w:color w:val="auto"/>
          <w:sz w:val="28"/>
          <w:szCs w:val="28"/>
        </w:rPr>
      </w:pPr>
      <w:r>
        <w:rPr>
          <w:rFonts w:hint="eastAsia" w:eastAsia="仿宋_GB2312" w:cs="仿宋_GB2312"/>
          <w:color w:val="auto"/>
          <w:sz w:val="28"/>
          <w:szCs w:val="28"/>
        </w:rPr>
        <w:t>建设内容：</w:t>
      </w:r>
      <w:r>
        <w:rPr>
          <w:rFonts w:hint="eastAsia" w:eastAsia="仿宋_GB2312"/>
          <w:color w:val="auto"/>
          <w:sz w:val="28"/>
          <w:szCs w:val="28"/>
        </w:rPr>
        <w:t>修复沁水县县河长征隧洞</w:t>
      </w:r>
      <w:r>
        <w:rPr>
          <w:rFonts w:hint="eastAsia" w:ascii="Times New Roman" w:hAnsi="Times New Roman" w:eastAsia="仿宋_GB2312" w:cs="仿宋_GB2312"/>
          <w:color w:val="auto"/>
          <w:sz w:val="28"/>
          <w:szCs w:val="28"/>
        </w:rPr>
        <w:t>1188</w:t>
      </w:r>
      <w:r>
        <w:rPr>
          <w:rFonts w:ascii="Times New Roman" w:hAnsi="Times New Roman" w:eastAsia="仿宋_GB2312" w:cs="仿宋_GB2312"/>
          <w:color w:val="auto"/>
          <w:sz w:val="28"/>
          <w:szCs w:val="28"/>
        </w:rPr>
        <w:t>m</w:t>
      </w:r>
      <w:r>
        <w:rPr>
          <w:rFonts w:hint="eastAsia" w:eastAsia="仿宋_GB2312"/>
          <w:color w:val="auto"/>
          <w:sz w:val="28"/>
          <w:szCs w:val="28"/>
        </w:rPr>
        <w:t>；</w:t>
      </w:r>
      <w:r>
        <w:rPr>
          <w:rFonts w:hint="eastAsia" w:ascii="Times New Roman" w:hAnsi="Times New Roman" w:eastAsia="仿宋_GB2312" w:cs="仿宋_GB2312"/>
          <w:color w:val="auto"/>
          <w:sz w:val="28"/>
          <w:szCs w:val="28"/>
        </w:rPr>
        <w:t>1</w:t>
      </w:r>
      <w:r>
        <w:rPr>
          <w:rFonts w:hint="eastAsia" w:eastAsia="仿宋_GB2312"/>
          <w:color w:val="auto"/>
          <w:sz w:val="28"/>
          <w:szCs w:val="28"/>
        </w:rPr>
        <w:t>#、</w:t>
      </w:r>
      <w:r>
        <w:rPr>
          <w:rFonts w:hint="eastAsia" w:ascii="Times New Roman" w:hAnsi="Times New Roman" w:eastAsia="仿宋_GB2312" w:cs="仿宋_GB2312"/>
          <w:color w:val="auto"/>
          <w:sz w:val="28"/>
          <w:szCs w:val="28"/>
        </w:rPr>
        <w:t>2</w:t>
      </w:r>
      <w:r>
        <w:rPr>
          <w:rFonts w:hint="eastAsia" w:eastAsia="仿宋_GB2312"/>
          <w:color w:val="auto"/>
          <w:sz w:val="28"/>
          <w:szCs w:val="28"/>
        </w:rPr>
        <w:t>#隧洞维修加固处理，共</w:t>
      </w:r>
      <w:r>
        <w:rPr>
          <w:rFonts w:hint="eastAsia" w:ascii="Times New Roman" w:hAnsi="Times New Roman" w:eastAsia="仿宋_GB2312" w:cs="仿宋_GB2312"/>
          <w:color w:val="auto"/>
          <w:sz w:val="28"/>
          <w:szCs w:val="28"/>
        </w:rPr>
        <w:t>396m</w:t>
      </w:r>
      <w:r>
        <w:rPr>
          <w:rFonts w:hint="eastAsia" w:eastAsia="仿宋_GB2312"/>
          <w:color w:val="auto"/>
          <w:sz w:val="28"/>
          <w:szCs w:val="28"/>
        </w:rPr>
        <w:t>；隧洞上游南沟入河口处堤防水毁修复</w:t>
      </w:r>
      <w:r>
        <w:rPr>
          <w:rFonts w:hint="eastAsia" w:ascii="Times New Roman" w:hAnsi="Times New Roman" w:eastAsia="仿宋_GB2312" w:cs="仿宋_GB2312"/>
          <w:color w:val="auto"/>
          <w:sz w:val="28"/>
          <w:szCs w:val="28"/>
        </w:rPr>
        <w:t>20m</w:t>
      </w:r>
      <w:r>
        <w:rPr>
          <w:rFonts w:hint="eastAsia" w:eastAsia="仿宋_GB2312"/>
          <w:color w:val="auto"/>
          <w:sz w:val="28"/>
          <w:szCs w:val="28"/>
        </w:rPr>
        <w:t>；下游段新建堤防</w:t>
      </w:r>
      <w:r>
        <w:rPr>
          <w:rFonts w:hint="eastAsia" w:ascii="Times New Roman" w:hAnsi="Times New Roman" w:eastAsia="仿宋_GB2312" w:cs="仿宋_GB2312"/>
          <w:color w:val="auto"/>
          <w:sz w:val="28"/>
          <w:szCs w:val="28"/>
        </w:rPr>
        <w:t>50m</w:t>
      </w:r>
      <w:r>
        <w:rPr>
          <w:rFonts w:hint="eastAsia" w:eastAsia="仿宋_GB2312"/>
          <w:color w:val="auto"/>
          <w:sz w:val="28"/>
          <w:szCs w:val="28"/>
        </w:rPr>
        <w:t>及下游河道底板衬砌</w:t>
      </w:r>
      <w:r>
        <w:rPr>
          <w:rFonts w:hint="eastAsia" w:ascii="Times New Roman" w:hAnsi="Times New Roman" w:eastAsia="仿宋_GB2312" w:cs="仿宋_GB2312"/>
          <w:color w:val="auto"/>
          <w:sz w:val="28"/>
          <w:szCs w:val="28"/>
        </w:rPr>
        <w:t>44m</w:t>
      </w:r>
      <w:r>
        <w:rPr>
          <w:rFonts w:hint="eastAsia" w:eastAsia="仿宋_GB2312"/>
          <w:color w:val="auto"/>
          <w:sz w:val="28"/>
          <w:szCs w:val="28"/>
        </w:rPr>
        <w:t>、下游段旧堤加固</w:t>
      </w:r>
      <w:r>
        <w:rPr>
          <w:rFonts w:hint="eastAsia" w:ascii="Times New Roman" w:hAnsi="Times New Roman" w:eastAsia="仿宋_GB2312" w:cs="仿宋_GB2312"/>
          <w:color w:val="auto"/>
          <w:sz w:val="28"/>
          <w:szCs w:val="28"/>
        </w:rPr>
        <w:t>318</w:t>
      </w:r>
      <w:r>
        <w:rPr>
          <w:rFonts w:hint="eastAsia" w:eastAsia="仿宋_GB2312"/>
          <w:color w:val="auto"/>
          <w:sz w:val="28"/>
          <w:szCs w:val="28"/>
        </w:rPr>
        <w:t>.</w:t>
      </w:r>
      <w:r>
        <w:rPr>
          <w:rFonts w:hint="eastAsia" w:ascii="Times New Roman" w:hAnsi="Times New Roman" w:eastAsia="仿宋_GB2312" w:cs="仿宋_GB2312"/>
          <w:color w:val="auto"/>
          <w:sz w:val="28"/>
          <w:szCs w:val="28"/>
        </w:rPr>
        <w:t>6m</w:t>
      </w:r>
      <w:r>
        <w:rPr>
          <w:rFonts w:hint="eastAsia" w:eastAsia="仿宋_GB2312"/>
          <w:color w:val="auto"/>
          <w:sz w:val="28"/>
          <w:szCs w:val="28"/>
        </w:rPr>
        <w:t>，格宾石笼防护</w:t>
      </w:r>
      <w:r>
        <w:rPr>
          <w:rFonts w:hint="eastAsia" w:ascii="Times New Roman" w:hAnsi="Times New Roman" w:eastAsia="仿宋_GB2312" w:cs="仿宋_GB2312"/>
          <w:color w:val="auto"/>
          <w:sz w:val="28"/>
          <w:szCs w:val="28"/>
        </w:rPr>
        <w:t>582m</w:t>
      </w:r>
      <w:r>
        <w:rPr>
          <w:rFonts w:hint="eastAsia" w:eastAsia="仿宋_GB2312"/>
          <w:color w:val="auto"/>
          <w:sz w:val="28"/>
          <w:szCs w:val="28"/>
        </w:rPr>
        <w:t>。</w:t>
      </w:r>
    </w:p>
    <w:p w14:paraId="6E77B5F1">
      <w:pPr>
        <w:pStyle w:val="2"/>
        <w:ind w:firstLine="560"/>
        <w:rPr>
          <w:rFonts w:eastAsia="仿宋_GB2312"/>
          <w:color w:val="auto"/>
          <w:sz w:val="28"/>
        </w:rPr>
      </w:pPr>
      <w:r>
        <w:rPr>
          <w:rFonts w:eastAsia="仿宋_GB2312"/>
          <w:color w:val="auto"/>
          <w:sz w:val="28"/>
          <w:szCs w:val="28"/>
        </w:rPr>
        <w:t>工程投资：</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06</w:t>
      </w:r>
      <w:r>
        <w:rPr>
          <w:rFonts w:hint="eastAsia" w:eastAsia="仿宋_GB2312"/>
          <w:color w:val="auto"/>
          <w:sz w:val="28"/>
        </w:rPr>
        <w:t>亿</w:t>
      </w:r>
      <w:r>
        <w:rPr>
          <w:rFonts w:eastAsia="仿宋_GB2312"/>
          <w:color w:val="auto"/>
          <w:sz w:val="28"/>
        </w:rPr>
        <w:t>元</w:t>
      </w:r>
      <w:r>
        <w:rPr>
          <w:rFonts w:hint="eastAsia" w:eastAsia="仿宋_GB2312"/>
          <w:color w:val="auto"/>
          <w:sz w:val="28"/>
        </w:rPr>
        <w:t>。</w:t>
      </w:r>
    </w:p>
    <w:p w14:paraId="035EF1D0">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sz w:val="28"/>
          <w:lang w:val="en-US" w:eastAsia="zh-CN"/>
        </w:rPr>
        <w:t>5</w:t>
      </w:r>
      <w:r>
        <w:rPr>
          <w:rFonts w:ascii="Times New Roman" w:hAnsi="Times New Roman" w:eastAsia="仿宋_GB2312"/>
          <w:color w:val="auto"/>
          <w:sz w:val="28"/>
        </w:rPr>
        <w:t>、</w:t>
      </w:r>
      <w:r>
        <w:rPr>
          <w:rFonts w:hint="eastAsia" w:ascii="Times New Roman" w:hAnsi="Times New Roman" w:eastAsia="仿宋_GB2312" w:cs="仿宋_GB2312"/>
          <w:color w:val="auto"/>
          <w:kern w:val="2"/>
          <w:sz w:val="28"/>
          <w:szCs w:val="28"/>
          <w:lang w:val="en-US" w:eastAsia="zh-CN" w:bidi="ar-SA"/>
        </w:rPr>
        <w:t>沁河沁水县郑庄段河道蓄水湿地工程</w:t>
      </w:r>
    </w:p>
    <w:p w14:paraId="3A39910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r>
        <w:rPr>
          <w:rFonts w:hint="eastAsia" w:ascii="Times New Roman" w:hAnsi="Times New Roman" w:eastAsia="仿宋_GB2312" w:cs="仿宋_GB2312"/>
          <w:color w:val="auto"/>
          <w:kern w:val="2"/>
          <w:sz w:val="28"/>
          <w:szCs w:val="28"/>
          <w:lang w:val="en-US" w:eastAsia="zh-CN" w:bidi="ar-SA"/>
        </w:rPr>
        <w:t>郑庄</w:t>
      </w:r>
      <w:r>
        <w:rPr>
          <w:rFonts w:hint="eastAsia" w:eastAsia="仿宋_GB2312"/>
          <w:color w:val="auto"/>
          <w:sz w:val="28"/>
        </w:rPr>
        <w:t>镇</w:t>
      </w:r>
    </w:p>
    <w:p w14:paraId="1E1B5853">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建设内容：在</w:t>
      </w:r>
      <w:r>
        <w:rPr>
          <w:rFonts w:hint="eastAsia" w:ascii="Times New Roman" w:hAnsi="Times New Roman" w:eastAsia="仿宋_GB2312"/>
          <w:color w:val="auto"/>
          <w:sz w:val="28"/>
          <w:szCs w:val="28"/>
        </w:rPr>
        <w:t>沁水县河汇入沁河口下游</w:t>
      </w:r>
      <w:r>
        <w:rPr>
          <w:rFonts w:hint="eastAsia" w:ascii="Times New Roman" w:hAnsi="Times New Roman" w:eastAsia="仿宋_GB2312" w:cs="仿宋_GB2312"/>
          <w:color w:val="auto"/>
          <w:sz w:val="28"/>
          <w:szCs w:val="28"/>
        </w:rPr>
        <w:t>100m</w:t>
      </w:r>
      <w:r>
        <w:rPr>
          <w:rFonts w:hint="eastAsia" w:ascii="Times New Roman" w:hAnsi="Times New Roman" w:eastAsia="仿宋_GB2312"/>
          <w:color w:val="auto"/>
          <w:sz w:val="28"/>
          <w:szCs w:val="28"/>
        </w:rPr>
        <w:t>处新建一处高</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5m</w:t>
      </w:r>
      <w:r>
        <w:rPr>
          <w:rFonts w:hint="eastAsia" w:ascii="Times New Roman" w:hAnsi="Times New Roman" w:eastAsia="仿宋_GB2312"/>
          <w:color w:val="auto"/>
          <w:sz w:val="28"/>
          <w:szCs w:val="28"/>
        </w:rPr>
        <w:t>，宽</w:t>
      </w:r>
      <w:r>
        <w:rPr>
          <w:rFonts w:hint="eastAsia" w:ascii="Times New Roman" w:hAnsi="Times New Roman" w:eastAsia="仿宋_GB2312" w:cs="仿宋_GB2312"/>
          <w:color w:val="auto"/>
          <w:sz w:val="28"/>
          <w:szCs w:val="28"/>
        </w:rPr>
        <w:t>80m</w:t>
      </w:r>
      <w:r>
        <w:rPr>
          <w:rFonts w:hint="eastAsia" w:ascii="Times New Roman" w:hAnsi="Times New Roman" w:eastAsia="仿宋_GB2312"/>
          <w:color w:val="auto"/>
          <w:sz w:val="28"/>
          <w:szCs w:val="28"/>
        </w:rPr>
        <w:t>的液压坝，增加湿地面积</w:t>
      </w:r>
      <w:r>
        <w:rPr>
          <w:rFonts w:hint="eastAsia" w:ascii="Times New Roman" w:hAnsi="Times New Roman" w:eastAsia="仿宋_GB2312" w:cs="仿宋_GB2312"/>
          <w:color w:val="auto"/>
          <w:sz w:val="28"/>
          <w:szCs w:val="28"/>
        </w:rPr>
        <w:t>15</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2</w:t>
      </w:r>
      <w:r>
        <w:rPr>
          <w:rFonts w:hint="eastAsia" w:ascii="Times New Roman" w:hAnsi="Times New Roman" w:eastAsia="仿宋_GB2312"/>
          <w:color w:val="auto"/>
          <w:sz w:val="28"/>
          <w:szCs w:val="28"/>
        </w:rPr>
        <w:t>；护岸防护</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1km</w:t>
      </w:r>
      <w:r>
        <w:rPr>
          <w:rFonts w:hint="eastAsia" w:ascii="Times New Roman" w:hAnsi="Times New Roman" w:eastAsia="仿宋_GB2312"/>
          <w:color w:val="auto"/>
          <w:sz w:val="28"/>
          <w:szCs w:val="28"/>
        </w:rPr>
        <w:t>。</w:t>
      </w:r>
    </w:p>
    <w:p w14:paraId="026E1B60">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工程投资：总投资</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176</w:t>
      </w:r>
      <w:r>
        <w:rPr>
          <w:rFonts w:hint="eastAsia" w:ascii="Times New Roman" w:hAnsi="Times New Roman" w:eastAsia="仿宋_GB2312" w:cs="仿宋_GB2312"/>
          <w:color w:val="auto"/>
          <w:kern w:val="2"/>
          <w:sz w:val="28"/>
          <w:szCs w:val="28"/>
          <w:lang w:val="en-US" w:eastAsia="zh-CN" w:bidi="ar-SA"/>
        </w:rPr>
        <w:t>亿元。目前，</w:t>
      </w:r>
      <w:r>
        <w:rPr>
          <w:rFonts w:hint="eastAsia" w:ascii="Times New Roman" w:hAnsi="Times New Roman" w:eastAsia="仿宋_GB2312"/>
          <w:snapToGrid w:val="0"/>
          <w:color w:val="auto"/>
          <w:kern w:val="0"/>
          <w:sz w:val="28"/>
          <w:szCs w:val="28"/>
        </w:rPr>
        <w:t>工程已完成初设批复</w:t>
      </w:r>
      <w:r>
        <w:rPr>
          <w:rFonts w:hint="eastAsia" w:ascii="仿宋" w:hAnsi="仿宋" w:eastAsia="仿宋" w:cs="仿宋"/>
          <w:color w:val="auto"/>
          <w:sz w:val="28"/>
          <w:szCs w:val="28"/>
        </w:rPr>
        <w:t>。</w:t>
      </w:r>
    </w:p>
    <w:p w14:paraId="5366F166">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auto"/>
          <w:sz w:val="28"/>
          <w:lang w:val="en-US" w:eastAsia="zh-CN"/>
        </w:rPr>
        <w:t>6、</w:t>
      </w:r>
      <w:r>
        <w:rPr>
          <w:rFonts w:hint="eastAsia" w:ascii="Times New Roman" w:hAnsi="Times New Roman" w:eastAsia="仿宋_GB2312" w:cs="仿宋_GB2312"/>
          <w:color w:val="FF0000"/>
          <w:sz w:val="28"/>
        </w:rPr>
        <w:t>县河（含梅河）水生态治理工程</w:t>
      </w:r>
      <w:r>
        <w:rPr>
          <w:rFonts w:hint="eastAsia" w:ascii="Times New Roman" w:hAnsi="Times New Roman" w:eastAsia="仿宋_GB2312" w:cs="仿宋_GB2312"/>
          <w:color w:val="FF0000"/>
          <w:sz w:val="28"/>
          <w:lang w:eastAsia="zh-CN"/>
        </w:rPr>
        <w:t>（水系连通及水美乡村建设）</w:t>
      </w:r>
    </w:p>
    <w:p w14:paraId="71C15373">
      <w:pPr>
        <w:pStyle w:val="11"/>
        <w:snapToGrid w:val="0"/>
        <w:spacing w:line="360" w:lineRule="auto"/>
        <w:ind w:firstLine="560"/>
        <w:rPr>
          <w:rFonts w:hint="eastAsia" w:ascii="Times New Roman" w:hAnsi="Times New Roman" w:eastAsia="仿宋_GB2312" w:cs="仿宋_GB2312"/>
          <w:color w:val="FF0000"/>
          <w:sz w:val="28"/>
          <w:lang w:val="en-US" w:eastAsia="zh-CN"/>
        </w:rPr>
      </w:pPr>
      <w:r>
        <w:rPr>
          <w:rFonts w:hint="eastAsia" w:ascii="Times New Roman" w:hAnsi="Times New Roman" w:eastAsia="仿宋_GB2312" w:cs="仿宋_GB2312"/>
          <w:color w:val="FF0000"/>
          <w:sz w:val="28"/>
          <w:lang w:val="en-US"/>
        </w:rPr>
        <w:t>建设地点</w:t>
      </w:r>
      <w:r>
        <w:rPr>
          <w:rFonts w:eastAsia="仿宋_GB2312"/>
          <w:color w:val="FF0000"/>
          <w:sz w:val="28"/>
        </w:rPr>
        <w:t>：</w:t>
      </w:r>
      <w:r>
        <w:rPr>
          <w:rFonts w:hint="eastAsia" w:ascii="Times New Roman" w:hAnsi="Times New Roman" w:eastAsia="仿宋_GB2312" w:cs="仿宋_GB2312"/>
          <w:color w:val="FF0000"/>
          <w:sz w:val="28"/>
          <w:lang w:val="en-US" w:eastAsia="zh-CN"/>
        </w:rPr>
        <w:t>龙港镇、郑庄镇</w:t>
      </w:r>
    </w:p>
    <w:p w14:paraId="3299F5D5">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FF0000"/>
          <w:sz w:val="28"/>
          <w:lang w:val="en-US"/>
        </w:rPr>
        <w:t>建设内容</w:t>
      </w:r>
      <w:r>
        <w:rPr>
          <w:rFonts w:eastAsia="仿宋_GB2312"/>
          <w:color w:val="FF0000"/>
          <w:sz w:val="28"/>
        </w:rPr>
        <w:t>：</w:t>
      </w:r>
      <w:r>
        <w:rPr>
          <w:rFonts w:hint="eastAsia" w:ascii="Times New Roman" w:hAnsi="Times New Roman" w:eastAsia="仿宋_GB2312" w:cs="仿宋_GB2312"/>
          <w:color w:val="FF0000"/>
          <w:sz w:val="28"/>
        </w:rPr>
        <w:t>综合治理县河58公里，包括沿岸隔离缓冲带建设、林草管护、汇流口湿地、污水处理厂出口湿地建设，上游新建谷坊、浆砌石淤地坝、水土流失封育、治理等。</w:t>
      </w:r>
    </w:p>
    <w:p w14:paraId="14C6ABD4">
      <w:pPr>
        <w:pStyle w:val="11"/>
        <w:snapToGrid w:val="0"/>
        <w:spacing w:line="360" w:lineRule="auto"/>
        <w:ind w:firstLine="560"/>
        <w:rPr>
          <w:rFonts w:hint="eastAsia" w:ascii="仿宋" w:hAnsi="仿宋" w:eastAsia="仿宋" w:cs="仿宋"/>
          <w:color w:val="FF0000"/>
          <w:sz w:val="28"/>
          <w:szCs w:val="28"/>
        </w:rPr>
      </w:pPr>
      <w:r>
        <w:rPr>
          <w:rFonts w:hint="eastAsia" w:ascii="Times New Roman" w:hAnsi="Times New Roman" w:eastAsia="仿宋_GB2312" w:cs="仿宋_GB2312"/>
          <w:color w:val="FF0000"/>
          <w:sz w:val="28"/>
        </w:rPr>
        <w:t>工程投资</w:t>
      </w:r>
      <w:r>
        <w:rPr>
          <w:rFonts w:eastAsia="仿宋_GB2312"/>
          <w:color w:val="FF0000"/>
          <w:sz w:val="28"/>
        </w:rPr>
        <w:t>：</w:t>
      </w:r>
      <w:r>
        <w:rPr>
          <w:rFonts w:hint="eastAsia" w:ascii="Times New Roman" w:hAnsi="Times New Roman" w:eastAsia="仿宋_GB2312" w:cs="仿宋_GB2312"/>
          <w:color w:val="FF0000"/>
          <w:sz w:val="28"/>
        </w:rPr>
        <w:t>总投资2.3亿元</w:t>
      </w:r>
      <w:r>
        <w:rPr>
          <w:rFonts w:hint="eastAsia" w:ascii="仿宋" w:hAnsi="仿宋" w:eastAsia="仿宋" w:cs="仿宋"/>
          <w:color w:val="FF0000"/>
          <w:sz w:val="28"/>
          <w:szCs w:val="28"/>
        </w:rPr>
        <w:t>。</w:t>
      </w:r>
    </w:p>
    <w:p w14:paraId="6D015CE6">
      <w:pPr>
        <w:pStyle w:val="11"/>
        <w:numPr>
          <w:ilvl w:val="0"/>
          <w:numId w:val="0"/>
        </w:numPr>
        <w:snapToGrid w:val="0"/>
        <w:spacing w:line="360" w:lineRule="auto"/>
        <w:ind w:firstLine="560" w:firstLineChars="200"/>
        <w:rPr>
          <w:rFonts w:hint="eastAsia" w:ascii="仿宋" w:hAnsi="仿宋" w:eastAsia="仿宋" w:cs="仿宋"/>
          <w:color w:val="auto"/>
          <w:sz w:val="28"/>
          <w:szCs w:val="28"/>
          <w:lang w:val="en-US" w:eastAsia="zh-CN"/>
        </w:rPr>
      </w:pPr>
      <w:r>
        <w:rPr>
          <w:rFonts w:hint="eastAsia" w:ascii="Times New Roman" w:hAnsi="Times New Roman" w:eastAsia="仿宋" w:cs="仿宋"/>
          <w:color w:val="auto"/>
          <w:sz w:val="28"/>
          <w:szCs w:val="28"/>
          <w:lang w:val="en-US" w:eastAsia="zh-CN"/>
        </w:rPr>
        <w:t>7</w:t>
      </w:r>
      <w:r>
        <w:rPr>
          <w:rFonts w:hint="eastAsia" w:ascii="仿宋" w:hAnsi="仿宋" w:eastAsia="仿宋" w:cs="仿宋"/>
          <w:color w:val="auto"/>
          <w:sz w:val="28"/>
          <w:szCs w:val="28"/>
          <w:lang w:val="en-US" w:eastAsia="zh-CN"/>
        </w:rPr>
        <w:t>、沁水县端氏河及湘峪河水生态综合治理</w:t>
      </w:r>
    </w:p>
    <w:p w14:paraId="2C0E94FA">
      <w:pPr>
        <w:pStyle w:val="11"/>
        <w:snapToGrid w:val="0"/>
        <w:spacing w:line="360" w:lineRule="auto"/>
        <w:ind w:firstLine="560"/>
        <w:rPr>
          <w:rFonts w:hint="eastAsia" w:ascii="Times New Roman" w:hAnsi="Times New Roman" w:eastAsia="仿宋_GB2312" w:cs="仿宋_GB2312"/>
          <w:color w:val="auto"/>
          <w:sz w:val="28"/>
          <w:lang w:val="en-US"/>
        </w:rPr>
      </w:pPr>
      <w:r>
        <w:rPr>
          <w:rFonts w:hint="eastAsia" w:ascii="Times New Roman" w:hAnsi="Times New Roman" w:eastAsia="仿宋_GB2312" w:cs="仿宋_GB2312"/>
          <w:color w:val="auto"/>
          <w:sz w:val="28"/>
          <w:lang w:val="en-US"/>
        </w:rPr>
        <w:t>建设地点</w:t>
      </w:r>
      <w:r>
        <w:rPr>
          <w:rFonts w:eastAsia="仿宋_GB2312"/>
          <w:color w:val="auto"/>
          <w:sz w:val="28"/>
        </w:rPr>
        <w:t>：</w:t>
      </w:r>
      <w:r>
        <w:rPr>
          <w:rFonts w:hint="eastAsia" w:ascii="Times New Roman" w:hAnsi="Times New Roman" w:eastAsia="仿宋_GB2312" w:cs="仿宋_GB2312"/>
          <w:color w:val="auto"/>
          <w:sz w:val="28"/>
          <w:lang w:val="en-US"/>
        </w:rPr>
        <w:t>郑村镇</w:t>
      </w:r>
    </w:p>
    <w:p w14:paraId="75B8858A">
      <w:pPr>
        <w:pStyle w:val="11"/>
        <w:snapToGrid w:val="0"/>
        <w:spacing w:line="360" w:lineRule="auto"/>
        <w:ind w:firstLine="560"/>
        <w:rPr>
          <w:rFonts w:hint="eastAsia" w:ascii="Times New Roman" w:hAnsi="Times New Roman" w:eastAsia="仿宋_GB2312" w:cs="仿宋_GB2312"/>
          <w:color w:val="auto"/>
          <w:kern w:val="2"/>
          <w:sz w:val="28"/>
          <w:szCs w:val="28"/>
          <w:lang w:val="en-US" w:eastAsia="zh-CN" w:bidi="ar-SA"/>
        </w:rPr>
      </w:pPr>
      <w:r>
        <w:rPr>
          <w:rFonts w:hint="eastAsia" w:ascii="Times New Roman" w:hAnsi="Times New Roman" w:eastAsia="仿宋_GB2312" w:cs="仿宋_GB2312"/>
          <w:color w:val="auto"/>
          <w:sz w:val="28"/>
          <w:lang w:val="en-US"/>
        </w:rPr>
        <w:t>建设内容</w:t>
      </w:r>
      <w:r>
        <w:rPr>
          <w:rFonts w:eastAsia="仿宋_GB2312"/>
          <w:color w:val="auto"/>
          <w:sz w:val="28"/>
        </w:rPr>
        <w:t>：</w:t>
      </w:r>
      <w:r>
        <w:rPr>
          <w:rFonts w:hint="eastAsia" w:ascii="Times New Roman" w:hAnsi="Times New Roman" w:eastAsia="仿宋_GB2312" w:cs="仿宋_GB2312"/>
          <w:color w:val="auto"/>
          <w:kern w:val="2"/>
          <w:sz w:val="28"/>
          <w:szCs w:val="28"/>
          <w:lang w:val="en-US" w:eastAsia="zh-CN" w:bidi="ar-SA"/>
        </w:rPr>
        <w:t xml:space="preserve">①端氏河疏浚河道7km，林草管护1.8hm²，生态护坡7km；十里河与柿庄河汇流口、里河入端氏河汇流口、河北村共建湿地22hm²。②湘峪河疏浚河道11km，林草管护1.8hm²，肖庄、夏 荷、侯村、上半峪村、下半峪村生态护坡6km；肖庄、湘峪村湿地工程30hm²。 </w:t>
      </w:r>
    </w:p>
    <w:p w14:paraId="0F9DBB23">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sz w:val="28"/>
        </w:rPr>
        <w:t>工程投资</w:t>
      </w:r>
      <w:r>
        <w:rPr>
          <w:rFonts w:eastAsia="仿宋_GB2312"/>
          <w:color w:val="auto"/>
          <w:sz w:val="28"/>
        </w:rPr>
        <w:t>：</w:t>
      </w:r>
      <w:r>
        <w:rPr>
          <w:rFonts w:hint="eastAsia" w:ascii="Times New Roman" w:hAnsi="Times New Roman" w:eastAsia="仿宋_GB2312" w:cs="仿宋_GB2312"/>
          <w:color w:val="auto"/>
          <w:sz w:val="28"/>
        </w:rPr>
        <w:t>总投资</w:t>
      </w:r>
      <w:r>
        <w:rPr>
          <w:rFonts w:hint="eastAsia" w:ascii="Times New Roman" w:hAnsi="Times New Roman" w:eastAsia="仿宋_GB2312" w:cs="仿宋_GB2312"/>
          <w:color w:val="auto"/>
          <w:sz w:val="28"/>
          <w:lang w:val="en-US" w:eastAsia="zh-CN"/>
        </w:rPr>
        <w:t>2.2164</w:t>
      </w:r>
      <w:r>
        <w:rPr>
          <w:rFonts w:hint="eastAsia" w:ascii="Times New Roman" w:hAnsi="Times New Roman" w:eastAsia="仿宋_GB2312" w:cs="仿宋_GB2312"/>
          <w:color w:val="auto"/>
          <w:sz w:val="28"/>
        </w:rPr>
        <w:t>亿元</w:t>
      </w:r>
      <w:r>
        <w:rPr>
          <w:rFonts w:hint="eastAsia" w:ascii="仿宋" w:hAnsi="仿宋" w:eastAsia="仿宋" w:cs="仿宋"/>
          <w:color w:val="auto"/>
          <w:sz w:val="28"/>
          <w:szCs w:val="28"/>
        </w:rPr>
        <w:t>。</w:t>
      </w:r>
    </w:p>
    <w:p w14:paraId="03E86030">
      <w:pPr>
        <w:pStyle w:val="8"/>
        <w:rPr>
          <w:color w:val="auto"/>
        </w:rPr>
      </w:pPr>
      <w:bookmarkStart w:id="259" w:name="_Toc10228"/>
      <w:bookmarkStart w:id="260" w:name="_Toc845"/>
      <w:bookmarkStart w:id="261" w:name="_Toc14779"/>
      <w:bookmarkStart w:id="262" w:name="_Toc14125"/>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59"/>
      <w:r>
        <w:rPr>
          <w:rFonts w:hint="eastAsia"/>
          <w:color w:val="auto"/>
        </w:rPr>
        <w:t>水系连通及水美乡村建设</w:t>
      </w:r>
      <w:bookmarkEnd w:id="260"/>
      <w:bookmarkEnd w:id="261"/>
      <w:bookmarkEnd w:id="262"/>
    </w:p>
    <w:p w14:paraId="64B4991F">
      <w:pPr>
        <w:rPr>
          <w:color w:val="auto"/>
        </w:rPr>
      </w:pPr>
    </w:p>
    <w:p w14:paraId="07B6B2DE">
      <w:pPr>
        <w:snapToGrid w:val="0"/>
        <w:spacing w:line="360" w:lineRule="auto"/>
        <w:ind w:firstLine="560" w:firstLineChars="200"/>
        <w:rPr>
          <w:rFonts w:hint="eastAsia" w:ascii="Times New Roman" w:hAnsi="Times New Roman" w:eastAsia="仿宋_GB2312" w:cs="仿宋_GB2312"/>
          <w:color w:val="auto"/>
          <w:kern w:val="2"/>
          <w:sz w:val="28"/>
          <w:szCs w:val="24"/>
          <w:lang w:val="en-US" w:eastAsia="zh-CN" w:bidi="ar-SA"/>
        </w:rPr>
      </w:pPr>
      <w:r>
        <w:rPr>
          <w:rFonts w:hint="eastAsia" w:ascii="Times New Roman" w:hAnsi="Times New Roman" w:eastAsia="仿宋_GB2312" w:cs="仿宋_GB2312"/>
          <w:color w:val="auto"/>
          <w:kern w:val="2"/>
          <w:sz w:val="28"/>
          <w:szCs w:val="24"/>
          <w:lang w:val="en-US" w:eastAsia="zh-CN" w:bidi="ar-SA"/>
        </w:rPr>
        <w:t>农村水系是乡村自然生态系统的核心组成部分，根据改善农村人居环境建设、乡村振兴战略、构建美丽乡村建设的规划，推进以县域为单元，以河流为脉络，以村庄为节点，水域岸线并治，集中连片并治，打造具有示范引领作用的农村水系，推进农村综合整治，建设河畅、水清、岸绿、景美的水美乡村，增强农村群众的获得感、幸福感、安全感、促进乡村全面振兴。</w:t>
      </w:r>
    </w:p>
    <w:p w14:paraId="78444186">
      <w:pPr>
        <w:widowControl/>
        <w:snapToGrid w:val="0"/>
        <w:spacing w:line="360" w:lineRule="auto"/>
        <w:ind w:firstLine="560" w:firstLineChars="200"/>
        <w:jc w:val="left"/>
        <w:rPr>
          <w:color w:val="auto"/>
          <w:sz w:val="28"/>
          <w:szCs w:val="28"/>
        </w:rPr>
      </w:pPr>
      <w:r>
        <w:rPr>
          <w:rFonts w:hint="eastAsia" w:ascii="Times New Roman" w:hAnsi="Times New Roman" w:eastAsia="仿宋_GB2312" w:cs="仿宋_GB2312"/>
          <w:color w:val="auto"/>
          <w:kern w:val="2"/>
          <w:sz w:val="28"/>
          <w:szCs w:val="24"/>
          <w:lang w:val="en-US" w:eastAsia="zh-CN" w:bidi="ar-SA"/>
        </w:rPr>
        <w:t>工程内容见5.1.1 （6）</w:t>
      </w:r>
      <w:r>
        <w:rPr>
          <w:rFonts w:hint="eastAsia" w:ascii="仿宋" w:hAnsi="仿宋" w:eastAsia="仿宋" w:cs="仿宋"/>
          <w:color w:val="auto"/>
          <w:sz w:val="28"/>
          <w:szCs w:val="28"/>
        </w:rPr>
        <w:t>。</w:t>
      </w:r>
    </w:p>
    <w:p w14:paraId="5508793D">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63" w:name="_Toc13488"/>
    </w:p>
    <w:p w14:paraId="3AC52873">
      <w:pPr>
        <w:pStyle w:val="7"/>
        <w:rPr>
          <w:color w:val="auto"/>
        </w:rPr>
      </w:pPr>
      <w:bookmarkStart w:id="264" w:name="_Toc26143"/>
      <w:bookmarkStart w:id="265" w:name="_Toc5455"/>
      <w:bookmarkStart w:id="266" w:name="_Toc581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63"/>
      <w:bookmarkEnd w:id="264"/>
      <w:bookmarkEnd w:id="265"/>
      <w:r>
        <w:rPr>
          <w:rFonts w:hint="eastAsia"/>
          <w:color w:val="auto"/>
        </w:rPr>
        <w:t>汾河流域续鲁峪河(中村段)生态环境治理</w:t>
      </w:r>
      <w:bookmarkEnd w:id="266"/>
    </w:p>
    <w:p w14:paraId="0CD791E3">
      <w:pPr>
        <w:pStyle w:val="2"/>
        <w:ind w:firstLine="562"/>
        <w:rPr>
          <w:color w:val="auto"/>
        </w:rPr>
      </w:pPr>
      <w:r>
        <w:rPr>
          <w:rFonts w:hint="eastAsia" w:ascii="仿宋" w:hAnsi="仿宋" w:eastAsia="仿宋" w:cs="仿宋"/>
          <w:b/>
          <w:bCs/>
          <w:color w:val="auto"/>
          <w:sz w:val="28"/>
          <w:szCs w:val="28"/>
        </w:rPr>
        <w:t>汾河流域续鲁峪河(中村段)生态环境治理工程</w:t>
      </w:r>
      <w:r>
        <w:rPr>
          <w:rFonts w:hint="eastAsia" w:ascii="仿宋" w:hAnsi="仿宋" w:eastAsia="仿宋" w:cs="仿宋"/>
          <w:color w:val="auto"/>
          <w:sz w:val="28"/>
          <w:szCs w:val="28"/>
        </w:rPr>
        <w:t>，既是一项惠民利民工程，更是沿河两岸居民长期以来的夙愿。为实施好这一生态环境综合治理项目，按照“绿水青山就是金山银山”的理念，立足乡村旅游建设基本点，我们将对该项目进行总体规划，全面推进和实施沿河两岸的生态环境建设，坚持走绿色低碳、循环可持续</w:t>
      </w:r>
      <w:bookmarkStart w:id="522" w:name="_GoBack"/>
      <w:bookmarkEnd w:id="522"/>
      <w:r>
        <w:rPr>
          <w:rFonts w:hint="eastAsia" w:ascii="仿宋" w:hAnsi="仿宋" w:eastAsia="仿宋" w:cs="仿宋"/>
          <w:color w:val="auto"/>
          <w:sz w:val="28"/>
          <w:szCs w:val="28"/>
        </w:rPr>
        <w:t>的生态文明发展之路，由粗放型向生态集约型完美转型，确保汾河流域续鲁峪河(中村段)的整体生态环境得到切实改善，真正实现水清、岸绿、景美，让一川绿水、两岸锦绣成为现实，向“休闲旅游名镇”迈出坚实而重要的一步。</w:t>
      </w:r>
    </w:p>
    <w:p w14:paraId="4E94128C">
      <w:pPr>
        <w:widowControl/>
        <w:snapToGrid w:val="0"/>
        <w:spacing w:line="360" w:lineRule="auto"/>
        <w:ind w:firstLine="560"/>
        <w:jc w:val="left"/>
        <w:rPr>
          <w:rFonts w:ascii="仿宋" w:hAnsi="仿宋" w:eastAsia="仿宋" w:cs="仿宋"/>
          <w:color w:val="auto"/>
          <w:sz w:val="28"/>
          <w:szCs w:val="28"/>
        </w:rPr>
      </w:pPr>
      <w:r>
        <w:rPr>
          <w:rFonts w:hint="eastAsia" w:ascii="仿宋" w:hAnsi="仿宋" w:eastAsia="仿宋" w:cs="仿宋"/>
          <w:b/>
          <w:bCs/>
          <w:color w:val="auto"/>
          <w:sz w:val="28"/>
          <w:szCs w:val="28"/>
        </w:rPr>
        <w:t>建设地点：</w:t>
      </w:r>
      <w:r>
        <w:rPr>
          <w:rFonts w:hint="eastAsia" w:eastAsia="仿宋" w:cs="Calibri"/>
          <w:color w:val="auto"/>
          <w:kern w:val="0"/>
          <w:sz w:val="28"/>
          <w:szCs w:val="28"/>
        </w:rPr>
        <w:t>该工程</w:t>
      </w:r>
      <w:r>
        <w:rPr>
          <w:rFonts w:hint="eastAsia" w:ascii="仿宋" w:hAnsi="仿宋" w:eastAsia="仿宋" w:cs="仿宋"/>
          <w:color w:val="auto"/>
          <w:sz w:val="28"/>
          <w:szCs w:val="28"/>
        </w:rPr>
        <w:t>位于中村镇境内的汾河支流——续鲁峪河，地处太行一号风景线沿线，全长约</w:t>
      </w:r>
      <w:r>
        <w:rPr>
          <w:rFonts w:hint="eastAsia" w:ascii="Times New Roman" w:hAnsi="Times New Roman" w:eastAsia="仿宋" w:cs="仿宋_GB2312"/>
          <w:color w:val="auto"/>
          <w:sz w:val="28"/>
          <w:szCs w:val="28"/>
        </w:rPr>
        <w:t>21</w:t>
      </w:r>
      <w:r>
        <w:rPr>
          <w:rFonts w:ascii="Times New Roman" w:hAnsi="Times New Roman" w:eastAsia="仿宋"/>
          <w:color w:val="auto"/>
          <w:sz w:val="28"/>
          <w:szCs w:val="28"/>
        </w:rPr>
        <w:t xml:space="preserve"> </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，由北经南向西流经翼城、绛县后汇入汾河，流域面积达</w:t>
      </w:r>
      <w:r>
        <w:rPr>
          <w:rFonts w:hint="eastAsia" w:ascii="Times New Roman" w:hAnsi="Times New Roman" w:eastAsia="仿宋" w:cs="仿宋_GB2312"/>
          <w:color w:val="auto"/>
          <w:sz w:val="28"/>
          <w:szCs w:val="28"/>
        </w:rPr>
        <w:t>106</w:t>
      </w:r>
      <w:r>
        <w:rPr>
          <w:rFonts w:ascii="Times New Roman" w:hAnsi="Times New Roman" w:eastAsia="仿宋" w:cs="仿宋_GB2312"/>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，惠泽沿岸耕地</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仿宋" w:hAnsi="仿宋" w:eastAsia="仿宋" w:cs="仿宋"/>
          <w:color w:val="auto"/>
          <w:sz w:val="28"/>
          <w:szCs w:val="28"/>
        </w:rPr>
        <w:t>万余亩，以及</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个行政村约</w:t>
      </w:r>
      <w:r>
        <w:rPr>
          <w:rFonts w:hint="eastAsia" w:ascii="Times New Roman" w:hAnsi="Times New Roman" w:eastAsia="仿宋" w:cs="仿宋_GB2312"/>
          <w:color w:val="auto"/>
          <w:sz w:val="28"/>
          <w:szCs w:val="28"/>
        </w:rPr>
        <w:t>4153</w:t>
      </w:r>
      <w:r>
        <w:rPr>
          <w:rFonts w:hint="eastAsia" w:ascii="仿宋" w:hAnsi="仿宋" w:eastAsia="仿宋" w:cs="仿宋"/>
          <w:color w:val="auto"/>
          <w:sz w:val="28"/>
          <w:szCs w:val="28"/>
        </w:rPr>
        <w:t>户、</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万余中村百姓。</w:t>
      </w:r>
    </w:p>
    <w:p w14:paraId="14B590E2">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建设内容：</w:t>
      </w:r>
      <w:r>
        <w:rPr>
          <w:rFonts w:hint="eastAsia" w:ascii="仿宋" w:hAnsi="仿宋" w:eastAsia="仿宋" w:cs="仿宋"/>
          <w:color w:val="auto"/>
          <w:sz w:val="28"/>
          <w:szCs w:val="28"/>
        </w:rPr>
        <w:t>河道治理长度</w:t>
      </w:r>
      <w:r>
        <w:rPr>
          <w:rFonts w:hint="eastAsia" w:ascii="Times New Roman" w:hAnsi="Times New Roman" w:eastAsia="仿宋" w:cs="仿宋_GB2312"/>
          <w:color w:val="auto"/>
          <w:sz w:val="28"/>
          <w:szCs w:val="28"/>
        </w:rPr>
        <w:t>21</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。新建堤坝长约</w:t>
      </w:r>
      <w:r>
        <w:rPr>
          <w:rFonts w:hint="eastAsia" w:ascii="Times New Roman" w:hAnsi="Times New Roman" w:eastAsia="仿宋" w:cs="仿宋_GB2312"/>
          <w:color w:val="auto"/>
          <w:sz w:val="28"/>
          <w:szCs w:val="28"/>
        </w:rPr>
        <w:t>27</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；河道清淤长度</w:t>
      </w:r>
      <w:r>
        <w:rPr>
          <w:rFonts w:hint="eastAsia" w:ascii="Times New Roman" w:hAnsi="Times New Roman" w:eastAsia="仿宋" w:cs="仿宋_GB2312"/>
          <w:color w:val="auto"/>
          <w:sz w:val="28"/>
          <w:szCs w:val="28"/>
        </w:rPr>
        <w:t>16</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。新建便民交通桥</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座；新建钢闸坝</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座，滚水坝</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座；新建污水处理厂（日处理污水能力达</w:t>
      </w:r>
      <w:r>
        <w:rPr>
          <w:rFonts w:hint="eastAsia" w:ascii="Times New Roman" w:hAnsi="Times New Roman" w:eastAsia="仿宋" w:cs="仿宋_GB2312"/>
          <w:color w:val="auto"/>
          <w:sz w:val="28"/>
          <w:szCs w:val="28"/>
        </w:rPr>
        <w:t>1000</w:t>
      </w:r>
      <w:r>
        <w:rPr>
          <w:rFonts w:hint="eastAsia" w:ascii="仿宋" w:hAnsi="仿宋" w:eastAsia="仿宋" w:cs="仿宋"/>
          <w:color w:val="auto"/>
          <w:sz w:val="28"/>
          <w:szCs w:val="28"/>
        </w:rPr>
        <w:t>吨）</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座，新建水源涵养林和种植苗木；其中新建水源涵养林</w:t>
      </w:r>
      <w:r>
        <w:rPr>
          <w:rFonts w:hint="eastAsia" w:ascii="Times New Roman" w:hAnsi="Times New Roman" w:eastAsia="仿宋" w:cs="仿宋_GB2312"/>
          <w:color w:val="auto"/>
          <w:sz w:val="28"/>
          <w:szCs w:val="28"/>
        </w:rPr>
        <w:t>330</w:t>
      </w:r>
      <w:r>
        <w:rPr>
          <w:rFonts w:hint="eastAsia" w:ascii="仿宋" w:hAnsi="仿宋" w:eastAsia="仿宋" w:cs="仿宋"/>
          <w:color w:val="auto"/>
          <w:sz w:val="28"/>
          <w:szCs w:val="28"/>
        </w:rPr>
        <w:t>亩，种植苗木</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万珠；铺设休闲人行步道约</w:t>
      </w:r>
      <w:r>
        <w:rPr>
          <w:rFonts w:hint="eastAsia" w:ascii="Times New Roman" w:hAnsi="Times New Roman" w:eastAsia="仿宋" w:cs="仿宋_GB2312"/>
          <w:color w:val="auto"/>
          <w:sz w:val="28"/>
          <w:szCs w:val="28"/>
        </w:rPr>
        <w:t>2</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宽的绿化带长</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，种植景观树</w:t>
      </w:r>
      <w:r>
        <w:rPr>
          <w:rFonts w:hint="eastAsia" w:ascii="Times New Roman" w:hAnsi="Times New Roman" w:eastAsia="仿宋" w:cs="仿宋_GB2312"/>
          <w:color w:val="auto"/>
          <w:sz w:val="28"/>
          <w:szCs w:val="28"/>
        </w:rPr>
        <w:t>8040</w:t>
      </w:r>
      <w:r>
        <w:rPr>
          <w:rFonts w:hint="eastAsia" w:ascii="仿宋" w:hAnsi="仿宋" w:eastAsia="仿宋" w:cs="仿宋"/>
          <w:color w:val="auto"/>
          <w:sz w:val="28"/>
          <w:szCs w:val="28"/>
        </w:rPr>
        <w:t>株；建设悬挑木和亲水平台，乡村田园、湿地、设施农业和休闲农业等景观。</w:t>
      </w:r>
    </w:p>
    <w:p w14:paraId="19A8D807">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工程效益：</w:t>
      </w:r>
      <w:r>
        <w:rPr>
          <w:rFonts w:hint="eastAsia" w:ascii="仿宋" w:hAnsi="仿宋" w:eastAsia="仿宋" w:cs="仿宋"/>
          <w:color w:val="auto"/>
          <w:sz w:val="28"/>
          <w:szCs w:val="28"/>
        </w:rPr>
        <w:t>该项目计划对续鲁峪河（中村段）进行全流域、全方位、全系统地综合施治，“清淤、建坝、控污、调水、绿岸”五策并举，一是强化河坝安全功能，恢复提升河道排水行洪能力，确保沿岸百姓生活生产安全；二是强化调水供水功能，充分保障中村百姓生活生产用水需求；三是强化河道生态美化功能，还沿岸百姓以安全和谐、美丽宜人的生活游憩环境。项目建成后，沿河</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村将成为集河道、绿地、景观为一体，生态、文化、功能相兼容的景观系统，从而极大助力我镇早日实现“休闲旅游名镇”的发展目标。</w:t>
      </w:r>
    </w:p>
    <w:p w14:paraId="7DBFE9C5">
      <w:pPr>
        <w:pStyle w:val="2"/>
        <w:ind w:firstLine="562"/>
        <w:rPr>
          <w:rFonts w:hint="eastAsia" w:ascii="仿宋" w:hAnsi="仿宋" w:eastAsia="仿宋" w:cs="仿宋"/>
          <w:color w:val="auto"/>
          <w:sz w:val="28"/>
          <w:szCs w:val="28"/>
        </w:rPr>
      </w:pPr>
      <w:r>
        <w:rPr>
          <w:rFonts w:hint="eastAsia" w:ascii="仿宋" w:hAnsi="仿宋" w:eastAsia="仿宋" w:cs="仿宋"/>
          <w:b/>
          <w:bCs/>
          <w:color w:val="auto"/>
          <w:sz w:val="28"/>
          <w:szCs w:val="28"/>
        </w:rPr>
        <w:t>工程投资：</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w:t>
      </w:r>
    </w:p>
    <w:p w14:paraId="035D08D8">
      <w:pPr>
        <w:pStyle w:val="7"/>
        <w:rPr>
          <w:rFonts w:hint="eastAsia" w:ascii="Times New Roman" w:hAnsi="Times New Roman" w:cs="仿宋_GB2312"/>
          <w:color w:val="auto"/>
          <w:lang w:val="en-US" w:eastAsia="zh-CN"/>
        </w:rPr>
      </w:pPr>
      <w:bookmarkStart w:id="267" w:name="_Toc1622"/>
      <w:bookmarkStart w:id="268" w:name="_Toc29523"/>
      <w:bookmarkStart w:id="269" w:name="_Toc9577"/>
      <w:bookmarkStart w:id="270" w:name="_Toc27260"/>
      <w:r>
        <w:rPr>
          <w:rFonts w:hint="eastAsia" w:ascii="Times New Roman" w:hAnsi="Times New Roman" w:cs="仿宋_GB2312"/>
          <w:color w:val="auto"/>
          <w:lang w:val="en-US" w:eastAsia="zh-CN"/>
        </w:rPr>
        <w:t>5.3 水土保持规划</w:t>
      </w:r>
      <w:bookmarkEnd w:id="267"/>
      <w:bookmarkEnd w:id="268"/>
      <w:bookmarkEnd w:id="269"/>
      <w:bookmarkEnd w:id="270"/>
    </w:p>
    <w:p w14:paraId="1B7273D8">
      <w:pPr>
        <w:pStyle w:val="7"/>
        <w:rPr>
          <w:rFonts w:ascii="仿宋" w:hAnsi="仿宋" w:eastAsia="仿宋" w:cs="仿宋"/>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p>
    <w:p w14:paraId="688408AE">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认真贯彻落实习近平总书记在黄河流域生态保护和高质量发展座谈会上的</w:t>
      </w:r>
      <w:r>
        <w:rPr>
          <w:rFonts w:hint="eastAsia" w:ascii="仿宋" w:hAnsi="仿宋" w:eastAsia="仿宋" w:cs="仿宋"/>
          <w:color w:val="auto"/>
          <w:kern w:val="0"/>
          <w:sz w:val="28"/>
          <w:szCs w:val="28"/>
          <w:lang w:eastAsia="zh-CN"/>
        </w:rPr>
        <w:t>重要</w:t>
      </w:r>
      <w:r>
        <w:rPr>
          <w:rFonts w:hint="eastAsia" w:ascii="仿宋" w:hAnsi="仿宋" w:eastAsia="仿宋" w:cs="仿宋"/>
          <w:color w:val="auto"/>
          <w:kern w:val="0"/>
          <w:sz w:val="28"/>
          <w:szCs w:val="28"/>
        </w:rPr>
        <w:t>讲话精神，</w:t>
      </w:r>
      <w:r>
        <w:rPr>
          <w:rFonts w:ascii="仿宋" w:hAnsi="仿宋" w:eastAsia="仿宋" w:cs="仿宋"/>
          <w:color w:val="auto"/>
          <w:kern w:val="0"/>
          <w:sz w:val="28"/>
          <w:szCs w:val="28"/>
        </w:rPr>
        <w:t>坚持</w:t>
      </w:r>
      <w:r>
        <w:rPr>
          <w:rFonts w:hint="eastAsia" w:ascii="仿宋" w:hAnsi="仿宋" w:eastAsia="仿宋" w:cs="仿宋"/>
          <w:color w:val="auto"/>
          <w:kern w:val="0"/>
          <w:sz w:val="28"/>
          <w:szCs w:val="28"/>
        </w:rPr>
        <w:t>“预防为主、保护优先、全面规划、综合治理、因地制宜、突出重点、科学管理、注重效益”的工作方针，以生态清洁型小流域建设和水土保持重点建设工程为重点，开展以小流域为单元的山水林田湖一体化生态保护和修复，合理配置工程措施、植物措施、耕作措施，形成综合防治体系，维护和提高水土保持功能。加强重点预防保护区林草植被和治理成果的管护，强化生产建设活动的监管，加强水库及淤地坝周边环境综合整治，实施生态修复，从源头上控制水土流失；建立完善水土保持监测网络和信息系统，利用先进监测设备和科学监测手段，加强水土保持动态监测与管理，及时全面反映水土流失动态及趋势，科学评价水土保持综合治理效益与生态环境状况。</w:t>
      </w:r>
    </w:p>
    <w:p w14:paraId="3C4214A7">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全县主要实施国家水土保持重点建设工程、水土保持工程、黄河流域坡耕地水土流失综合治理工程、国家水土流失重点建设工程等项目，以及地方相关部门、水保大户实施的水土流失治理等工程完成。</w:t>
      </w:r>
    </w:p>
    <w:p w14:paraId="78AD3387">
      <w:pPr>
        <w:pStyle w:val="8"/>
        <w:bidi w:val="0"/>
        <w:rPr>
          <w:color w:val="auto"/>
        </w:rPr>
      </w:pPr>
      <w:bookmarkStart w:id="271" w:name="_Toc16349"/>
      <w:bookmarkStart w:id="272" w:name="_Toc26629"/>
      <w:bookmarkStart w:id="273" w:name="_Toc7896"/>
      <w:bookmarkStart w:id="274" w:name="_Toc19449"/>
      <w:r>
        <w:rPr>
          <w:rFonts w:hint="eastAsia" w:ascii="Times New Roman" w:hAnsi="Times New Roman"/>
          <w:color w:val="auto"/>
          <w:lang w:val="en-US" w:eastAsia="zh-CN"/>
        </w:rPr>
        <w:t>5</w:t>
      </w:r>
      <w:r>
        <w:rPr>
          <w:color w:val="auto"/>
        </w:rPr>
        <w:t>.</w:t>
      </w:r>
      <w:r>
        <w:rPr>
          <w:rFonts w:hint="eastAsia" w:ascii="Times New Roman" w:hAnsi="Times New Roman"/>
          <w:color w:val="auto"/>
        </w:rPr>
        <w:t>1</w:t>
      </w:r>
      <w:r>
        <w:rPr>
          <w:color w:val="auto"/>
        </w:rPr>
        <w:t xml:space="preserve">  水</w:t>
      </w:r>
      <w:r>
        <w:rPr>
          <w:rFonts w:hint="eastAsia"/>
          <w:color w:val="auto"/>
        </w:rPr>
        <w:t>土保持工程</w:t>
      </w:r>
      <w:bookmarkEnd w:id="271"/>
      <w:bookmarkEnd w:id="272"/>
      <w:bookmarkEnd w:id="273"/>
      <w:bookmarkEnd w:id="274"/>
    </w:p>
    <w:p w14:paraId="41E88CB2">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kern w:val="0"/>
          <w:sz w:val="28"/>
          <w:szCs w:val="28"/>
        </w:rPr>
        <w:t>“十四五”期间，</w:t>
      </w:r>
      <w:r>
        <w:rPr>
          <w:rFonts w:hint="eastAsia" w:ascii="仿宋" w:hAnsi="仿宋" w:eastAsia="仿宋" w:cs="仿宋"/>
          <w:color w:val="auto"/>
          <w:sz w:val="28"/>
          <w:szCs w:val="28"/>
        </w:rPr>
        <w:t>沁水县新增水土保持治理面积</w:t>
      </w:r>
      <w:r>
        <w:rPr>
          <w:rFonts w:ascii="Times New Roman" w:hAnsi="Times New Roman" w:eastAsia="仿宋" w:cs="仿宋_GB2312"/>
          <w:color w:val="auto"/>
          <w:kern w:val="0"/>
          <w:sz w:val="28"/>
          <w:szCs w:val="28"/>
        </w:rPr>
        <w:t>425</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35km</w:t>
      </w:r>
      <w:r>
        <w:rPr>
          <w:rFonts w:ascii="Times New Roman" w:hAnsi="Times New Roman" w:eastAsia="仿宋" w:cs="仿宋_GB2312"/>
          <w:color w:val="auto"/>
          <w:kern w:val="0"/>
          <w:sz w:val="28"/>
          <w:szCs w:val="28"/>
          <w:vertAlign w:val="superscript"/>
        </w:rPr>
        <w:t>2</w:t>
      </w:r>
      <w:r>
        <w:rPr>
          <w:rFonts w:hint="eastAsia" w:ascii="仿宋" w:hAnsi="仿宋" w:eastAsia="仿宋" w:cs="仿宋"/>
          <w:color w:val="auto"/>
          <w:sz w:val="28"/>
          <w:szCs w:val="28"/>
        </w:rPr>
        <w:t>。建设内容为：新建县河流域、十里河流域、柿庄河流域、固县河流域、胡底河流域和端氏河流域范围内</w:t>
      </w:r>
      <w:r>
        <w:rPr>
          <w:rFonts w:ascii="Times New Roman" w:hAnsi="Times New Roman" w:eastAsia="仿宋" w:cs="仿宋_GB2312"/>
          <w:color w:val="auto"/>
          <w:sz w:val="28"/>
          <w:szCs w:val="28"/>
        </w:rPr>
        <w:t>30</w:t>
      </w:r>
      <w:r>
        <w:rPr>
          <w:rFonts w:hint="eastAsia" w:ascii="仿宋" w:hAnsi="仿宋" w:eastAsia="仿宋" w:cs="仿宋"/>
          <w:color w:val="auto"/>
          <w:sz w:val="28"/>
          <w:szCs w:val="28"/>
        </w:rPr>
        <w:t>个小流域的水土保持治理。其中：基本农田</w:t>
      </w:r>
      <w:r>
        <w:rPr>
          <w:rFonts w:hint="eastAsia" w:ascii="Times New Roman" w:hAnsi="Times New Roman" w:eastAsia="仿宋" w:cs="仿宋_GB2312"/>
          <w:color w:val="auto"/>
          <w:sz w:val="28"/>
          <w:szCs w:val="28"/>
        </w:rPr>
        <w:t>5161</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，水保林水保林</w:t>
      </w:r>
      <w:r>
        <w:rPr>
          <w:rFonts w:hint="eastAsia" w:ascii="Times New Roman" w:hAnsi="Times New Roman" w:eastAsia="仿宋" w:cs="仿宋_GB2312"/>
          <w:color w:val="auto"/>
          <w:sz w:val="28"/>
          <w:szCs w:val="28"/>
        </w:rPr>
        <w:t>2188</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33886h</w:t>
      </w:r>
      <w:r>
        <w:rPr>
          <w:rFonts w:hint="eastAsia" w:ascii="Times New Roman" w:hAnsi="Times New Roman" w:eastAsia="仿宋" w:cs="仿宋"/>
          <w:color w:val="auto"/>
          <w:sz w:val="28"/>
          <w:szCs w:val="28"/>
        </w:rPr>
        <w:t>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座，治理面积</w:t>
      </w:r>
      <w:r>
        <w:rPr>
          <w:rFonts w:hint="eastAsia" w:ascii="Times New Roman" w:hAnsi="Times New Roman" w:eastAsia="仿宋" w:cs="仿宋_GB2312"/>
          <w:color w:val="auto"/>
          <w:sz w:val="28"/>
          <w:szCs w:val="28"/>
        </w:rPr>
        <w:t>1300</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138k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亿元。</w:t>
      </w:r>
    </w:p>
    <w:p w14:paraId="0B7B1CB2">
      <w:pPr>
        <w:pStyle w:val="9"/>
        <w:bidi w:val="0"/>
        <w:rPr>
          <w:color w:val="auto"/>
        </w:rPr>
      </w:pPr>
      <w:r>
        <w:rPr>
          <w:rFonts w:hint="eastAsia" w:ascii="Times New Roman" w:hAnsi="Times New Roman"/>
          <w:color w:val="auto"/>
          <w:lang w:val="en-US" w:eastAsia="zh-CN"/>
        </w:rPr>
        <w:t>5</w:t>
      </w:r>
      <w:r>
        <w:rPr>
          <w:rFonts w:hint="eastAsia"/>
          <w:color w:val="auto"/>
        </w:rPr>
        <w:t>.</w:t>
      </w:r>
      <w:r>
        <w:rPr>
          <w:rFonts w:hint="eastAsia" w:ascii="Times New Roman" w:hAnsi="Times New Roman"/>
          <w:color w:val="auto"/>
        </w:rPr>
        <w:t>1</w:t>
      </w:r>
      <w:r>
        <w:rPr>
          <w:rFonts w:hint="eastAsia"/>
          <w:color w:val="auto"/>
        </w:rPr>
        <w:t>.</w:t>
      </w:r>
      <w:r>
        <w:rPr>
          <w:rFonts w:hint="eastAsia" w:ascii="Times New Roman" w:hAnsi="Times New Roman"/>
          <w:color w:val="auto"/>
        </w:rPr>
        <w:t>1</w:t>
      </w:r>
      <w:r>
        <w:rPr>
          <w:rFonts w:hint="eastAsia"/>
          <w:color w:val="auto"/>
        </w:rPr>
        <w:t xml:space="preserve"> 国家水土保持重点建设工程</w:t>
      </w:r>
    </w:p>
    <w:p w14:paraId="01E5B419">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十四五”期间，以沁水县的郑庄、端氏、十里、固县等乡镇为重点，覆盖柿庄、胡底、嘉峰、郑村等乡镇，以小流域为单元，坚持“山、水、田、林、路”综合规划，经济效益、生态效益、社会效益统筹兼顾，具体措施布局为：</w:t>
      </w:r>
    </w:p>
    <w:p w14:paraId="5EE488D2">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一</w:t>
      </w:r>
      <w:r>
        <w:rPr>
          <w:rFonts w:ascii="仿宋" w:hAnsi="仿宋" w:eastAsia="仿宋" w:cs="仿宋"/>
          <w:color w:val="auto"/>
          <w:kern w:val="0"/>
          <w:sz w:val="28"/>
          <w:szCs w:val="28"/>
        </w:rPr>
        <w:t>、加大流域内荒山、荒坡的绿化工程，对具备自然修复条件的疏林地、幼林地进行封禁治理，加强封育保护。</w:t>
      </w:r>
    </w:p>
    <w:p w14:paraId="6C7F31BE">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二</w:t>
      </w:r>
      <w:r>
        <w:rPr>
          <w:rFonts w:ascii="仿宋" w:hAnsi="仿宋" w:eastAsia="仿宋" w:cs="仿宋"/>
          <w:color w:val="auto"/>
          <w:kern w:val="0"/>
          <w:sz w:val="28"/>
          <w:szCs w:val="28"/>
        </w:rPr>
        <w:t>、加强小流域内的沟道拦蓄防护工程，做到拦泥蓄沙，涵养水源，对有条件的沟道实行坝滩联治，使流域内的生态环境保护功能得到提升。</w:t>
      </w:r>
    </w:p>
    <w:p w14:paraId="3BB1D7ED">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通过工程措施与林草措施相结合，规划新建小流域</w:t>
      </w:r>
      <w:r>
        <w:rPr>
          <w:rFonts w:ascii="Times New Roman" w:hAnsi="Times New Roman" w:eastAsia="仿宋" w:cs="仿宋_GB2312"/>
          <w:color w:val="auto"/>
          <w:kern w:val="0"/>
          <w:sz w:val="28"/>
          <w:szCs w:val="28"/>
        </w:rPr>
        <w:t>5</w:t>
      </w:r>
      <w:r>
        <w:rPr>
          <w:rFonts w:hint="eastAsia" w:ascii="微软雅黑" w:hAnsi="微软雅黑" w:eastAsia="微软雅黑" w:cs="微软雅黑"/>
          <w:color w:val="auto"/>
          <w:kern w:val="0"/>
          <w:sz w:val="28"/>
          <w:szCs w:val="28"/>
        </w:rPr>
        <w:t>~</w:t>
      </w:r>
      <w:r>
        <w:rPr>
          <w:rFonts w:ascii="Times New Roman" w:hAnsi="Times New Roman" w:eastAsia="仿宋" w:cs="仿宋_GB2312"/>
          <w:color w:val="auto"/>
          <w:kern w:val="0"/>
          <w:sz w:val="28"/>
          <w:szCs w:val="28"/>
        </w:rPr>
        <w:t>10</w:t>
      </w:r>
      <w:r>
        <w:rPr>
          <w:rFonts w:ascii="仿宋" w:hAnsi="仿宋" w:eastAsia="仿宋" w:cs="仿宋"/>
          <w:color w:val="auto"/>
          <w:kern w:val="0"/>
          <w:sz w:val="28"/>
          <w:szCs w:val="28"/>
        </w:rPr>
        <w:t>条，综合治理水土流失面积</w:t>
      </w:r>
      <w:r>
        <w:rPr>
          <w:rFonts w:ascii="Times New Roman" w:hAnsi="Times New Roman" w:eastAsia="仿宋" w:cs="仿宋_GB2312"/>
          <w:color w:val="auto"/>
          <w:kern w:val="0"/>
          <w:sz w:val="28"/>
          <w:szCs w:val="28"/>
        </w:rPr>
        <w:t>360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56</w:t>
      </w:r>
      <w:r>
        <w:rPr>
          <w:rFonts w:ascii="Times New Roman" w:hAnsi="Times New Roman" w:eastAsia="仿宋" w:cs="仿宋"/>
          <w:color w:val="auto"/>
          <w:kern w:val="0"/>
          <w:sz w:val="28"/>
          <w:szCs w:val="28"/>
        </w:rPr>
        <w:t>km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，其中：水保林</w:t>
      </w:r>
      <w:r>
        <w:rPr>
          <w:rFonts w:ascii="Times New Roman" w:hAnsi="Times New Roman" w:eastAsia="仿宋" w:cs="仿宋_GB2312"/>
          <w:color w:val="auto"/>
          <w:kern w:val="0"/>
          <w:sz w:val="28"/>
          <w:szCs w:val="28"/>
        </w:rPr>
        <w:t>2188</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，封禁治理</w:t>
      </w:r>
      <w:r>
        <w:rPr>
          <w:rFonts w:ascii="Times New Roman" w:hAnsi="Times New Roman" w:eastAsia="仿宋" w:cs="仿宋_GB2312"/>
          <w:color w:val="auto"/>
          <w:kern w:val="0"/>
          <w:sz w:val="28"/>
          <w:szCs w:val="28"/>
        </w:rPr>
        <w:t>33886</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，新建浆砌石谷坊</w:t>
      </w:r>
      <w:r>
        <w:rPr>
          <w:rFonts w:ascii="Times New Roman" w:hAnsi="Times New Roman" w:eastAsia="仿宋" w:cs="仿宋_GB2312"/>
          <w:color w:val="auto"/>
          <w:kern w:val="0"/>
          <w:sz w:val="28"/>
          <w:szCs w:val="28"/>
        </w:rPr>
        <w:t>60</w:t>
      </w:r>
      <w:r>
        <w:rPr>
          <w:rFonts w:ascii="仿宋" w:hAnsi="仿宋" w:eastAsia="仿宋" w:cs="仿宋"/>
          <w:color w:val="auto"/>
          <w:kern w:val="0"/>
          <w:sz w:val="28"/>
          <w:szCs w:val="28"/>
        </w:rPr>
        <w:t>座。规划总投资</w:t>
      </w:r>
      <w:r>
        <w:rPr>
          <w:rFonts w:ascii="Times New Roman" w:hAnsi="Times New Roman" w:eastAsia="仿宋" w:cs="仿宋_GB2312"/>
          <w:color w:val="auto"/>
          <w:kern w:val="0"/>
          <w:sz w:val="28"/>
          <w:szCs w:val="28"/>
        </w:rPr>
        <w:t>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95</w:t>
      </w:r>
      <w:r>
        <w:rPr>
          <w:rFonts w:ascii="仿宋" w:hAnsi="仿宋" w:eastAsia="仿宋" w:cs="仿宋"/>
          <w:color w:val="auto"/>
          <w:kern w:val="0"/>
          <w:sz w:val="28"/>
          <w:szCs w:val="28"/>
        </w:rPr>
        <w:t>亿元。</w:t>
      </w:r>
    </w:p>
    <w:p w14:paraId="63218EAE">
      <w:pPr>
        <w:pStyle w:val="9"/>
        <w:bidi w:val="0"/>
        <w:rPr>
          <w:rFonts w:hint="eastAsia" w:ascii="Arial" w:hAnsi="Arial" w:cs="Times New Roman"/>
          <w:color w:val="auto"/>
        </w:rPr>
      </w:pPr>
      <w:r>
        <w:rPr>
          <w:rFonts w:hint="eastAsia" w:ascii="Times New Roman" w:hAnsi="Times New Roman" w:cs="Times New Roman"/>
          <w:color w:val="auto"/>
          <w:lang w:val="en-US" w:eastAsia="zh-CN"/>
        </w:rPr>
        <w:t>5</w:t>
      </w:r>
      <w:r>
        <w:rPr>
          <w:rFonts w:hint="eastAsia" w:ascii="Arial" w:hAnsi="Arial" w:cs="Times New Roman"/>
          <w:color w:val="auto"/>
        </w:rPr>
        <w:t>.</w:t>
      </w:r>
      <w:r>
        <w:rPr>
          <w:rFonts w:hint="eastAsia" w:ascii="Times New Roman" w:hAnsi="Times New Roman" w:cs="Times New Roman"/>
          <w:color w:val="auto"/>
        </w:rPr>
        <w:t>1</w:t>
      </w:r>
      <w:r>
        <w:rPr>
          <w:rFonts w:hint="eastAsia" w:ascii="Arial" w:hAnsi="Arial" w:cs="Times New Roman"/>
          <w:color w:val="auto"/>
        </w:rPr>
        <w:t>.</w:t>
      </w:r>
      <w:r>
        <w:rPr>
          <w:rFonts w:hint="eastAsia" w:ascii="Times New Roman" w:hAnsi="Times New Roman" w:cs="Times New Roman"/>
          <w:color w:val="auto"/>
        </w:rPr>
        <w:t>2</w:t>
      </w:r>
      <w:r>
        <w:rPr>
          <w:rFonts w:hint="eastAsia" w:ascii="Arial" w:hAnsi="Arial" w:cs="Times New Roman"/>
          <w:color w:val="auto"/>
        </w:rPr>
        <w:t xml:space="preserve"> 黄河流域坡耕地水土流失综合治理工程</w:t>
      </w:r>
    </w:p>
    <w:p w14:paraId="5B63E506">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“十四五”期间，对全县范围内的</w:t>
      </w:r>
      <w:r>
        <w:rPr>
          <w:rFonts w:hint="eastAsia" w:ascii="Times New Roman" w:hAnsi="Times New Roman" w:eastAsia="仿宋" w:cs="仿宋_GB2312"/>
          <w:color w:val="auto"/>
          <w:kern w:val="0"/>
          <w:sz w:val="28"/>
          <w:szCs w:val="28"/>
        </w:rPr>
        <w:t>12</w:t>
      </w:r>
      <w:r>
        <w:rPr>
          <w:rFonts w:hint="eastAsia" w:ascii="仿宋" w:hAnsi="仿宋" w:eastAsia="仿宋" w:cs="仿宋"/>
          <w:color w:val="auto"/>
          <w:kern w:val="0"/>
          <w:sz w:val="28"/>
          <w:szCs w:val="28"/>
        </w:rPr>
        <w:t>个乡镇的坡耕地进行全面治理，将坡耕地改造为水平梯田，修筑田埂，拦蓄田面径流，减少田面水土流失，变“三跑田”为“三保田”，为农民粮食增产增收改善农村生菜生活条件夯实基础。“十四五”期间,坡耕地水土流失综合治理面积</w:t>
      </w:r>
      <w:r>
        <w:rPr>
          <w:rFonts w:hint="eastAsia" w:ascii="Times New Roman" w:hAnsi="Times New Roman" w:eastAsia="仿宋" w:cs="仿宋_GB2312"/>
          <w:color w:val="auto"/>
          <w:kern w:val="0"/>
          <w:sz w:val="28"/>
          <w:szCs w:val="28"/>
        </w:rPr>
        <w:t>51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61k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，田间道路</w:t>
      </w:r>
      <w:r>
        <w:rPr>
          <w:rFonts w:hint="eastAsia" w:ascii="Times New Roman" w:hAnsi="Times New Roman" w:eastAsia="仿宋" w:cs="仿宋_GB2312"/>
          <w:color w:val="auto"/>
          <w:kern w:val="0"/>
          <w:sz w:val="28"/>
          <w:szCs w:val="28"/>
        </w:rPr>
        <w:t>138k</w:t>
      </w:r>
      <w:r>
        <w:rPr>
          <w:rFonts w:hint="eastAsia" w:ascii="Times New Roman" w:hAnsi="Times New Roman" w:eastAsia="仿宋" w:cs="仿宋"/>
          <w:color w:val="auto"/>
          <w:kern w:val="0"/>
          <w:sz w:val="28"/>
          <w:szCs w:val="28"/>
        </w:rPr>
        <w:t>m</w:t>
      </w:r>
      <w:r>
        <w:rPr>
          <w:rFonts w:hint="eastAsia" w:ascii="仿宋" w:hAnsi="仿宋" w:eastAsia="仿宋" w:cs="仿宋"/>
          <w:color w:val="auto"/>
          <w:kern w:val="0"/>
          <w:sz w:val="28"/>
          <w:szCs w:val="28"/>
        </w:rPr>
        <w:t>。规划总投资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55</w:t>
      </w:r>
      <w:r>
        <w:rPr>
          <w:rFonts w:hint="eastAsia" w:ascii="仿宋" w:hAnsi="仿宋" w:eastAsia="仿宋" w:cs="仿宋"/>
          <w:color w:val="auto"/>
          <w:kern w:val="0"/>
          <w:sz w:val="28"/>
          <w:szCs w:val="28"/>
        </w:rPr>
        <w:t>亿元。</w:t>
      </w:r>
    </w:p>
    <w:p w14:paraId="13DAB1F3">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75" w:name="_Toc17537"/>
    </w:p>
    <w:p w14:paraId="6C329F2B">
      <w:pPr>
        <w:pStyle w:val="8"/>
        <w:bidi w:val="0"/>
        <w:rPr>
          <w:rFonts w:hint="eastAsia" w:eastAsia="宋体" w:cs="Times New Roman"/>
          <w:color w:val="auto"/>
        </w:rPr>
      </w:pPr>
      <w:bookmarkStart w:id="276" w:name="_Toc31132"/>
      <w:bookmarkStart w:id="277" w:name="_Toc23579"/>
      <w:bookmarkStart w:id="278" w:name="_Toc3670"/>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2</w:t>
      </w:r>
      <w:r>
        <w:rPr>
          <w:rFonts w:hint="eastAsia" w:eastAsia="宋体" w:cs="Times New Roman"/>
          <w:color w:val="auto"/>
        </w:rPr>
        <w:t xml:space="preserve">  水土保持监督</w:t>
      </w:r>
      <w:bookmarkEnd w:id="276"/>
    </w:p>
    <w:p w14:paraId="2DA3872B">
      <w:pPr>
        <w:snapToGrid w:val="0"/>
        <w:spacing w:line="360" w:lineRule="auto"/>
        <w:ind w:firstLine="560" w:firstLineChars="200"/>
        <w:rPr>
          <w:rFonts w:eastAsia="仿宋_GB2312"/>
          <w:color w:val="auto"/>
          <w:sz w:val="28"/>
        </w:rPr>
      </w:pPr>
      <w:r>
        <w:rPr>
          <w:rFonts w:hint="eastAsia" w:eastAsia="仿宋_GB2312"/>
          <w:color w:val="auto"/>
          <w:sz w:val="28"/>
        </w:rPr>
        <w:t>“十四五”期间依法对全县生产建设项目进行覆盖监督，坚决对“未批先建”、“未批先变”、“未实施防治措施”、“未开展监测”、“未验先投”、“未缴纳补偿费”的生产建设项目进行整改。做好水利部、省水利厅下放的图斑复核工作，对违反</w:t>
      </w:r>
      <w:r>
        <w:rPr>
          <w:rFonts w:hint="eastAsia" w:eastAsia="仿宋_GB2312"/>
          <w:color w:val="auto"/>
          <w:sz w:val="28"/>
          <w:lang w:eastAsia="zh-CN"/>
        </w:rPr>
        <w:t>《中华人民共和国水土保持法》</w:t>
      </w:r>
      <w:r>
        <w:rPr>
          <w:rFonts w:hint="eastAsia" w:eastAsia="仿宋_GB2312"/>
          <w:color w:val="auto"/>
          <w:sz w:val="28"/>
        </w:rPr>
        <w:t>的生产建设项目发现一家，查处一家，确保水土保持“三同时”制度的落实。加大对</w:t>
      </w:r>
      <w:r>
        <w:rPr>
          <w:rFonts w:hint="eastAsia" w:eastAsia="仿宋_GB2312"/>
          <w:color w:val="auto"/>
          <w:sz w:val="28"/>
          <w:lang w:eastAsia="zh-CN"/>
        </w:rPr>
        <w:t>《中华人民共和国水土保持法》</w:t>
      </w:r>
      <w:r>
        <w:rPr>
          <w:rFonts w:hint="eastAsia" w:eastAsia="仿宋_GB2312"/>
          <w:color w:val="auto"/>
          <w:sz w:val="28"/>
        </w:rPr>
        <w:t>的宣传力度，积极开展水土保持进机关，进社区、进学校，多渠道、全方位开展宣传工作，扩大社会影响力，有效控制在生产建设活动中造成的人为水土流失。</w:t>
      </w:r>
    </w:p>
    <w:p w14:paraId="314581FE">
      <w:pPr>
        <w:pStyle w:val="8"/>
        <w:bidi w:val="0"/>
        <w:rPr>
          <w:rFonts w:hint="eastAsia" w:eastAsia="宋体" w:cs="Times New Roman"/>
          <w:color w:val="auto"/>
        </w:rPr>
      </w:pPr>
      <w:bookmarkStart w:id="279" w:name="_Toc11532"/>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3</w:t>
      </w:r>
      <w:r>
        <w:rPr>
          <w:rFonts w:hint="eastAsia" w:eastAsia="宋体" w:cs="Times New Roman"/>
          <w:color w:val="auto"/>
        </w:rPr>
        <w:t xml:space="preserve">  动态监测</w:t>
      </w:r>
      <w:bookmarkEnd w:id="275"/>
      <w:bookmarkEnd w:id="277"/>
      <w:bookmarkEnd w:id="278"/>
      <w:bookmarkEnd w:id="279"/>
    </w:p>
    <w:p w14:paraId="3E5EC844">
      <w:pPr>
        <w:snapToGrid w:val="0"/>
        <w:spacing w:line="360" w:lineRule="auto"/>
        <w:ind w:firstLine="560" w:firstLineChars="200"/>
        <w:rPr>
          <w:rFonts w:eastAsia="仿宋_GB2312"/>
          <w:color w:val="auto"/>
          <w:sz w:val="28"/>
        </w:rPr>
      </w:pPr>
      <w:r>
        <w:rPr>
          <w:rFonts w:hint="eastAsia" w:eastAsia="仿宋_GB2312"/>
          <w:color w:val="auto"/>
          <w:sz w:val="28"/>
        </w:rPr>
        <w:t>动态监测的主要内容包括水土保持监测网络建设与运行维护、水土保持监测信息系统与数据库建设、水土流失动态监测、水土保持普查等。</w:t>
      </w:r>
    </w:p>
    <w:p w14:paraId="0BC54746">
      <w:pPr>
        <w:snapToGrid w:val="0"/>
        <w:spacing w:line="360" w:lineRule="auto"/>
        <w:ind w:firstLine="560" w:firstLineChars="200"/>
        <w:rPr>
          <w:rFonts w:eastAsia="仿宋_GB2312"/>
          <w:color w:val="auto"/>
          <w:sz w:val="28"/>
        </w:rPr>
      </w:pPr>
      <w:r>
        <w:rPr>
          <w:rFonts w:hint="eastAsia" w:eastAsia="仿宋_GB2312"/>
          <w:color w:val="auto"/>
          <w:sz w:val="28"/>
        </w:rPr>
        <w:t>持续加强北桑坪水土保持监测点的观测场地、观测设施设备、实验场所及外部环境等的日常维护、维修，加大对监测技术人员的知识更新与业务培训，提升观测、采集、分析、整理、成果运用等有关工作能力。</w:t>
      </w:r>
    </w:p>
    <w:p w14:paraId="2D5A1B1F">
      <w:pPr>
        <w:snapToGrid w:val="0"/>
        <w:spacing w:line="360" w:lineRule="auto"/>
        <w:ind w:firstLine="560" w:firstLineChars="200"/>
        <w:rPr>
          <w:rFonts w:eastAsia="仿宋_GB2312"/>
          <w:color w:val="auto"/>
          <w:sz w:val="28"/>
        </w:rPr>
      </w:pPr>
      <w:r>
        <w:rPr>
          <w:rFonts w:hint="eastAsia" w:eastAsia="仿宋_GB2312"/>
          <w:color w:val="auto"/>
          <w:sz w:val="28"/>
        </w:rPr>
        <w:t>配合省厅做好水土保持监测信息系统与数据库建设，完成监测站点基础信息、监测数据的录入、上报、修改、查询、统计、导出等运用和监测数据库的建设，实现监测信息资源共享。开展典型小流域水土流失影响因素、径流泥沙、水土流失及其治理效果研究，并评价水土保持生态环境状况及其发展趋势。</w:t>
      </w:r>
    </w:p>
    <w:p w14:paraId="17F765BC">
      <w:pPr>
        <w:snapToGrid w:val="0"/>
        <w:spacing w:line="360" w:lineRule="auto"/>
        <w:ind w:firstLine="560" w:firstLineChars="200"/>
        <w:rPr>
          <w:rFonts w:eastAsia="仿宋_GB2312"/>
          <w:color w:val="auto"/>
          <w:sz w:val="28"/>
        </w:rPr>
      </w:pPr>
      <w:bookmarkStart w:id="280" w:name="_Toc18663"/>
      <w:r>
        <w:rPr>
          <w:rFonts w:hint="eastAsia" w:eastAsia="仿宋_GB2312"/>
          <w:color w:val="auto"/>
          <w:sz w:val="28"/>
        </w:rPr>
        <w:t>开展生产建设项目水土保持监督性监测，指导生产建设项目水土流失防治，同时为监督执法提供数据支撑。强化生产建设项目水土保持全过程监管，及时发现并严肃查处违法违规行为，强化水土保持监测和监理，加强水土保持责任落实跟踪检查和验收核查。推进生产建设活动水土保持监管，实行水土保持区域评估制度，推进水土保持信用管理和社会监督，形成公平开放、竞争有序、监管到位的水土保持服务市场。加强淤地坝工程安全运用管理，落实工程安全运用管理主体责任、工程防汛“三个责任人”责任，规范日常管理，加强应急管理，扎实推进病险工程除险加固。</w:t>
      </w:r>
    </w:p>
    <w:p w14:paraId="1EA7EEC3">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bookmarkEnd w:id="280"/>
    <w:p w14:paraId="4CFED8EA">
      <w:pPr>
        <w:pStyle w:val="6"/>
        <w:spacing w:line="360" w:lineRule="auto"/>
        <w:jc w:val="center"/>
        <w:rPr>
          <w:rFonts w:hint="eastAsia" w:eastAsia="宋体" w:cs="Times New Roman"/>
          <w:color w:val="auto"/>
          <w:lang w:val="en-US" w:eastAsia="zh-CN"/>
        </w:rPr>
      </w:pPr>
      <w:bookmarkStart w:id="281" w:name="_Toc3809"/>
      <w:bookmarkStart w:id="282" w:name="_Toc15544"/>
      <w:r>
        <w:rPr>
          <w:rFonts w:hint="eastAsia" w:eastAsia="宋体" w:cs="Times New Roman"/>
          <w:color w:val="auto"/>
          <w:lang w:val="en-US" w:eastAsia="zh-CN"/>
        </w:rPr>
        <w:t>第六章 乡村振兴水利保障能力建设</w:t>
      </w:r>
      <w:bookmarkEnd w:id="281"/>
      <w:bookmarkEnd w:id="282"/>
    </w:p>
    <w:p w14:paraId="3AE72AAF">
      <w:pPr>
        <w:autoSpaceDE w:val="0"/>
        <w:autoSpaceDN w:val="0"/>
        <w:adjustRightInd w:val="0"/>
        <w:snapToGrid w:val="0"/>
        <w:spacing w:line="360" w:lineRule="auto"/>
        <w:ind w:firstLine="641"/>
        <w:rPr>
          <w:rFonts w:eastAsia="仿宋_GB2312"/>
          <w:bCs/>
          <w:color w:val="auto"/>
          <w:kern w:val="44"/>
          <w:sz w:val="28"/>
          <w:szCs w:val="36"/>
        </w:rPr>
      </w:pPr>
      <w:bookmarkStart w:id="283" w:name="_Toc24403"/>
      <w:bookmarkStart w:id="284" w:name="_Toc15959"/>
      <w:bookmarkStart w:id="285" w:name="_Toc27468"/>
      <w:bookmarkStart w:id="286" w:name="_Toc29586"/>
      <w:r>
        <w:rPr>
          <w:rFonts w:hint="eastAsia" w:eastAsia="仿宋_GB2312"/>
          <w:bCs/>
          <w:color w:val="auto"/>
          <w:kern w:val="44"/>
          <w:sz w:val="28"/>
          <w:szCs w:val="36"/>
        </w:rPr>
        <w:t>按照乡村振兴梯次推进的总体部署，以问题为导向，以县为单元，统筹规划，进一步优化农村供水格局，采取“抓两头带中间”的方式完善工程体系建设，即有条件的地区实施城乡一体化等规模化工程建设，基础薄弱的地区重点巩固脱贫攻坚成果，条件一般的地区对现有工程更新改造，分步完善“双水源”建设，强化水源保护和水质检测监测，以完善水价机制、强化水费收缴为重点，全面推进建立长效运行管护机制，巩固脱贫攻坚成果，提升农村供水保障水平。</w:t>
      </w:r>
    </w:p>
    <w:p w14:paraId="07139A73">
      <w:pPr>
        <w:pStyle w:val="7"/>
        <w:rPr>
          <w:color w:val="auto"/>
        </w:rPr>
      </w:pPr>
      <w:bookmarkStart w:id="287" w:name="_Toc28715"/>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1</w:t>
      </w:r>
      <w:r>
        <w:rPr>
          <w:rFonts w:hint="eastAsia"/>
          <w:color w:val="auto"/>
        </w:rPr>
        <w:t xml:space="preserve"> 农村供水工程</w:t>
      </w:r>
      <w:bookmarkEnd w:id="287"/>
    </w:p>
    <w:p w14:paraId="35B08A83">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“十四五”期间，</w:t>
      </w:r>
      <w:r>
        <w:rPr>
          <w:rFonts w:hint="eastAsia" w:eastAsia="仿宋_GB2312"/>
          <w:bCs/>
          <w:color w:val="auto"/>
          <w:kern w:val="44"/>
          <w:sz w:val="28"/>
          <w:szCs w:val="36"/>
          <w:lang w:val="en-US" w:eastAsia="zh-CN"/>
        </w:rPr>
        <w:t>我县</w:t>
      </w:r>
      <w:r>
        <w:rPr>
          <w:rFonts w:hint="eastAsia" w:eastAsia="仿宋_GB2312"/>
          <w:bCs/>
          <w:color w:val="auto"/>
          <w:kern w:val="44"/>
          <w:sz w:val="28"/>
          <w:szCs w:val="36"/>
        </w:rPr>
        <w:t>根据具体情况，实施抽水蓄能电站，农村水电直供电片区电网升级改造工程</w:t>
      </w:r>
      <w:r>
        <w:rPr>
          <w:rFonts w:hint="eastAsia" w:eastAsia="仿宋_GB2312"/>
          <w:bCs/>
          <w:color w:val="auto"/>
          <w:kern w:val="44"/>
          <w:sz w:val="28"/>
          <w:szCs w:val="36"/>
          <w:lang w:eastAsia="zh-CN"/>
        </w:rPr>
        <w:t>，</w:t>
      </w:r>
      <w:r>
        <w:rPr>
          <w:rFonts w:hint="eastAsia" w:eastAsia="仿宋_GB2312"/>
          <w:bCs/>
          <w:color w:val="auto"/>
          <w:kern w:val="44"/>
          <w:sz w:val="28"/>
          <w:szCs w:val="36"/>
        </w:rPr>
        <w:t>提升乡村基础设施和公共服务水平</w:t>
      </w:r>
      <w:r>
        <w:rPr>
          <w:rFonts w:hint="eastAsia" w:eastAsia="仿宋_GB2312"/>
          <w:bCs/>
          <w:color w:val="auto"/>
          <w:kern w:val="44"/>
          <w:sz w:val="28"/>
          <w:szCs w:val="36"/>
          <w:lang w:eastAsia="zh-CN"/>
        </w:rPr>
        <w:t>。</w:t>
      </w:r>
      <w:r>
        <w:rPr>
          <w:rFonts w:hint="eastAsia" w:eastAsia="仿宋_GB2312"/>
          <w:bCs/>
          <w:color w:val="auto"/>
          <w:kern w:val="44"/>
          <w:sz w:val="28"/>
          <w:szCs w:val="36"/>
        </w:rPr>
        <w:t>将通过实施农村供水工程，提高供水保障水平来助力“三农”建设。对农村供水进行规划，具体目标任务为：全面保障我县供水工程在水质方面符合《生活饮用水卫生标准》（</w:t>
      </w:r>
      <w:r>
        <w:rPr>
          <w:rFonts w:hint="eastAsia" w:ascii="Times New Roman" w:hAnsi="Times New Roman" w:eastAsia="仿宋_GB2312" w:cs="仿宋_GB2312"/>
          <w:bCs/>
          <w:snapToGrid w:val="0"/>
          <w:color w:val="auto"/>
          <w:kern w:val="44"/>
          <w:sz w:val="28"/>
          <w:szCs w:val="36"/>
        </w:rPr>
        <w:t>GB5749</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以及有关评价标准的规定，在水量方面农村达到每人每天不低于</w:t>
      </w:r>
      <w:r>
        <w:rPr>
          <w:rFonts w:ascii="Times New Roman" w:hAnsi="Times New Roman" w:eastAsia="仿宋_GB2312" w:cs="仿宋_GB2312"/>
          <w:bCs/>
          <w:snapToGrid w:val="0"/>
          <w:color w:val="auto"/>
          <w:kern w:val="44"/>
          <w:sz w:val="28"/>
          <w:szCs w:val="36"/>
        </w:rPr>
        <w:t>60</w:t>
      </w:r>
      <w:r>
        <w:rPr>
          <w:rFonts w:ascii="Times New Roman" w:hAnsi="Times New Roman" w:eastAsia="仿宋_GB2312" w:cs="仿宋_GB2312"/>
          <w:bCs/>
          <w:color w:val="auto"/>
          <w:kern w:val="44"/>
          <w:sz w:val="28"/>
          <w:szCs w:val="36"/>
        </w:rPr>
        <w:t>L</w:t>
      </w:r>
      <w:r>
        <w:rPr>
          <w:rFonts w:hint="eastAsia" w:eastAsia="仿宋_GB2312"/>
          <w:bCs/>
          <w:color w:val="auto"/>
          <w:kern w:val="44"/>
          <w:sz w:val="28"/>
          <w:szCs w:val="36"/>
        </w:rPr>
        <w:t>，在方便程度方面实现自来水全部入户，在供水保证率方面不低于</w:t>
      </w:r>
      <w:r>
        <w:rPr>
          <w:rFonts w:hint="eastAsia" w:ascii="Times New Roman" w:hAnsi="Times New Roman" w:eastAsia="仿宋_GB2312" w:cs="仿宋_GB2312"/>
          <w:bCs/>
          <w:snapToGrid w:val="0"/>
          <w:color w:val="auto"/>
          <w:kern w:val="44"/>
          <w:sz w:val="28"/>
          <w:szCs w:val="36"/>
        </w:rPr>
        <w:t>95</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49FA7882">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“十四五”拟建设农村供水工程</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8</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72</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口人供水保障水平。其中：规模化供水工程</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3</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人供水保障水平；老旧供水工程和管网更新改造工程</w:t>
      </w:r>
      <w:r>
        <w:rPr>
          <w:rFonts w:hint="eastAsia" w:ascii="Times New Roman" w:hAnsi="Times New Roman" w:eastAsia="仿宋_GB2312" w:cs="仿宋_GB2312"/>
          <w:bCs/>
          <w:snapToGrid w:val="0"/>
          <w:color w:val="auto"/>
          <w:kern w:val="44"/>
          <w:sz w:val="28"/>
          <w:szCs w:val="36"/>
        </w:rPr>
        <w:t>112</w:t>
      </w:r>
      <w:r>
        <w:rPr>
          <w:rFonts w:hint="eastAsia" w:eastAsia="仿宋_GB2312"/>
          <w:bCs/>
          <w:color w:val="auto"/>
          <w:kern w:val="44"/>
          <w:sz w:val="28"/>
          <w:szCs w:val="36"/>
        </w:rPr>
        <w:t>处，完善“双水源”建设，提升</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218</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w:t>
      </w:r>
      <w:r>
        <w:rPr>
          <w:rFonts w:ascii="Times New Roman" w:hAnsi="Times New Roman" w:eastAsia="仿宋_GB2312"/>
          <w:bCs/>
          <w:color w:val="auto"/>
          <w:kern w:val="44"/>
          <w:sz w:val="28"/>
          <w:szCs w:val="36"/>
        </w:rPr>
        <w:t>（千人工程</w:t>
      </w:r>
      <w:r>
        <w:rPr>
          <w:rFonts w:hint="eastAsia" w:ascii="Times New Roman" w:hAnsi="Times New Roman" w:eastAsia="仿宋_GB2312" w:cs="仿宋_GB2312"/>
          <w:bCs/>
          <w:color w:val="auto"/>
          <w:kern w:val="44"/>
          <w:sz w:val="28"/>
          <w:szCs w:val="36"/>
        </w:rPr>
        <w:t>14</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597</w:t>
      </w:r>
      <w:r>
        <w:rPr>
          <w:rFonts w:ascii="Times New Roman" w:hAnsi="Times New Roman" w:eastAsia="仿宋_GB2312"/>
          <w:bCs/>
          <w:color w:val="auto"/>
          <w:kern w:val="44"/>
          <w:sz w:val="28"/>
          <w:szCs w:val="36"/>
        </w:rPr>
        <w:t>万人，千人以下集中供水工程</w:t>
      </w:r>
      <w:r>
        <w:rPr>
          <w:rFonts w:hint="eastAsia" w:ascii="Times New Roman" w:hAnsi="Times New Roman" w:eastAsia="仿宋_GB2312" w:cs="仿宋_GB2312"/>
          <w:bCs/>
          <w:color w:val="auto"/>
          <w:kern w:val="44"/>
          <w:sz w:val="28"/>
          <w:szCs w:val="36"/>
        </w:rPr>
        <w:t>98</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62</w:t>
      </w:r>
      <w:r>
        <w:rPr>
          <w:rFonts w:ascii="Times New Roman" w:hAnsi="Times New Roman" w:eastAsia="仿宋_GB2312"/>
          <w:bCs/>
          <w:color w:val="auto"/>
          <w:kern w:val="44"/>
          <w:sz w:val="28"/>
          <w:szCs w:val="36"/>
        </w:rPr>
        <w:t>万人）</w:t>
      </w:r>
      <w:r>
        <w:rPr>
          <w:rFonts w:hint="eastAsia" w:eastAsia="仿宋_GB2312"/>
          <w:bCs/>
          <w:color w:val="auto"/>
          <w:kern w:val="44"/>
          <w:sz w:val="28"/>
          <w:szCs w:val="36"/>
        </w:rPr>
        <w:t>；新建水质化验室</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处，自动化监控系统</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处，净化设施设备</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套，消毒设备</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处；安装水表</w:t>
      </w:r>
      <w:r>
        <w:rPr>
          <w:rFonts w:hint="eastAsia" w:ascii="Times New Roman" w:hAnsi="Times New Roman" w:eastAsia="仿宋_GB2312" w:cs="仿宋_GB2312"/>
          <w:bCs/>
          <w:snapToGrid w:val="0"/>
          <w:color w:val="auto"/>
          <w:kern w:val="44"/>
          <w:sz w:val="28"/>
          <w:szCs w:val="36"/>
        </w:rPr>
        <w:t>14360</w:t>
      </w:r>
      <w:r>
        <w:rPr>
          <w:rFonts w:hint="eastAsia" w:eastAsia="仿宋_GB2312"/>
          <w:bCs/>
          <w:color w:val="auto"/>
          <w:kern w:val="44"/>
          <w:sz w:val="28"/>
          <w:szCs w:val="36"/>
        </w:rPr>
        <w:t>块。</w:t>
      </w:r>
    </w:p>
    <w:p w14:paraId="6C68E461">
      <w:pPr>
        <w:autoSpaceDE w:val="0"/>
        <w:autoSpaceDN w:val="0"/>
        <w:adjustRightInd w:val="0"/>
        <w:snapToGrid w:val="0"/>
        <w:spacing w:line="360" w:lineRule="auto"/>
        <w:ind w:firstLine="641"/>
        <w:rPr>
          <w:rFonts w:hint="eastAsia" w:eastAsia="仿宋_GB2312"/>
          <w:bCs/>
          <w:color w:val="auto"/>
          <w:kern w:val="44"/>
          <w:sz w:val="28"/>
          <w:szCs w:val="36"/>
        </w:rPr>
      </w:pPr>
      <w:r>
        <w:rPr>
          <w:rFonts w:hint="eastAsia" w:eastAsia="仿宋_GB2312"/>
          <w:bCs/>
          <w:color w:val="auto"/>
          <w:kern w:val="44"/>
          <w:sz w:val="28"/>
          <w:szCs w:val="36"/>
        </w:rPr>
        <w:t>工程总估算投资</w:t>
      </w:r>
      <w:r>
        <w:rPr>
          <w:rFonts w:hint="eastAsia" w:ascii="Times New Roman" w:hAnsi="Times New Roman" w:eastAsia="仿宋_GB2312" w:cs="仿宋_GB2312"/>
          <w:bCs/>
          <w:snapToGrid w:val="0"/>
          <w:color w:val="auto"/>
          <w:kern w:val="44"/>
          <w:sz w:val="28"/>
          <w:szCs w:val="36"/>
        </w:rPr>
        <w:t>1</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56</w:t>
      </w:r>
      <w:r>
        <w:rPr>
          <w:rFonts w:hint="eastAsia" w:ascii="Times New Roman" w:hAnsi="Times New Roman" w:eastAsia="仿宋_GB2312"/>
          <w:bCs/>
          <w:snapToGrid w:val="0"/>
          <w:color w:val="auto"/>
          <w:kern w:val="44"/>
          <w:sz w:val="28"/>
          <w:szCs w:val="36"/>
        </w:rPr>
        <w:t>亿</w:t>
      </w:r>
      <w:r>
        <w:rPr>
          <w:rFonts w:hint="eastAsia" w:eastAsia="仿宋_GB2312"/>
          <w:bCs/>
          <w:color w:val="auto"/>
          <w:kern w:val="44"/>
          <w:sz w:val="28"/>
          <w:szCs w:val="36"/>
        </w:rPr>
        <w:t>元。总工程量</w:t>
      </w:r>
      <w:r>
        <w:rPr>
          <w:rFonts w:hint="eastAsia" w:ascii="Times New Roman" w:hAnsi="Times New Roman" w:eastAsia="仿宋_GB2312" w:cs="仿宋_GB2312"/>
          <w:bCs/>
          <w:snapToGrid w:val="0"/>
          <w:color w:val="auto"/>
          <w:kern w:val="44"/>
          <w:sz w:val="28"/>
          <w:szCs w:val="36"/>
        </w:rPr>
        <w:t>250</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。其中土石方</w:t>
      </w:r>
      <w:r>
        <w:rPr>
          <w:rFonts w:hint="eastAsia" w:ascii="Times New Roman" w:hAnsi="Times New Roman" w:eastAsia="仿宋_GB2312" w:cs="仿宋_GB2312"/>
          <w:bCs/>
          <w:snapToGrid w:val="0"/>
          <w:color w:val="auto"/>
          <w:kern w:val="44"/>
          <w:sz w:val="28"/>
          <w:szCs w:val="36"/>
        </w:rPr>
        <w:t>86</w:t>
      </w:r>
      <w:r>
        <w:rPr>
          <w:rFonts w:hint="eastAsia" w:ascii="Times New Roman" w:hAnsi="Times New Roman" w:eastAsia="仿宋_GB2312"/>
          <w:bCs/>
          <w:snapToGrid w:val="0"/>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，砼及钢筋砼</w:t>
      </w:r>
      <w:r>
        <w:rPr>
          <w:rFonts w:hint="eastAsia" w:ascii="Times New Roman" w:hAnsi="Times New Roman" w:eastAsia="仿宋_GB2312" w:cs="仿宋_GB2312"/>
          <w:bCs/>
          <w:snapToGrid w:val="0"/>
          <w:color w:val="auto"/>
          <w:kern w:val="44"/>
          <w:sz w:val="28"/>
          <w:szCs w:val="36"/>
        </w:rPr>
        <w:t>8</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w:t>
      </w:r>
    </w:p>
    <w:p w14:paraId="45902924">
      <w:pPr>
        <w:autoSpaceDE w:val="0"/>
        <w:autoSpaceDN w:val="0"/>
        <w:adjustRightInd w:val="0"/>
        <w:snapToGrid w:val="0"/>
        <w:spacing w:line="360" w:lineRule="auto"/>
        <w:ind w:firstLine="641"/>
        <w:rPr>
          <w:rFonts w:hint="eastAsia" w:eastAsia="仿宋_GB2312"/>
          <w:bCs/>
          <w:color w:val="auto"/>
          <w:kern w:val="44"/>
          <w:sz w:val="28"/>
          <w:szCs w:val="36"/>
          <w:lang w:val="en-US" w:eastAsia="zh-CN"/>
        </w:rPr>
      </w:pPr>
      <w:r>
        <w:rPr>
          <w:rFonts w:hint="eastAsia" w:eastAsia="仿宋_GB2312"/>
          <w:bCs/>
          <w:color w:val="auto"/>
          <w:kern w:val="44"/>
          <w:sz w:val="28"/>
          <w:szCs w:val="36"/>
        </w:rPr>
        <w:t>“十四五”拟建设沁水县农村规模化供水工程</w:t>
      </w:r>
      <w:r>
        <w:rPr>
          <w:rFonts w:hint="eastAsia" w:eastAsia="仿宋_GB2312"/>
          <w:bCs/>
          <w:color w:val="auto"/>
          <w:kern w:val="44"/>
          <w:sz w:val="28"/>
          <w:szCs w:val="36"/>
          <w:lang w:eastAsia="zh-CN"/>
        </w:rPr>
        <w:t>，</w:t>
      </w:r>
      <w:r>
        <w:rPr>
          <w:rFonts w:hint="eastAsia" w:eastAsia="仿宋_GB2312"/>
          <w:bCs/>
          <w:color w:val="auto"/>
          <w:kern w:val="44"/>
          <w:sz w:val="28"/>
          <w:szCs w:val="36"/>
          <w:lang w:val="en-US" w:eastAsia="zh-CN"/>
        </w:rPr>
        <w:t>建设内容：以张峰水库供水工程、下泊水库、张峰总干、新建截潜流等为水源，新建泵站、调节池、水处理厂，向张村乡、郑庄镇、柿庄镇、固县乡、十里乡、胡底乡等铺设管线供水。输水干、支管281km，净水厂2座，处理规模0.6万m³/d，末端净水设备200套，沿线建筑物、高位水池、加压泵站共400余座，年供水量800万m</w:t>
      </w:r>
      <w:r>
        <w:rPr>
          <w:rFonts w:hint="eastAsia" w:eastAsia="仿宋_GB2312"/>
          <w:bCs/>
          <w:color w:val="auto"/>
          <w:kern w:val="44"/>
          <w:sz w:val="28"/>
          <w:szCs w:val="36"/>
          <w:vertAlign w:val="superscript"/>
          <w:lang w:val="en-US" w:eastAsia="zh-CN"/>
        </w:rPr>
        <w:t>3</w:t>
      </w:r>
      <w:r>
        <w:rPr>
          <w:rFonts w:hint="eastAsia" w:eastAsia="仿宋_GB2312"/>
          <w:bCs/>
          <w:color w:val="auto"/>
          <w:kern w:val="44"/>
          <w:sz w:val="28"/>
          <w:szCs w:val="36"/>
          <w:lang w:val="en-US" w:eastAsia="zh-CN"/>
        </w:rPr>
        <w:t>，</w:t>
      </w:r>
      <w:r>
        <w:rPr>
          <w:rFonts w:hint="eastAsia" w:eastAsia="仿宋_GB2312"/>
          <w:bCs/>
          <w:color w:val="auto"/>
          <w:kern w:val="44"/>
          <w:sz w:val="28"/>
          <w:szCs w:val="36"/>
        </w:rPr>
        <w:t>工程总估算投资</w:t>
      </w:r>
      <w:r>
        <w:rPr>
          <w:rFonts w:hint="eastAsia" w:eastAsia="仿宋_GB2312"/>
          <w:bCs/>
          <w:color w:val="auto"/>
          <w:kern w:val="44"/>
          <w:sz w:val="28"/>
          <w:szCs w:val="36"/>
          <w:lang w:val="en-US" w:eastAsia="zh-CN"/>
        </w:rPr>
        <w:t>11.96</w:t>
      </w:r>
      <w:r>
        <w:rPr>
          <w:rFonts w:hint="eastAsia" w:eastAsia="仿宋_GB2312"/>
          <w:bCs/>
          <w:color w:val="auto"/>
          <w:kern w:val="44"/>
          <w:sz w:val="28"/>
          <w:szCs w:val="36"/>
        </w:rPr>
        <w:t>亿元。</w:t>
      </w:r>
    </w:p>
    <w:p w14:paraId="637C28DB">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16B6AE93">
      <w:pPr>
        <w:pStyle w:val="37"/>
        <w:rPr>
          <w:bCs/>
          <w:color w:val="auto"/>
          <w:kern w:val="44"/>
          <w:szCs w:val="36"/>
        </w:rPr>
      </w:pPr>
      <w:r>
        <w:rPr>
          <w:bCs/>
          <w:color w:val="auto"/>
          <w:kern w:val="44"/>
          <w:szCs w:val="36"/>
        </w:rPr>
        <w:t>农村供水保障实行地方行政首长负责制，工程建设资金</w:t>
      </w:r>
      <w:r>
        <w:rPr>
          <w:rFonts w:hint="eastAsia"/>
          <w:bCs/>
          <w:color w:val="auto"/>
          <w:kern w:val="44"/>
          <w:szCs w:val="36"/>
        </w:rPr>
        <w:t>采用多渠道的筹资形式，既国家补助、地方为主，受益乡村自筹、社会资本入股等方式进行资金筹措。</w:t>
      </w:r>
    </w:p>
    <w:p w14:paraId="0DA7DB8F">
      <w:pPr>
        <w:pStyle w:val="7"/>
        <w:rPr>
          <w:color w:val="auto"/>
        </w:rPr>
      </w:pPr>
      <w:bookmarkStart w:id="288" w:name="_Toc1974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 xml:space="preserve"> 农村饮用水水源保护</w:t>
      </w:r>
      <w:bookmarkEnd w:id="288"/>
    </w:p>
    <w:p w14:paraId="0C75EC2B">
      <w:pPr>
        <w:pStyle w:val="8"/>
        <w:rPr>
          <w:color w:val="auto"/>
        </w:rPr>
      </w:pPr>
      <w:bookmarkStart w:id="289" w:name="_Toc13408"/>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水源地概况</w:t>
      </w:r>
      <w:bookmarkEnd w:id="289"/>
    </w:p>
    <w:p w14:paraId="0D2E0C3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我县农村饮用水水源地</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个，以地表水为水源的</w:t>
      </w:r>
      <w:r>
        <w:rPr>
          <w:rFonts w:hint="eastAsia" w:ascii="Times New Roman" w:hAnsi="Times New Roman" w:eastAsia="仿宋" w:cs="仿宋_GB2312"/>
          <w:color w:val="auto"/>
          <w:sz w:val="28"/>
          <w:szCs w:val="28"/>
        </w:rPr>
        <w:t>191</w:t>
      </w:r>
      <w:r>
        <w:rPr>
          <w:rFonts w:hint="eastAsia" w:ascii="仿宋" w:hAnsi="仿宋" w:eastAsia="仿宋" w:cs="仿宋"/>
          <w:color w:val="auto"/>
          <w:sz w:val="28"/>
          <w:szCs w:val="28"/>
        </w:rPr>
        <w:t>处，地下水为水源的</w:t>
      </w:r>
      <w:r>
        <w:rPr>
          <w:rFonts w:hint="eastAsia" w:ascii="Times New Roman" w:hAnsi="Times New Roman" w:eastAsia="仿宋" w:cs="仿宋_GB2312"/>
          <w:color w:val="auto"/>
          <w:sz w:val="28"/>
          <w:szCs w:val="28"/>
        </w:rPr>
        <w:t>194</w:t>
      </w:r>
      <w:r>
        <w:rPr>
          <w:rFonts w:hint="eastAsia" w:ascii="仿宋" w:hAnsi="仿宋" w:eastAsia="仿宋" w:cs="仿宋"/>
          <w:color w:val="auto"/>
          <w:sz w:val="28"/>
          <w:szCs w:val="28"/>
        </w:rPr>
        <w:t>处，小泉小水为水源的</w:t>
      </w:r>
      <w:r>
        <w:rPr>
          <w:rFonts w:hint="eastAsia" w:ascii="Times New Roman" w:hAnsi="Times New Roman" w:eastAsia="仿宋" w:cs="仿宋_GB2312"/>
          <w:color w:val="auto"/>
          <w:sz w:val="28"/>
          <w:szCs w:val="28"/>
        </w:rPr>
        <w:t>371</w:t>
      </w:r>
      <w:r>
        <w:rPr>
          <w:rFonts w:hint="eastAsia" w:ascii="仿宋" w:hAnsi="仿宋" w:eastAsia="仿宋" w:cs="仿宋"/>
          <w:color w:val="auto"/>
          <w:sz w:val="28"/>
          <w:szCs w:val="28"/>
        </w:rPr>
        <w:t>处，屋顶接水旱井水源的</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年对</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处水源进行了</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项指标化验，结果符合《生活饮用水卫生标准》（</w:t>
      </w:r>
      <w:r>
        <w:rPr>
          <w:rFonts w:hint="eastAsia" w:ascii="Times New Roman" w:hAnsi="Times New Roman" w:eastAsia="仿宋" w:cs="仿宋_GB2312"/>
          <w:color w:val="auto"/>
          <w:sz w:val="28"/>
          <w:szCs w:val="28"/>
        </w:rPr>
        <w:t>GB5749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149</w:t>
      </w:r>
      <w:r>
        <w:rPr>
          <w:rFonts w:hint="eastAsia" w:ascii="仿宋" w:hAnsi="仿宋" w:eastAsia="仿宋" w:cs="仿宋"/>
          <w:color w:val="auto"/>
          <w:sz w:val="28"/>
          <w:szCs w:val="28"/>
        </w:rPr>
        <w:t>号文对县城</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个水源地保护范围进行了批复；</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号文对</w:t>
      </w:r>
      <w:r>
        <w:rPr>
          <w:rFonts w:hint="eastAsia" w:ascii="Times New Roman" w:hAnsi="Times New Roman" w:eastAsia="仿宋" w:cs="仿宋_GB2312"/>
          <w:color w:val="auto"/>
          <w:sz w:val="28"/>
          <w:szCs w:val="28"/>
        </w:rPr>
        <w:t>13</w:t>
      </w:r>
      <w:r>
        <w:rPr>
          <w:rFonts w:hint="eastAsia" w:ascii="仿宋" w:hAnsi="仿宋" w:eastAsia="仿宋" w:cs="仿宋"/>
          <w:color w:val="auto"/>
          <w:sz w:val="28"/>
          <w:szCs w:val="28"/>
        </w:rPr>
        <w:t>个乡镇所在地</w:t>
      </w:r>
      <w:r>
        <w:rPr>
          <w:rFonts w:hint="eastAsia" w:ascii="Times New Roman" w:hAnsi="Times New Roman" w:eastAsia="仿宋" w:cs="仿宋_GB2312"/>
          <w:color w:val="auto"/>
          <w:sz w:val="28"/>
          <w:szCs w:val="28"/>
        </w:rPr>
        <w:t>16</w:t>
      </w:r>
      <w:r>
        <w:rPr>
          <w:rFonts w:hint="eastAsia" w:ascii="仿宋" w:hAnsi="仿宋" w:eastAsia="仿宋" w:cs="仿宋"/>
          <w:color w:val="auto"/>
          <w:sz w:val="28"/>
          <w:szCs w:val="28"/>
        </w:rPr>
        <w:t>处供水工程水源地保护范围进行了批复,共划分一级保护区</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处，二级保护区</w:t>
      </w:r>
      <w:r>
        <w:rPr>
          <w:rFonts w:hint="eastAsia" w:ascii="Times New Roman" w:hAnsi="Times New Roman" w:eastAsia="仿宋" w:cs="仿宋_GB2312"/>
          <w:color w:val="auto"/>
          <w:sz w:val="28"/>
          <w:szCs w:val="28"/>
        </w:rPr>
        <w:t>18</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年，县政府以沁政办发〔</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57</w:t>
      </w:r>
      <w:r>
        <w:rPr>
          <w:rFonts w:hint="eastAsia" w:ascii="仿宋" w:hAnsi="仿宋" w:eastAsia="仿宋" w:cs="仿宋"/>
          <w:color w:val="auto"/>
          <w:sz w:val="28"/>
          <w:szCs w:val="28"/>
        </w:rPr>
        <w:t>号文对农村</w:t>
      </w:r>
      <w:r>
        <w:rPr>
          <w:rFonts w:hint="eastAsia" w:ascii="Times New Roman" w:hAnsi="Times New Roman" w:eastAsia="仿宋" w:cs="仿宋_GB2312"/>
          <w:color w:val="auto"/>
          <w:sz w:val="28"/>
          <w:szCs w:val="28"/>
        </w:rPr>
        <w:t>849</w:t>
      </w:r>
      <w:r>
        <w:rPr>
          <w:rFonts w:hint="eastAsia" w:ascii="仿宋" w:hAnsi="仿宋" w:eastAsia="仿宋" w:cs="仿宋"/>
          <w:color w:val="auto"/>
          <w:sz w:val="28"/>
          <w:szCs w:val="28"/>
        </w:rPr>
        <w:t>处饮用水水源保护地范围进行了划分，以水源井（泉）为中心，半径</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米的区域为保护区。</w:t>
      </w:r>
    </w:p>
    <w:p w14:paraId="42356717">
      <w:pPr>
        <w:pStyle w:val="8"/>
        <w:rPr>
          <w:color w:val="auto"/>
        </w:rPr>
      </w:pPr>
      <w:bookmarkStart w:id="290" w:name="_Toc627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水源保护措施</w:t>
      </w:r>
      <w:bookmarkEnd w:id="290"/>
    </w:p>
    <w:p w14:paraId="6DCC7F9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参照《集中式饮用水水源环境保护指南（试行）》和《分散式饮用水水源环境保护指南（试行）》等要求，结合工程实行提出以下管理措施：</w:t>
      </w:r>
    </w:p>
    <w:p w14:paraId="1D9D0539">
      <w:pPr>
        <w:snapToGrid w:val="0"/>
        <w:spacing w:line="480" w:lineRule="auto"/>
        <w:ind w:firstLine="562" w:firstLineChars="200"/>
        <w:rPr>
          <w:rFonts w:ascii="仿宋" w:hAnsi="仿宋" w:eastAsia="仿宋" w:cs="仿宋"/>
          <w:b/>
          <w:bCs/>
          <w:color w:val="auto"/>
          <w:sz w:val="28"/>
          <w:szCs w:val="28"/>
        </w:rPr>
      </w:pPr>
      <w:r>
        <w:rPr>
          <w:rFonts w:hint="eastAsia" w:ascii="Times New Roman" w:hAnsi="Times New Roman" w:eastAsia="仿宋"/>
          <w:b/>
          <w:bCs/>
          <w:color w:val="auto"/>
          <w:sz w:val="28"/>
          <w:szCs w:val="28"/>
        </w:rPr>
        <w:t>一</w:t>
      </w:r>
      <w:r>
        <w:rPr>
          <w:rFonts w:ascii="Times New Roman" w:hAnsi="Times New Roman" w:eastAsia="仿宋"/>
          <w:b/>
          <w:bCs/>
          <w:color w:val="auto"/>
          <w:sz w:val="28"/>
          <w:szCs w:val="28"/>
        </w:rPr>
        <w:t>、</w:t>
      </w:r>
      <w:r>
        <w:rPr>
          <w:rFonts w:hint="eastAsia" w:ascii="仿宋" w:hAnsi="仿宋" w:eastAsia="仿宋" w:cs="仿宋"/>
          <w:b/>
          <w:bCs/>
          <w:color w:val="auto"/>
          <w:sz w:val="28"/>
          <w:szCs w:val="28"/>
        </w:rPr>
        <w:t>严禁在保护区内新建与取水无关建筑</w:t>
      </w:r>
    </w:p>
    <w:p w14:paraId="19806BB5">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依据《中华人民共和国水污染防治法》，在饮用水水源保护区内，禁止设置排污口，禁止在饮用水水源一级、二级保护区新建、改建、扩建与供水设施和保护水源无关的建设项目，禁止在饮用水水源保护区新建、改建、扩建对水体污染严重的建设项目，已建成的排放污染建设项目，由县级以上人民政府责令拆除或者关闭。</w:t>
      </w:r>
    </w:p>
    <w:p w14:paraId="0034789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水源地保护及库区水源涵养，设立饮用水源保护区标识标牌，加强水源地保护宣传工作；完善水资源监控能力建设，对主要河流水量水质监测站进行运行维护。</w:t>
      </w:r>
    </w:p>
    <w:p w14:paraId="57D5B034">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二、严禁生活垃圾污染</w:t>
      </w:r>
    </w:p>
    <w:p w14:paraId="288D71F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禁止居民在水源地保护范围内修建旱厕、排放生活污水，乱倒生活垃圾，畜禽养殖等，已存在的问题由县、乡两级政府责令拆除、搬迁。</w:t>
      </w:r>
    </w:p>
    <w:p w14:paraId="3AD1D36F">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三、严禁农作物排污污染源污染</w:t>
      </w:r>
    </w:p>
    <w:p w14:paraId="20C2F6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源地区埋藏条件多为潜水，农作物过量施用化肥及农药对地下水造成污染不容忽视，土壤中不同程度的残留有化肥、农药污染物，影响水质的安全，一方面要求在保护区实施退耕还林还草，强化水源涵养工程建设，政府及村委应统筹安排，优先进行土地置换或流转，从根本上解决农作物排污问题。另一方面禁止在保护区内的耕作活动或限制使用化肥、农药和进行污染，必要时限制耕作物种植类型，降低对水源地影响。</w:t>
      </w:r>
    </w:p>
    <w:p w14:paraId="561C359C">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四、水源保护安全预案</w:t>
      </w:r>
    </w:p>
    <w:p w14:paraId="668A73E6">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为了提高水源地饮用水突发事件的发生，制定农村饮水安全应急预案，健全指挥机构及应急机制；建立乡镇饮用水源水环境状况报告制度，完善了饮用水水源评估考核机制，确保水源地安全。</w:t>
      </w:r>
    </w:p>
    <w:p w14:paraId="3418C3D6">
      <w:pPr>
        <w:pStyle w:val="7"/>
        <w:bidi w:val="0"/>
        <w:rPr>
          <w:rFonts w:hint="eastAsia"/>
          <w:color w:val="auto"/>
          <w:lang w:val="en-US" w:eastAsia="zh-CN"/>
        </w:rPr>
      </w:pPr>
      <w:bookmarkStart w:id="291" w:name="_Toc8660"/>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 xml:space="preserve"> 农村水电提升</w:t>
      </w:r>
      <w:bookmarkEnd w:id="291"/>
    </w:p>
    <w:p w14:paraId="7542F552">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认真贯彻落实</w:t>
      </w:r>
      <w:r>
        <w:rPr>
          <w:rFonts w:hint="eastAsia" w:ascii="仿宋" w:hAnsi="仿宋" w:eastAsia="仿宋" w:cs="仿宋"/>
          <w:color w:val="auto"/>
          <w:kern w:val="0"/>
          <w:sz w:val="28"/>
          <w:szCs w:val="28"/>
        </w:rPr>
        <w:t>“民生水电、平安水电、绿色水电、和谐水电”的精神，坚持问题导向，因地制宜补齐农村水电工程体系突出的短板，以农村水电绿色发展为核心，加快补齐民生需求、绿色改造、生态流量监测和信息化建设的短板，全面加强农村水电站生态流量和安全生产等行业监管，奋力推动农村水电绿色发展转型升级再出发。</w:t>
      </w:r>
    </w:p>
    <w:p w14:paraId="46F2C5B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到</w:t>
      </w:r>
      <w:r>
        <w:rPr>
          <w:rFonts w:ascii="Times New Roman" w:hAnsi="Times New Roman" w:eastAsia="仿宋" w:cs="仿宋_GB2312"/>
          <w:color w:val="auto"/>
          <w:kern w:val="0"/>
          <w:sz w:val="28"/>
          <w:szCs w:val="28"/>
        </w:rPr>
        <w:t>2025</w:t>
      </w:r>
      <w:r>
        <w:rPr>
          <w:rFonts w:hint="eastAsia" w:ascii="仿宋" w:hAnsi="仿宋" w:eastAsia="仿宋" w:cs="仿宋"/>
          <w:color w:val="auto"/>
          <w:kern w:val="0"/>
          <w:sz w:val="28"/>
          <w:szCs w:val="28"/>
        </w:rPr>
        <w:t>年底，农村水</w:t>
      </w:r>
      <w:r>
        <w:rPr>
          <w:rFonts w:hint="eastAsia" w:ascii="Times New Roman" w:hAnsi="Times New Roman" w:eastAsia="仿宋"/>
          <w:color w:val="auto"/>
          <w:kern w:val="0"/>
          <w:sz w:val="28"/>
          <w:szCs w:val="28"/>
        </w:rPr>
        <w:t>电计划共投资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463</w:t>
      </w:r>
      <w:r>
        <w:rPr>
          <w:rFonts w:hint="eastAsia" w:ascii="Times New Roman" w:hAnsi="Times New Roman" w:eastAsia="仿宋"/>
          <w:color w:val="auto"/>
          <w:kern w:val="0"/>
          <w:sz w:val="28"/>
          <w:szCs w:val="28"/>
        </w:rPr>
        <w:t>亿元，其中</w:t>
      </w:r>
      <w:r>
        <w:rPr>
          <w:rFonts w:hint="eastAsia" w:ascii="仿宋_GB2312" w:hAnsi="仿宋_GB2312" w:eastAsia="仿宋_GB2312" w:cs="仿宋_GB2312"/>
          <w:color w:val="auto"/>
          <w:sz w:val="28"/>
          <w:szCs w:val="28"/>
        </w:rPr>
        <w:t>“十三五”期间已完成投资</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206</w:t>
      </w:r>
      <w:r>
        <w:rPr>
          <w:rFonts w:hint="eastAsia" w:ascii="仿宋_GB2312" w:hAnsi="仿宋_GB2312" w:eastAsia="仿宋_GB2312" w:cs="仿宋_GB2312"/>
          <w:color w:val="auto"/>
          <w:sz w:val="28"/>
          <w:szCs w:val="28"/>
        </w:rPr>
        <w:t>亿元，“十四五”期间还需完成</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257</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r>
        <w:rPr>
          <w:rFonts w:hint="eastAsia" w:ascii="仿宋_GB2312" w:hAnsi="仿宋_GB2312" w:eastAsia="仿宋_GB2312" w:cs="仿宋_GB2312"/>
          <w:color w:val="auto"/>
          <w:sz w:val="28"/>
          <w:szCs w:val="28"/>
        </w:rPr>
        <w:t>“十四五”期间</w:t>
      </w:r>
      <w:r>
        <w:rPr>
          <w:rFonts w:hint="eastAsia" w:ascii="Times New Roman" w:hAnsi="Times New Roman" w:eastAsia="仿宋"/>
          <w:color w:val="auto"/>
          <w:kern w:val="0"/>
          <w:sz w:val="28"/>
          <w:szCs w:val="28"/>
        </w:rPr>
        <w:t>具</w:t>
      </w:r>
      <w:r>
        <w:rPr>
          <w:rFonts w:hint="eastAsia" w:ascii="仿宋" w:hAnsi="仿宋" w:eastAsia="仿宋" w:cs="仿宋"/>
          <w:color w:val="auto"/>
          <w:kern w:val="0"/>
          <w:sz w:val="28"/>
          <w:szCs w:val="28"/>
        </w:rPr>
        <w:t>体发展目标如下：其中</w:t>
      </w:r>
      <w:r>
        <w:rPr>
          <w:rFonts w:hint="eastAsia" w:eastAsia="仿宋_GB2312"/>
          <w:color w:val="auto"/>
          <w:sz w:val="28"/>
        </w:rPr>
        <w:t>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r>
        <w:rPr>
          <w:rFonts w:hint="eastAsia" w:ascii="仿宋" w:hAnsi="仿宋" w:eastAsia="仿宋" w:cs="仿宋"/>
          <w:color w:val="auto"/>
          <w:kern w:val="0"/>
          <w:sz w:val="28"/>
          <w:szCs w:val="28"/>
        </w:rPr>
        <w:t>；规划续建电站</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处，总投资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253</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p>
    <w:p w14:paraId="1C3565DD">
      <w:pPr>
        <w:pStyle w:val="8"/>
        <w:bidi w:val="0"/>
        <w:rPr>
          <w:rFonts w:hint="eastAsia"/>
          <w:color w:val="auto"/>
          <w:lang w:val="en-US" w:eastAsia="zh-CN"/>
        </w:rPr>
      </w:pPr>
      <w:bookmarkStart w:id="292" w:name="_Toc6765"/>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rPr>
        <w:t>1</w:t>
      </w:r>
      <w:r>
        <w:rPr>
          <w:rFonts w:hint="eastAsia"/>
          <w:color w:val="auto"/>
        </w:rPr>
        <w:t xml:space="preserve"> </w:t>
      </w:r>
      <w:r>
        <w:rPr>
          <w:rFonts w:hint="eastAsia"/>
          <w:color w:val="auto"/>
          <w:lang w:val="en-US" w:eastAsia="zh-CN"/>
        </w:rPr>
        <w:t>创建</w:t>
      </w:r>
      <w:r>
        <w:rPr>
          <w:rFonts w:hint="default" w:ascii="Times New Roman" w:hAnsi="Times New Roman" w:cs="Times New Roman"/>
          <w:color w:val="auto"/>
          <w:lang w:val="en-US" w:eastAsia="zh-CN"/>
        </w:rPr>
        <w:t>6</w:t>
      </w:r>
      <w:r>
        <w:rPr>
          <w:rFonts w:hint="eastAsia"/>
          <w:color w:val="auto"/>
          <w:lang w:val="en-US" w:eastAsia="zh-CN"/>
        </w:rPr>
        <w:t>座绿色小水电站</w:t>
      </w:r>
      <w:bookmarkEnd w:id="292"/>
    </w:p>
    <w:p w14:paraId="0070A55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仿宋_GB2312" w:cs="Times New Roman"/>
          <w:color w:val="auto"/>
          <w:sz w:val="28"/>
          <w:szCs w:val="28"/>
          <w:lang w:val="en-US" w:eastAsia="zh-CN"/>
        </w:rPr>
      </w:pPr>
      <w:r>
        <w:rPr>
          <w:rFonts w:hint="eastAsia" w:eastAsia="仿宋_GB2312" w:cs="Times New Roman"/>
          <w:color w:val="auto"/>
          <w:sz w:val="28"/>
          <w:szCs w:val="28"/>
          <w:lang w:val="en-US" w:eastAsia="zh-CN"/>
        </w:rPr>
        <w:t>充分发挥小水电的清洁可再生能源作用，妥善处理小水电开发与河流生态保护的关系，引导小水电行业加快转变发展方式、提质增效升级，走生态环境友好、社会和谐、经济合理、管理规范的可持续发展之路。从过去强调水能的充分利用，转变为有限、有序、有偿开发水能资源；从过去强调发电功能，转变为更加重视发挥水电站工程的生态功能和环境效应；从过去注重经济效益，转变为更加重视地方发展和农民利益；从过去重视新建项目开发，转变为更加注重对原有电站的增效扩容改造和持续利用。积极恢复河道功能。启动水电站技术改造，达到河流不脱水、不断流、不污染的目的，改善水生态环境。落实生态流量，加强运行调度，调整运行方式。确立生态效益优于发电效益原则，要适时调整水电站运行方案，采取有效措施保证生态水能和生态水量，保证下游河段不断流。到</w:t>
      </w:r>
      <w:r>
        <w:rPr>
          <w:rFonts w:hint="default" w:ascii="Times New Roman" w:hAnsi="Times New Roman" w:eastAsia="仿宋_GB2312" w:cs="Times New Roman"/>
          <w:color w:val="auto"/>
          <w:sz w:val="28"/>
          <w:szCs w:val="28"/>
          <w:lang w:val="en-US" w:eastAsia="zh-CN"/>
        </w:rPr>
        <w:t>2025</w:t>
      </w:r>
      <w:r>
        <w:rPr>
          <w:rFonts w:hint="eastAsia" w:eastAsia="仿宋_GB2312" w:cs="Times New Roman"/>
          <w:color w:val="auto"/>
          <w:sz w:val="28"/>
          <w:szCs w:val="28"/>
          <w:lang w:val="en-US" w:eastAsia="zh-CN"/>
        </w:rPr>
        <w:t>年，力争创建</w:t>
      </w:r>
      <w:r>
        <w:rPr>
          <w:rFonts w:hint="eastAsia" w:ascii="Times New Roman" w:hAnsi="Times New Roman" w:eastAsia="仿宋_GB2312" w:cs="Times New Roman"/>
          <w:color w:val="auto"/>
          <w:sz w:val="28"/>
          <w:szCs w:val="28"/>
          <w:lang w:val="en-US" w:eastAsia="zh-CN"/>
        </w:rPr>
        <w:t>6</w:t>
      </w:r>
      <w:r>
        <w:rPr>
          <w:rFonts w:hint="eastAsia" w:eastAsia="仿宋_GB2312" w:cs="Times New Roman"/>
          <w:color w:val="auto"/>
          <w:sz w:val="28"/>
          <w:szCs w:val="28"/>
          <w:lang w:val="en-US" w:eastAsia="zh-CN"/>
        </w:rPr>
        <w:t>座绿色小水电站。</w:t>
      </w:r>
    </w:p>
    <w:p w14:paraId="6CF1F815">
      <w:pPr>
        <w:pStyle w:val="8"/>
        <w:bidi w:val="0"/>
        <w:rPr>
          <w:color w:val="auto"/>
        </w:rPr>
      </w:pPr>
      <w:bookmarkStart w:id="293" w:name="_Toc4546"/>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2</w:t>
      </w:r>
      <w:r>
        <w:rPr>
          <w:rFonts w:hint="eastAsia"/>
          <w:color w:val="auto"/>
        </w:rPr>
        <w:t xml:space="preserve"> 创建</w:t>
      </w:r>
      <w:r>
        <w:rPr>
          <w:rFonts w:hint="eastAsia" w:ascii="Times New Roman" w:hAnsi="Times New Roman"/>
          <w:color w:val="auto"/>
        </w:rPr>
        <w:t>2</w:t>
      </w:r>
      <w:r>
        <w:rPr>
          <w:rFonts w:hint="eastAsia"/>
          <w:color w:val="auto"/>
        </w:rPr>
        <w:t>座安全生产标准化水电站</w:t>
      </w:r>
      <w:bookmarkEnd w:id="293"/>
    </w:p>
    <w:p w14:paraId="305B682F">
      <w:pPr>
        <w:snapToGrid w:val="0"/>
        <w:spacing w:line="360" w:lineRule="auto"/>
        <w:ind w:firstLine="560" w:firstLineChars="200"/>
        <w:rPr>
          <w:rFonts w:eastAsia="仿宋_GB2312"/>
          <w:color w:val="auto"/>
          <w:sz w:val="28"/>
        </w:rPr>
      </w:pPr>
      <w:r>
        <w:rPr>
          <w:rFonts w:hint="eastAsia" w:eastAsia="仿宋_GB2312"/>
          <w:color w:val="auto"/>
          <w:sz w:val="28"/>
          <w:szCs w:val="28"/>
        </w:rPr>
        <w:t>我县农村小水电站大都建于上世纪起七八十年代，对于当时的社会经济起到了一定的积极作用，进入新时代，随着电力体制改革的不断深化，加上受当时经济条件影响，大部分设计简陋，人员素质不高，水电站安全事故时有发生，影响</w:t>
      </w:r>
      <w:r>
        <w:rPr>
          <w:rFonts w:hint="eastAsia" w:eastAsia="仿宋_GB2312"/>
          <w:color w:val="auto"/>
          <w:sz w:val="28"/>
        </w:rPr>
        <w:t>了我县农村小水电的可持续发展，为了规范水电站安全生产运行和管理，减少安全隐患，继续开展水电站的农村水电安全生产标准化建设，拟创建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个水电站安全生产标准化水电站，分别是佛圪嘴、后河水电站，总投资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p>
    <w:p w14:paraId="27965C61">
      <w:pPr>
        <w:pStyle w:val="8"/>
        <w:bidi w:val="0"/>
        <w:rPr>
          <w:color w:val="auto"/>
        </w:rPr>
      </w:pPr>
      <w:bookmarkStart w:id="294" w:name="_Toc27542"/>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3</w:t>
      </w:r>
      <w:r>
        <w:rPr>
          <w:rFonts w:hint="eastAsia"/>
          <w:color w:val="auto"/>
        </w:rPr>
        <w:t xml:space="preserve"> 规划续建电站</w:t>
      </w:r>
      <w:r>
        <w:rPr>
          <w:rFonts w:hint="eastAsia" w:ascii="Times New Roman" w:hAnsi="Times New Roman"/>
          <w:color w:val="auto"/>
        </w:rPr>
        <w:t>1</w:t>
      </w:r>
      <w:r>
        <w:rPr>
          <w:rFonts w:hint="eastAsia"/>
          <w:color w:val="auto"/>
        </w:rPr>
        <w:t>处</w:t>
      </w:r>
      <w:bookmarkEnd w:id="294"/>
    </w:p>
    <w:p w14:paraId="3BE7BFED">
      <w:pPr>
        <w:snapToGrid w:val="0"/>
        <w:spacing w:line="360" w:lineRule="auto"/>
        <w:ind w:firstLine="562" w:firstLineChars="200"/>
        <w:rPr>
          <w:rFonts w:ascii="Times New Roman" w:hAnsi="Times New Roman" w:eastAsia="仿宋_GB2312"/>
          <w:color w:val="auto"/>
          <w:sz w:val="28"/>
        </w:rPr>
      </w:pPr>
      <w:r>
        <w:rPr>
          <w:rFonts w:hint="eastAsia" w:ascii="Times New Roman" w:hAnsi="Times New Roman" w:eastAsia="仿宋_GB2312"/>
          <w:b/>
          <w:bCs/>
          <w:color w:val="auto"/>
          <w:sz w:val="28"/>
        </w:rPr>
        <w:t>湾则水电站。</w:t>
      </w:r>
      <w:r>
        <w:rPr>
          <w:rFonts w:hint="eastAsia" w:ascii="Times New Roman" w:hAnsi="Times New Roman" w:eastAsia="仿宋_GB2312"/>
          <w:color w:val="auto"/>
          <w:sz w:val="28"/>
        </w:rPr>
        <w:t>工程位于沁水县郑庄镇湾则村，</w:t>
      </w:r>
      <w:r>
        <w:rPr>
          <w:rFonts w:hint="eastAsia" w:ascii="仿宋" w:hAnsi="仿宋" w:eastAsia="仿宋" w:cs="仿宋"/>
          <w:color w:val="auto"/>
          <w:kern w:val="0"/>
          <w:sz w:val="28"/>
          <w:szCs w:val="28"/>
        </w:rPr>
        <w:t>是一座坝后式生态电站</w:t>
      </w:r>
      <w:r>
        <w:rPr>
          <w:rFonts w:hint="eastAsia" w:ascii="Times New Roman" w:hAnsi="Times New Roman" w:eastAsia="仿宋_GB2312"/>
          <w:color w:val="auto"/>
          <w:sz w:val="28"/>
        </w:rPr>
        <w:t>，设计水头</w:t>
      </w:r>
      <w:r>
        <w:rPr>
          <w:rFonts w:hint="eastAsia" w:ascii="Times New Roman" w:hAnsi="Times New Roman" w:eastAsia="仿宋_GB2312" w:cs="仿宋_GB2312"/>
          <w:color w:val="auto"/>
          <w:sz w:val="28"/>
        </w:rPr>
        <w:t>22m</w:t>
      </w:r>
      <w:r>
        <w:rPr>
          <w:rFonts w:hint="eastAsia" w:ascii="Times New Roman" w:hAnsi="Times New Roman" w:eastAsia="仿宋_GB2312"/>
          <w:color w:val="auto"/>
          <w:sz w:val="28"/>
        </w:rPr>
        <w:t>，设计引水流量</w:t>
      </w:r>
      <w:r>
        <w:rPr>
          <w:rFonts w:hint="eastAsia" w:ascii="Times New Roman" w:hAnsi="Times New Roman" w:eastAsia="仿宋_GB2312" w:cs="仿宋_GB2312"/>
          <w:color w:val="auto"/>
          <w:sz w:val="28"/>
        </w:rPr>
        <w:t>6</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 xml:space="preserve"> </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s</w:t>
      </w:r>
      <w:r>
        <w:rPr>
          <w:rFonts w:hint="eastAsia" w:ascii="Times New Roman" w:hAnsi="Times New Roman" w:eastAsia="仿宋_GB2312"/>
          <w:color w:val="auto"/>
          <w:sz w:val="28"/>
        </w:rPr>
        <w:t>，装机容量为</w:t>
      </w: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500kW</w:t>
      </w:r>
      <w:r>
        <w:rPr>
          <w:rFonts w:hint="eastAsia" w:ascii="Times New Roman" w:hAnsi="Times New Roman" w:eastAsia="仿宋_GB2312"/>
          <w:color w:val="auto"/>
          <w:sz w:val="28"/>
        </w:rPr>
        <w:t>，建设内容包括</w:t>
      </w:r>
      <w:r>
        <w:rPr>
          <w:rFonts w:hint="eastAsia" w:ascii="仿宋" w:hAnsi="仿宋" w:eastAsia="仿宋" w:cs="仿宋"/>
          <w:color w:val="auto"/>
          <w:kern w:val="0"/>
          <w:sz w:val="28"/>
          <w:szCs w:val="28"/>
        </w:rPr>
        <w:t>购置发电机组</w:t>
      </w:r>
      <w:r>
        <w:rPr>
          <w:rFonts w:hint="eastAsia" w:ascii="Times New Roman" w:hAnsi="Times New Roman" w:eastAsia="仿宋" w:cs="仿宋_GB2312"/>
          <w:color w:val="auto"/>
          <w:kern w:val="0"/>
          <w:sz w:val="28"/>
          <w:szCs w:val="28"/>
        </w:rPr>
        <w:t>3</w:t>
      </w:r>
      <w:r>
        <w:rPr>
          <w:rFonts w:hint="eastAsia" w:ascii="仿宋" w:hAnsi="仿宋" w:eastAsia="仿宋" w:cs="仿宋"/>
          <w:color w:val="auto"/>
          <w:kern w:val="0"/>
          <w:sz w:val="28"/>
          <w:szCs w:val="28"/>
        </w:rPr>
        <w:t>台，其中</w:t>
      </w:r>
      <w:r>
        <w:rPr>
          <w:rFonts w:hint="eastAsia" w:ascii="Times New Roman" w:hAnsi="Times New Roman" w:eastAsia="仿宋" w:cs="仿宋_GB2312"/>
          <w:color w:val="auto"/>
          <w:kern w:val="0"/>
          <w:sz w:val="28"/>
          <w:szCs w:val="28"/>
        </w:rPr>
        <w:t>500kW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台，</w:t>
      </w:r>
      <w:r>
        <w:rPr>
          <w:rFonts w:hint="eastAsia" w:ascii="Times New Roman" w:hAnsi="Times New Roman" w:eastAsia="仿宋" w:cs="仿宋_GB2312"/>
          <w:color w:val="auto"/>
          <w:kern w:val="0"/>
          <w:sz w:val="28"/>
          <w:szCs w:val="28"/>
        </w:rPr>
        <w:t>250kW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2</w:t>
      </w:r>
      <w:r>
        <w:rPr>
          <w:rFonts w:hint="eastAsia" w:ascii="仿宋" w:hAnsi="仿宋" w:eastAsia="仿宋" w:cs="仿宋"/>
          <w:color w:val="auto"/>
          <w:kern w:val="0"/>
          <w:sz w:val="28"/>
          <w:szCs w:val="28"/>
        </w:rPr>
        <w:t>台；建设升变压站、厂房及管理房。</w:t>
      </w:r>
      <w:r>
        <w:rPr>
          <w:rFonts w:hint="eastAsia" w:ascii="Times New Roman" w:hAnsi="Times New Roman" w:eastAsia="仿宋_GB2312"/>
          <w:color w:val="auto"/>
          <w:sz w:val="28"/>
        </w:rPr>
        <w:t>总投资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459</w:t>
      </w:r>
      <w:r>
        <w:rPr>
          <w:rFonts w:hint="eastAsia" w:ascii="Times New Roman" w:hAnsi="Times New Roman" w:eastAsia="仿宋_GB2312"/>
          <w:color w:val="auto"/>
          <w:sz w:val="28"/>
        </w:rPr>
        <w:t>亿元。</w:t>
      </w:r>
      <w:r>
        <w:rPr>
          <w:rFonts w:hint="eastAsia" w:ascii="Times New Roman" w:hAnsi="Times New Roman" w:eastAsia="仿宋_GB2312" w:cs="仿宋_GB2312"/>
          <w:color w:val="auto"/>
          <w:sz w:val="28"/>
        </w:rPr>
        <w:t>2019</w:t>
      </w:r>
      <w:r>
        <w:rPr>
          <w:rFonts w:hint="eastAsia" w:ascii="Times New Roman" w:hAnsi="Times New Roman" w:eastAsia="仿宋_GB2312"/>
          <w:color w:val="auto"/>
          <w:sz w:val="28"/>
        </w:rPr>
        <w:t>年</w:t>
      </w:r>
      <w:r>
        <w:rPr>
          <w:rFonts w:hint="eastAsia" w:ascii="Times New Roman" w:hAnsi="Times New Roman" w:eastAsia="仿宋_GB2312" w:cs="仿宋_GB2312"/>
          <w:color w:val="auto"/>
          <w:sz w:val="28"/>
        </w:rPr>
        <w:t>9</w:t>
      </w:r>
      <w:r>
        <w:rPr>
          <w:rFonts w:hint="eastAsia" w:ascii="Times New Roman" w:hAnsi="Times New Roman" w:eastAsia="仿宋_GB2312"/>
          <w:color w:val="auto"/>
          <w:sz w:val="28"/>
        </w:rPr>
        <w:t>月，枢纽工程已全部完成并下闸蓄水，总库容</w:t>
      </w:r>
      <w:r>
        <w:rPr>
          <w:rFonts w:hint="eastAsia" w:ascii="Times New Roman" w:hAnsi="Times New Roman" w:eastAsia="仿宋_GB2312" w:cs="仿宋_GB2312"/>
          <w:color w:val="auto"/>
          <w:sz w:val="28"/>
        </w:rPr>
        <w:t>1233</w:t>
      </w:r>
      <w:r>
        <w:rPr>
          <w:rFonts w:hint="eastAsia" w:ascii="Times New Roman" w:hAnsi="Times New Roman" w:eastAsia="仿宋_GB2312"/>
          <w:color w:val="auto"/>
          <w:sz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。为了利用好下游生态流量，急需完成水电站机电设备安装、升变压设备、厂房工程、办公生活区及尾水渠工程。目前，已完成投资</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206</w:t>
      </w:r>
      <w:r>
        <w:rPr>
          <w:rFonts w:hint="eastAsia" w:ascii="Times New Roman" w:hAnsi="Times New Roman" w:eastAsia="仿宋_GB2312"/>
          <w:color w:val="auto"/>
          <w:sz w:val="28"/>
        </w:rPr>
        <w:t>亿元，“十四五”期间，还需投资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hint="eastAsia" w:ascii="Times New Roman" w:hAnsi="Times New Roman" w:eastAsia="仿宋_GB2312"/>
          <w:color w:val="auto"/>
          <w:sz w:val="28"/>
        </w:rPr>
        <w:t>亿元。</w:t>
      </w:r>
    </w:p>
    <w:p w14:paraId="50417651">
      <w:pPr>
        <w:pStyle w:val="2"/>
        <w:rPr>
          <w:color w:val="auto"/>
        </w:rPr>
      </w:pPr>
    </w:p>
    <w:p w14:paraId="1104CEA5">
      <w:pPr>
        <w:pStyle w:val="2"/>
        <w:ind w:firstLine="480"/>
        <w:rPr>
          <w:color w:val="auto"/>
        </w:rPr>
      </w:pPr>
    </w:p>
    <w:p w14:paraId="4D25C280">
      <w:pPr>
        <w:rPr>
          <w:color w:val="auto"/>
        </w:rPr>
      </w:pPr>
    </w:p>
    <w:bookmarkEnd w:id="283"/>
    <w:bookmarkEnd w:id="284"/>
    <w:bookmarkEnd w:id="285"/>
    <w:bookmarkEnd w:id="286"/>
    <w:p w14:paraId="37CA8AC0">
      <w:pPr>
        <w:rPr>
          <w:rFonts w:hint="eastAsia" w:eastAsia="宋体" w:cs="Times New Roman"/>
          <w:color w:val="auto"/>
          <w:lang w:val="en-US" w:eastAsia="zh-CN"/>
        </w:rPr>
      </w:pPr>
      <w:bookmarkStart w:id="295" w:name="_Toc27830"/>
      <w:bookmarkStart w:id="296" w:name="_Toc113"/>
      <w:bookmarkStart w:id="297" w:name="_Toc21057"/>
      <w:bookmarkStart w:id="298" w:name="_Toc18368"/>
      <w:bookmarkStart w:id="299" w:name="_Toc15561"/>
      <w:bookmarkStart w:id="300" w:name="_Toc20721"/>
      <w:r>
        <w:rPr>
          <w:rStyle w:val="41"/>
          <w:rFonts w:hint="eastAsia"/>
          <w:color w:val="auto"/>
        </w:rPr>
        <w:br w:type="page"/>
      </w:r>
    </w:p>
    <w:p w14:paraId="3FBD2E97">
      <w:pPr>
        <w:pStyle w:val="6"/>
        <w:spacing w:line="360" w:lineRule="auto"/>
        <w:jc w:val="center"/>
        <w:rPr>
          <w:rFonts w:hint="eastAsia" w:eastAsia="宋体" w:cs="Times New Roman"/>
          <w:color w:val="auto"/>
          <w:lang w:val="en-US" w:eastAsia="zh-CN"/>
        </w:rPr>
      </w:pPr>
      <w:r>
        <w:rPr>
          <w:rFonts w:hint="eastAsia" w:eastAsia="宋体" w:cs="Times New Roman"/>
          <w:color w:val="auto"/>
          <w:lang w:val="en-US" w:eastAsia="zh-CN"/>
        </w:rPr>
        <w:t xml:space="preserve"> </w:t>
      </w:r>
      <w:bookmarkStart w:id="301" w:name="_Toc13584"/>
      <w:r>
        <w:rPr>
          <w:rFonts w:hint="eastAsia" w:eastAsia="宋体" w:cs="Times New Roman"/>
          <w:color w:val="auto"/>
          <w:lang w:val="en-US" w:eastAsia="zh-CN"/>
        </w:rPr>
        <w:t>第七章 水旱灾害防</w:t>
      </w:r>
      <w:bookmarkEnd w:id="295"/>
      <w:bookmarkEnd w:id="296"/>
      <w:bookmarkEnd w:id="297"/>
      <w:r>
        <w:rPr>
          <w:rFonts w:hint="eastAsia" w:eastAsia="宋体" w:cs="Times New Roman"/>
          <w:color w:val="auto"/>
          <w:lang w:val="en-US" w:eastAsia="zh-CN"/>
        </w:rPr>
        <w:t>御</w:t>
      </w:r>
      <w:bookmarkEnd w:id="301"/>
    </w:p>
    <w:p w14:paraId="3E007359">
      <w:pPr>
        <w:snapToGrid w:val="0"/>
        <w:spacing w:line="360" w:lineRule="auto"/>
        <w:ind w:firstLine="560" w:firstLineChars="200"/>
        <w:rPr>
          <w:color w:val="auto"/>
          <w:sz w:val="28"/>
          <w:szCs w:val="28"/>
        </w:rPr>
      </w:pPr>
      <w:r>
        <w:rPr>
          <w:rFonts w:hint="eastAsia" w:ascii="仿宋" w:hAnsi="仿宋" w:eastAsia="仿宋" w:cs="仿宋"/>
          <w:color w:val="auto"/>
          <w:sz w:val="28"/>
          <w:szCs w:val="28"/>
        </w:rPr>
        <w:t>以习近平新时代中国特色社会主义思想为指导，要坚决贯彻落实习近平总书记对防汛救灾工作作出的重要指示精神，始终把保障人民群众生命财产安全放在第一位。全面落实“水利行业强监管，水利工程补短板”，以“安全第一，常备不懈，以防为主，防抗救相结合”为原则，切实做好水旱灾害防御工作。</w:t>
      </w:r>
    </w:p>
    <w:p w14:paraId="67DD0600">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山洪灾害防治减轻了山洪灾害对人民生活造成的不利影响。群测群防体系的建设，提高了群众自救互救能力；自动监测站点的设立，使灾情早预警、群众早撤离；监测预警平台，实现了县、乡镇的相互连接。山洪沟的治理，改善了山洪沟的行洪能力，提升了防灾水平。持续开展山洪灾害防治项目建设，可以保障山洪灾害防治体系稳定有效运行，提升监测预警与防灾减灾水平，提高民众的防洪意识与防灾避灾能力。</w:t>
      </w:r>
    </w:p>
    <w:p w14:paraId="2978A8B9">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按照“消隐患、强弱项、提标准”的思路，消除防洪工程安全隐患，降低洪水风险，保障人民群众生命财产安全和经济社会健康稳定。加强山洪灾害防治，按照以防为主、防治结合，以非工程措施为主、非工程措施和工程措施相结合，群测群防为主、群防与专防相结合的原则，继续加强山洪灾害防治建设。</w:t>
      </w:r>
    </w:p>
    <w:p w14:paraId="66C51BE2">
      <w:pPr>
        <w:pStyle w:val="7"/>
        <w:bidi w:val="0"/>
        <w:rPr>
          <w:color w:val="auto"/>
        </w:rPr>
      </w:pPr>
      <w:bookmarkStart w:id="302" w:name="_Toc20832"/>
      <w:bookmarkStart w:id="303" w:name="_Toc27723"/>
      <w:bookmarkStart w:id="304" w:name="_Toc20589"/>
      <w:bookmarkStart w:id="305" w:name="_Toc16893"/>
      <w:bookmarkStart w:id="306" w:name="_Toc19537"/>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山洪灾害防治</w:t>
      </w:r>
      <w:bookmarkEnd w:id="302"/>
      <w:bookmarkEnd w:id="303"/>
      <w:bookmarkEnd w:id="304"/>
      <w:bookmarkEnd w:id="305"/>
    </w:p>
    <w:p w14:paraId="6B407D1F">
      <w:pPr>
        <w:pStyle w:val="8"/>
        <w:bidi w:val="0"/>
        <w:rPr>
          <w:color w:val="auto"/>
        </w:rPr>
      </w:pPr>
      <w:bookmarkStart w:id="307" w:name="_Toc24809"/>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工程措施</w:t>
      </w:r>
      <w:bookmarkEnd w:id="307"/>
    </w:p>
    <w:p w14:paraId="2C847FEA">
      <w:pPr>
        <w:pStyle w:val="2"/>
        <w:pageBreakBefore w:val="0"/>
        <w:widowControl w:val="0"/>
        <w:kinsoku/>
        <w:wordWrap/>
        <w:overflowPunct/>
        <w:topLinePunct w:val="0"/>
        <w:autoSpaceDE/>
        <w:autoSpaceDN/>
        <w:bidi w:val="0"/>
        <w:adjustRightInd/>
        <w:spacing w:line="520" w:lineRule="exact"/>
        <w:ind w:firstLine="560"/>
        <w:textAlignment w:val="auto"/>
        <w:rPr>
          <w:rFonts w:ascii="仿宋" w:hAnsi="仿宋" w:eastAsia="仿宋" w:cs="仿宋"/>
          <w:color w:val="auto"/>
          <w:kern w:val="0"/>
          <w:sz w:val="28"/>
          <w:szCs w:val="28"/>
        </w:rPr>
      </w:pPr>
      <w:r>
        <w:rPr>
          <w:rFonts w:hint="eastAsia" w:ascii="仿宋" w:hAnsi="仿宋" w:eastAsia="仿宋" w:cs="仿宋"/>
          <w:color w:val="auto"/>
          <w:sz w:val="28"/>
          <w:szCs w:val="28"/>
        </w:rPr>
        <w:t>持续进行山洪灾害防治非工程措施建设，逐步巩固更新已建监测预警设备，持续开展群测群防体系建设和综合保障体系建设。进一步加快防洪控制性枢纽建设，蓄滞洪区安全建设、骨干行洪河道治理、中小河流和山洪沟治理等，完善系统完备、高效实用、安全可靠的现代化防洪工程体系，为调控洪水、抵御灾害提供硬基础。开展</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条山洪沟道治理建设，分别是固县里河山洪沟治理和梅河山洪沟治理，达到防灾减灾效果。总投资</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亿</w:t>
      </w:r>
      <w:r>
        <w:rPr>
          <w:rFonts w:hint="eastAsia" w:ascii="仿宋" w:hAnsi="仿宋" w:eastAsia="仿宋" w:cs="仿宋"/>
          <w:color w:val="auto"/>
          <w:sz w:val="28"/>
          <w:szCs w:val="28"/>
        </w:rPr>
        <w:t>元。</w:t>
      </w:r>
    </w:p>
    <w:p w14:paraId="700BCF09">
      <w:pPr>
        <w:pStyle w:val="8"/>
        <w:pageBreakBefore w:val="0"/>
        <w:widowControl w:val="0"/>
        <w:kinsoku/>
        <w:wordWrap/>
        <w:overflowPunct/>
        <w:topLinePunct w:val="0"/>
        <w:autoSpaceDE/>
        <w:autoSpaceDN/>
        <w:bidi w:val="0"/>
        <w:adjustRightInd/>
        <w:spacing w:line="520" w:lineRule="exact"/>
        <w:textAlignment w:val="auto"/>
        <w:rPr>
          <w:rFonts w:hint="eastAsia" w:eastAsia="宋体" w:cs="Times New Roman"/>
          <w:color w:val="auto"/>
          <w:lang w:val="en-US" w:eastAsia="zh-CN"/>
        </w:rPr>
      </w:pPr>
      <w:bookmarkStart w:id="308" w:name="_Toc27117"/>
      <w:r>
        <w:rPr>
          <w:rFonts w:hint="eastAsia" w:ascii="Times New Roman" w:hAnsi="Times New Roman" w:eastAsia="宋体" w:cs="Times New Roman"/>
          <w:color w:val="auto"/>
          <w:lang w:val="en-US" w:eastAsia="zh-CN"/>
        </w:rPr>
        <w:t>7</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1</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2</w:t>
      </w:r>
      <w:r>
        <w:rPr>
          <w:rFonts w:hint="eastAsia" w:eastAsia="宋体" w:cs="Times New Roman"/>
          <w:color w:val="auto"/>
          <w:lang w:val="en-US" w:eastAsia="zh-CN"/>
        </w:rPr>
        <w:t xml:space="preserve"> 非工程措施</w:t>
      </w:r>
      <w:bookmarkEnd w:id="308"/>
    </w:p>
    <w:p w14:paraId="26366C30">
      <w:pPr>
        <w:pStyle w:val="2"/>
        <w:pageBreakBefore w:val="0"/>
        <w:widowControl w:val="0"/>
        <w:kinsoku/>
        <w:wordWrap/>
        <w:overflowPunct/>
        <w:topLinePunct w:val="0"/>
        <w:autoSpaceDE/>
        <w:autoSpaceDN/>
        <w:bidi w:val="0"/>
        <w:adjustRightInd/>
        <w:spacing w:line="520" w:lineRule="exact"/>
        <w:ind w:firstLine="560"/>
        <w:textAlignment w:val="auto"/>
        <w:rPr>
          <w:color w:val="auto"/>
          <w:sz w:val="28"/>
          <w:szCs w:val="28"/>
        </w:rPr>
      </w:pPr>
      <w:r>
        <w:rPr>
          <w:rFonts w:hint="eastAsia" w:ascii="仿宋" w:hAnsi="仿宋" w:eastAsia="仿宋" w:cs="仿宋"/>
          <w:color w:val="auto"/>
          <w:sz w:val="28"/>
          <w:szCs w:val="28"/>
        </w:rPr>
        <w:t>进一步强化预报、预警、预演、预案“四预”防范手段。以超前的情报预报、精准的数字模拟、科学的调度指挥，坚决守住水旱灾害防御底线。运用数字化、智慧化手段提升水工程防灾调度能力，努力提高水旱灾害防御现代化水平，把水旱灾害防御作为智慧水利建设的优先领域，推进建立流域洪水“空天地”一体化监测系统，提高信息采集、传输、处理等方面的水平，提高流域洪水监测体系的覆盖度、密度和精度。提高暴雨等灾害性天气的预报预警水平，在河流洪水预报、中小河流洪水和山洪灾害预警等问题上有所突破。</w:t>
      </w:r>
    </w:p>
    <w:p w14:paraId="16BE192B">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09" w:name="_Toc14568"/>
      <w:bookmarkStart w:id="310" w:name="_Toc23576"/>
      <w:bookmarkStart w:id="311" w:name="_Toc29981"/>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防御应急技能提升</w:t>
      </w:r>
      <w:bookmarkEnd w:id="306"/>
      <w:bookmarkEnd w:id="309"/>
      <w:bookmarkEnd w:id="310"/>
      <w:bookmarkEnd w:id="311"/>
    </w:p>
    <w:p w14:paraId="7EDC17CB">
      <w:pPr>
        <w:pStyle w:val="35"/>
        <w:pageBreakBefore w:val="0"/>
        <w:widowControl w:val="0"/>
        <w:kinsoku/>
        <w:wordWrap/>
        <w:overflowPunct/>
        <w:topLinePunct w:val="0"/>
        <w:autoSpaceDE/>
        <w:autoSpaceDN/>
        <w:bidi w:val="0"/>
        <w:adjustRightInd/>
        <w:snapToGrid w:val="0"/>
        <w:spacing w:line="520" w:lineRule="exact"/>
        <w:ind w:firstLine="560" w:firstLineChars="200"/>
        <w:textAlignment w:val="auto"/>
        <w:rPr>
          <w:rFonts w:cs="仿宋"/>
          <w:color w:val="auto"/>
          <w:sz w:val="28"/>
          <w:szCs w:val="28"/>
        </w:rPr>
      </w:pPr>
      <w:r>
        <w:rPr>
          <w:rFonts w:hint="eastAsia" w:cs="仿宋"/>
          <w:color w:val="auto"/>
          <w:sz w:val="28"/>
          <w:szCs w:val="28"/>
        </w:rPr>
        <w:t>水旱灾害防御应急技能提升，充实水旱灾害防御技术队伍，完善水旱灾害防御专家库，提升水旱灾害防御应急技能水平。</w:t>
      </w:r>
    </w:p>
    <w:p w14:paraId="37DA0F2B">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cs="仿宋"/>
          <w:bCs/>
          <w:color w:val="auto"/>
          <w:kern w:val="0"/>
          <w:sz w:val="28"/>
          <w:szCs w:val="28"/>
        </w:rPr>
      </w:pPr>
      <w:r>
        <w:rPr>
          <w:rFonts w:hint="eastAsia" w:ascii="仿宋" w:hAnsi="仿宋" w:eastAsia="仿宋" w:cs="仿宋"/>
          <w:bCs/>
          <w:color w:val="auto"/>
          <w:kern w:val="0"/>
          <w:sz w:val="28"/>
          <w:szCs w:val="28"/>
        </w:rPr>
        <w:t>通过实施重点山洪沟治理项目，与山洪灾害监测预警系统和群测群防体系相结合，形成工程措施与非工程措施相结合，相对完善的山洪灾害防治体系，增强沿岸城镇、集中居民点、重要基础设施等防护对象的山洪灾害综合防御能力，有效减少人员伤亡和财产伤亡。</w:t>
      </w:r>
    </w:p>
    <w:p w14:paraId="1CBD5551">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12" w:name="_Toc396"/>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河道防洪能力提升</w:t>
      </w:r>
      <w:bookmarkEnd w:id="312"/>
    </w:p>
    <w:p w14:paraId="01D0F798">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color w:val="auto"/>
          <w:kern w:val="0"/>
          <w:sz w:val="28"/>
          <w:szCs w:val="28"/>
          <w:lang w:val="en-US" w:eastAsia="zh-CN"/>
        </w:rPr>
      </w:pPr>
      <w:r>
        <w:rPr>
          <w:rFonts w:hint="eastAsia" w:ascii="仿宋" w:hAnsi="仿宋" w:eastAsia="仿宋" w:cs="仿宋"/>
          <w:bCs/>
          <w:color w:val="auto"/>
          <w:kern w:val="0"/>
          <w:sz w:val="28"/>
          <w:szCs w:val="28"/>
          <w:lang w:val="en-US" w:eastAsia="zh-CN"/>
        </w:rPr>
        <w:t>沁水县“十四五”期间拟建设</w:t>
      </w:r>
      <w:r>
        <w:rPr>
          <w:rFonts w:hint="default" w:ascii="Times New Roman" w:hAnsi="Times New Roman" w:eastAsia="仿宋" w:cs="Times New Roman"/>
          <w:bCs/>
          <w:color w:val="auto"/>
          <w:kern w:val="0"/>
          <w:sz w:val="28"/>
          <w:szCs w:val="28"/>
          <w:lang w:val="en-US" w:eastAsia="zh-CN"/>
        </w:rPr>
        <w:t>10</w:t>
      </w:r>
      <w:r>
        <w:rPr>
          <w:rFonts w:hint="eastAsia" w:ascii="仿宋" w:hAnsi="仿宋" w:eastAsia="仿宋" w:cs="仿宋"/>
          <w:bCs/>
          <w:color w:val="auto"/>
          <w:kern w:val="0"/>
          <w:sz w:val="28"/>
          <w:szCs w:val="28"/>
          <w:lang w:val="en-US" w:eastAsia="zh-CN"/>
        </w:rPr>
        <w:t>处河道防洪能力提升工程，防洪标准及依为</w:t>
      </w:r>
      <w:r>
        <w:rPr>
          <w:rFonts w:hint="eastAsia" w:ascii="Times New Roman" w:hAnsi="Times New Roman" w:eastAsia="仿宋" w:cs="Times New Roman"/>
          <w:bCs/>
          <w:color w:val="auto"/>
          <w:kern w:val="0"/>
          <w:sz w:val="28"/>
          <w:szCs w:val="28"/>
          <w:lang w:val="en-US" w:eastAsia="zh-CN"/>
        </w:rPr>
        <w:t>20</w:t>
      </w:r>
      <w:r>
        <w:rPr>
          <w:rFonts w:hint="eastAsia" w:ascii="仿宋" w:hAnsi="仿宋" w:eastAsia="仿宋" w:cs="仿宋"/>
          <w:bCs/>
          <w:color w:val="auto"/>
          <w:kern w:val="0"/>
          <w:sz w:val="28"/>
          <w:szCs w:val="28"/>
          <w:lang w:val="en-US" w:eastAsia="zh-CN"/>
        </w:rPr>
        <w:t>年一遇，总治理长度</w:t>
      </w:r>
      <w:r>
        <w:rPr>
          <w:rFonts w:hint="eastAsia" w:ascii="Times New Roman" w:hAnsi="Times New Roman" w:eastAsia="仿宋" w:cs="Times New Roman"/>
          <w:bCs/>
          <w:color w:val="auto"/>
          <w:kern w:val="0"/>
          <w:sz w:val="28"/>
          <w:szCs w:val="28"/>
          <w:lang w:val="en-US" w:eastAsia="zh-CN"/>
        </w:rPr>
        <w:t>248km</w:t>
      </w:r>
      <w:r>
        <w:rPr>
          <w:rFonts w:hint="eastAsia" w:ascii="仿宋" w:hAnsi="仿宋" w:eastAsia="仿宋" w:cs="仿宋"/>
          <w:bCs/>
          <w:color w:val="auto"/>
          <w:kern w:val="0"/>
          <w:sz w:val="28"/>
          <w:szCs w:val="28"/>
          <w:lang w:val="en-US" w:eastAsia="zh-CN"/>
        </w:rPr>
        <w:t>，堤防长度</w:t>
      </w:r>
      <w:r>
        <w:rPr>
          <w:rFonts w:hint="eastAsia" w:ascii="Times New Roman" w:hAnsi="Times New Roman" w:eastAsia="仿宋" w:cs="Times New Roman"/>
          <w:bCs/>
          <w:color w:val="auto"/>
          <w:kern w:val="0"/>
          <w:sz w:val="28"/>
          <w:szCs w:val="28"/>
          <w:lang w:val="en-US" w:eastAsia="zh-CN"/>
        </w:rPr>
        <w:t>150km</w:t>
      </w:r>
      <w:r>
        <w:rPr>
          <w:rFonts w:hint="eastAsia" w:ascii="仿宋" w:hAnsi="仿宋" w:eastAsia="仿宋" w:cs="仿宋"/>
          <w:bCs/>
          <w:color w:val="auto"/>
          <w:kern w:val="0"/>
          <w:sz w:val="28"/>
          <w:szCs w:val="28"/>
          <w:lang w:val="en-US" w:eastAsia="zh-CN"/>
        </w:rPr>
        <w:t>，疏浚长度</w:t>
      </w:r>
      <w:r>
        <w:rPr>
          <w:rFonts w:hint="eastAsia" w:ascii="Times New Roman" w:hAnsi="Times New Roman" w:eastAsia="仿宋" w:cs="Times New Roman"/>
          <w:bCs/>
          <w:color w:val="auto"/>
          <w:kern w:val="0"/>
          <w:sz w:val="28"/>
          <w:szCs w:val="28"/>
          <w:lang w:val="en-US" w:eastAsia="zh-CN"/>
        </w:rPr>
        <w:t>163km</w:t>
      </w:r>
      <w:r>
        <w:rPr>
          <w:rFonts w:hint="eastAsia" w:ascii="仿宋" w:hAnsi="仿宋" w:eastAsia="仿宋" w:cs="仿宋"/>
          <w:bCs/>
          <w:color w:val="auto"/>
          <w:kern w:val="0"/>
          <w:sz w:val="28"/>
          <w:szCs w:val="28"/>
          <w:lang w:val="en-US" w:eastAsia="zh-CN"/>
        </w:rPr>
        <w:t>。</w:t>
      </w:r>
    </w:p>
    <w:p w14:paraId="00C37D22">
      <w:pPr>
        <w:pageBreakBefore w:val="0"/>
        <w:widowControl w:val="0"/>
        <w:kinsoku/>
        <w:wordWrap/>
        <w:overflowPunct/>
        <w:topLinePunct w:val="0"/>
        <w:autoSpaceDE/>
        <w:autoSpaceDN/>
        <w:bidi w:val="0"/>
        <w:adjustRightInd/>
        <w:snapToGrid w:val="0"/>
        <w:spacing w:line="520" w:lineRule="exact"/>
        <w:textAlignment w:val="auto"/>
        <w:rPr>
          <w:rFonts w:hint="default" w:ascii="仿宋" w:hAnsi="仿宋" w:eastAsia="仿宋" w:cs="仿宋"/>
          <w:bCs/>
          <w:color w:val="auto"/>
          <w:kern w:val="0"/>
          <w:sz w:val="28"/>
          <w:szCs w:val="28"/>
          <w:lang w:val="en-US" w:eastAsia="zh-CN"/>
        </w:rPr>
        <w:sectPr>
          <w:footerReference r:id="rId10" w:type="default"/>
          <w:type w:val="continuous"/>
          <w:pgSz w:w="11907" w:h="16840"/>
          <w:pgMar w:top="1418" w:right="1418" w:bottom="1361" w:left="1531" w:header="964" w:footer="964" w:gutter="0"/>
          <w:pgNumType w:fmt="numberInDash"/>
          <w:cols w:space="720" w:num="1"/>
          <w:docGrid w:linePitch="312" w:charSpace="0"/>
        </w:sectPr>
      </w:pPr>
      <w:r>
        <w:rPr>
          <w:rFonts w:hint="eastAsia" w:ascii="仿宋" w:hAnsi="仿宋" w:eastAsia="仿宋" w:cs="仿宋"/>
          <w:bCs/>
          <w:color w:val="auto"/>
          <w:kern w:val="0"/>
          <w:sz w:val="28"/>
          <w:szCs w:val="28"/>
          <w:lang w:val="en-US" w:eastAsia="zh-CN"/>
        </w:rPr>
        <w:t>总投资</w:t>
      </w:r>
      <w:r>
        <w:rPr>
          <w:rFonts w:hint="eastAsia" w:ascii="Times New Roman" w:hAnsi="Times New Roman" w:eastAsia="仿宋" w:cs="Times New Roman"/>
          <w:bCs/>
          <w:color w:val="auto"/>
          <w:kern w:val="0"/>
          <w:sz w:val="28"/>
          <w:szCs w:val="28"/>
          <w:lang w:val="en-US" w:eastAsia="zh-CN"/>
        </w:rPr>
        <w:t>10.46</w:t>
      </w:r>
      <w:r>
        <w:rPr>
          <w:rFonts w:hint="eastAsia" w:ascii="仿宋" w:hAnsi="仿宋" w:eastAsia="仿宋" w:cs="仿宋"/>
          <w:bCs/>
          <w:color w:val="auto"/>
          <w:kern w:val="0"/>
          <w:sz w:val="28"/>
          <w:szCs w:val="28"/>
          <w:lang w:val="en-US" w:eastAsia="zh-CN"/>
        </w:rPr>
        <w:t>亿元。具体项目见详图</w:t>
      </w:r>
      <w:r>
        <w:rPr>
          <w:rFonts w:hint="eastAsia" w:ascii="Times New Roman" w:hAnsi="Times New Roman" w:eastAsia="仿宋" w:cs="Times New Roman"/>
          <w:bCs/>
          <w:color w:val="auto"/>
          <w:kern w:val="0"/>
          <w:sz w:val="28"/>
          <w:szCs w:val="28"/>
          <w:lang w:val="en-US" w:eastAsia="zh-CN"/>
        </w:rPr>
        <w:t>7-1</w:t>
      </w:r>
      <w:r>
        <w:rPr>
          <w:rFonts w:hint="eastAsia" w:ascii="仿宋" w:hAnsi="仿宋" w:eastAsia="仿宋" w:cs="仿宋"/>
          <w:bCs/>
          <w:color w:val="auto"/>
          <w:kern w:val="0"/>
          <w:sz w:val="28"/>
          <w:szCs w:val="28"/>
          <w:lang w:val="en-US" w:eastAsia="zh-CN"/>
        </w:rPr>
        <w:t>：</w:t>
      </w:r>
    </w:p>
    <w:tbl>
      <w:tblPr>
        <w:tblStyle w:val="22"/>
        <w:tblW w:w="13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0"/>
        <w:gridCol w:w="2340"/>
        <w:gridCol w:w="1305"/>
        <w:gridCol w:w="3375"/>
        <w:gridCol w:w="1230"/>
        <w:gridCol w:w="1545"/>
        <w:gridCol w:w="1530"/>
        <w:gridCol w:w="1455"/>
      </w:tblGrid>
      <w:tr w14:paraId="79BD1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blHeader/>
          <w:jc w:val="center"/>
        </w:trPr>
        <w:tc>
          <w:tcPr>
            <w:tcW w:w="13500" w:type="dxa"/>
            <w:gridSpan w:val="8"/>
            <w:tcBorders>
              <w:top w:val="single" w:color="000000" w:sz="8" w:space="0"/>
              <w:left w:val="single" w:color="000000" w:sz="4" w:space="0"/>
              <w:bottom w:val="nil"/>
              <w:right w:val="single" w:color="000000" w:sz="4" w:space="0"/>
            </w:tcBorders>
            <w:shd w:val="clear" w:color="auto" w:fill="auto"/>
            <w:vAlign w:val="center"/>
          </w:tcPr>
          <w:p w14:paraId="6BF01DE2">
            <w:pPr>
              <w:keepNext w:val="0"/>
              <w:keepLines w:val="0"/>
              <w:widowControl/>
              <w:suppressLineNumbers w:val="0"/>
              <w:jc w:val="center"/>
              <w:textAlignment w:val="center"/>
              <w:rPr>
                <w:rFonts w:hint="default" w:ascii="宋体" w:hAnsi="宋体" w:eastAsia="宋体" w:cs="宋体"/>
                <w:b/>
                <w:bCs/>
                <w:i w:val="0"/>
                <w:iCs w:val="0"/>
                <w:color w:val="000000"/>
                <w:sz w:val="40"/>
                <w:szCs w:val="40"/>
                <w:u w:val="none"/>
                <w:lang w:val="en-US"/>
              </w:rPr>
            </w:pPr>
            <w:r>
              <w:rPr>
                <w:rFonts w:hint="eastAsia" w:ascii="宋体" w:hAnsi="宋体" w:cs="宋体"/>
                <w:b/>
                <w:bCs/>
                <w:i w:val="0"/>
                <w:iCs w:val="0"/>
                <w:color w:val="000000"/>
                <w:kern w:val="0"/>
                <w:sz w:val="28"/>
                <w:szCs w:val="28"/>
                <w:u w:val="none"/>
                <w:lang w:val="en-US" w:eastAsia="zh-CN" w:bidi="ar"/>
              </w:rPr>
              <w:t xml:space="preserve">图7-1    </w:t>
            </w:r>
            <w:r>
              <w:rPr>
                <w:rFonts w:hint="eastAsia" w:ascii="宋体" w:hAnsi="宋体" w:eastAsia="宋体" w:cs="宋体"/>
                <w:b/>
                <w:bCs/>
                <w:i w:val="0"/>
                <w:iCs w:val="0"/>
                <w:color w:val="000000"/>
                <w:kern w:val="0"/>
                <w:sz w:val="28"/>
                <w:szCs w:val="28"/>
                <w:u w:val="none"/>
                <w:lang w:val="en-US" w:eastAsia="zh-CN" w:bidi="ar"/>
              </w:rPr>
              <w:t>沁水县“十四五”河道防洪能力提升工程</w:t>
            </w:r>
          </w:p>
        </w:tc>
      </w:tr>
      <w:tr w14:paraId="3CD66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blHeader/>
          <w:jc w:val="center"/>
        </w:trPr>
        <w:tc>
          <w:tcPr>
            <w:tcW w:w="72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273A3F1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序号</w:t>
            </w:r>
          </w:p>
        </w:tc>
        <w:tc>
          <w:tcPr>
            <w:tcW w:w="234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368EA3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治理河流名称</w:t>
            </w:r>
          </w:p>
        </w:tc>
        <w:tc>
          <w:tcPr>
            <w:tcW w:w="130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9E18510">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治理范围</w:t>
            </w:r>
          </w:p>
        </w:tc>
        <w:tc>
          <w:tcPr>
            <w:tcW w:w="337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0BF5E4B">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防护对象</w:t>
            </w:r>
          </w:p>
        </w:tc>
        <w:tc>
          <w:tcPr>
            <w:tcW w:w="123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BD2660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防洪标准及依据</w:t>
            </w:r>
          </w:p>
        </w:tc>
        <w:tc>
          <w:tcPr>
            <w:tcW w:w="453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3E662B4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建设规模</w:t>
            </w:r>
          </w:p>
        </w:tc>
      </w:tr>
      <w:tr w14:paraId="7DAA5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blHeader/>
          <w:jc w:val="center"/>
        </w:trPr>
        <w:tc>
          <w:tcPr>
            <w:tcW w:w="72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7B7ACC9">
            <w:pPr>
              <w:jc w:val="center"/>
              <w:rPr>
                <w:rFonts w:hint="default" w:ascii="Times New Roman" w:hAnsi="Times New Roman" w:eastAsia="宋体" w:cs="Times New Roman"/>
                <w:b/>
                <w:bCs/>
                <w:i w:val="0"/>
                <w:iCs w:val="0"/>
                <w:color w:val="000000"/>
                <w:sz w:val="24"/>
                <w:szCs w:val="24"/>
                <w:u w:val="none"/>
              </w:rPr>
            </w:pPr>
          </w:p>
        </w:tc>
        <w:tc>
          <w:tcPr>
            <w:tcW w:w="234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C07FC3B">
            <w:pPr>
              <w:jc w:val="center"/>
              <w:rPr>
                <w:rFonts w:hint="default" w:ascii="Times New Roman" w:hAnsi="Times New Roman" w:eastAsia="宋体" w:cs="Times New Roman"/>
                <w:b/>
                <w:bCs/>
                <w:i w:val="0"/>
                <w:iCs w:val="0"/>
                <w:color w:val="000000"/>
                <w:sz w:val="24"/>
                <w:szCs w:val="24"/>
                <w:u w:val="none"/>
              </w:rPr>
            </w:pPr>
          </w:p>
        </w:tc>
        <w:tc>
          <w:tcPr>
            <w:tcW w:w="130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1B7166B">
            <w:pPr>
              <w:jc w:val="left"/>
              <w:rPr>
                <w:rFonts w:hint="default" w:ascii="Times New Roman" w:hAnsi="Times New Roman" w:eastAsia="宋体" w:cs="Times New Roman"/>
                <w:b/>
                <w:bCs/>
                <w:i w:val="0"/>
                <w:iCs w:val="0"/>
                <w:color w:val="000000"/>
                <w:sz w:val="24"/>
                <w:szCs w:val="24"/>
                <w:u w:val="none"/>
              </w:rPr>
            </w:pPr>
          </w:p>
        </w:tc>
        <w:tc>
          <w:tcPr>
            <w:tcW w:w="337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4C22D44">
            <w:pPr>
              <w:jc w:val="left"/>
              <w:rPr>
                <w:rFonts w:hint="default" w:ascii="Times New Roman" w:hAnsi="Times New Roman" w:eastAsia="宋体" w:cs="Times New Roman"/>
                <w:b/>
                <w:bCs/>
                <w:i w:val="0"/>
                <w:iCs w:val="0"/>
                <w:color w:val="000000"/>
                <w:sz w:val="24"/>
                <w:szCs w:val="24"/>
                <w:u w:val="none"/>
              </w:rPr>
            </w:pPr>
          </w:p>
        </w:tc>
        <w:tc>
          <w:tcPr>
            <w:tcW w:w="123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8DA54DC">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937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治理长度（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347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堤防长度（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BAD3B8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疏浚长度（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r>
      <w:tr w14:paraId="0E8C1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B0A22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15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郑村河防洪能力提升工程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3E5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郑村、嘉丰</w:t>
            </w:r>
            <w:r>
              <w:rPr>
                <w:rFonts w:hint="default" w:ascii="Times New Roman" w:hAnsi="Times New Roman" w:eastAsia="仿宋_GB2312" w:cs="Times New Roman"/>
                <w:i w:val="0"/>
                <w:iCs w:val="0"/>
                <w:color w:val="000000"/>
                <w:kern w:val="0"/>
                <w:sz w:val="24"/>
                <w:szCs w:val="24"/>
                <w:u w:val="none"/>
                <w:lang w:val="en-US" w:eastAsia="zh-CN" w:bidi="ar"/>
              </w:rPr>
              <w:t>2</w:t>
            </w:r>
            <w:r>
              <w:rPr>
                <w:rFonts w:hint="eastAsia" w:ascii="仿宋_GB2312" w:hAnsi="宋体"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EA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有效提升河道防洪行洪能力，保障全流域</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11</w:t>
            </w:r>
            <w:r>
              <w:rPr>
                <w:rFonts w:hint="eastAsia" w:ascii="仿宋_GB2312" w:hAnsi="Times New Roman" w:eastAsia="仿宋_GB2312" w:cs="仿宋_GB2312"/>
                <w:i w:val="0"/>
                <w:iCs w:val="0"/>
                <w:color w:val="000000"/>
                <w:kern w:val="0"/>
                <w:sz w:val="24"/>
                <w:szCs w:val="24"/>
                <w:u w:val="none"/>
                <w:lang w:val="en-US" w:eastAsia="zh-CN" w:bidi="ar"/>
              </w:rPr>
              <w:t>个村的人民群众的生命财产安全。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B4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25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63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0536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r>
      <w:tr w14:paraId="440F1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309F9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1F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中村河防洪能力提升工程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7001">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77D2">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中村镇4个村，保护人口4628，保护耕地1876亩。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D5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B1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36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88825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14:paraId="35800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FAF4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60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里河防洪能力提升工程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E0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固县乡上梁村至石泉村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1F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2149</w:t>
            </w:r>
            <w:r>
              <w:rPr>
                <w:rFonts w:hint="eastAsia" w:ascii="仿宋_GB2312" w:hAnsi="Times New Roman" w:eastAsia="仿宋_GB2312" w:cs="仿宋_GB2312"/>
                <w:i w:val="0"/>
                <w:iCs w:val="0"/>
                <w:color w:val="000000"/>
                <w:kern w:val="0"/>
                <w:sz w:val="24"/>
                <w:szCs w:val="24"/>
                <w:u w:val="none"/>
                <w:lang w:val="en-US" w:eastAsia="zh-CN" w:bidi="ar"/>
              </w:rPr>
              <w:t>，保护耕地</w:t>
            </w:r>
            <w:r>
              <w:rPr>
                <w:rFonts w:hint="default" w:ascii="Times New Roman" w:hAnsi="Times New Roman" w:eastAsia="宋体" w:cs="Times New Roman"/>
                <w:i w:val="0"/>
                <w:iCs w:val="0"/>
                <w:color w:val="000000"/>
                <w:kern w:val="0"/>
                <w:sz w:val="24"/>
                <w:szCs w:val="24"/>
                <w:u w:val="none"/>
                <w:lang w:val="en-US" w:eastAsia="zh-CN" w:bidi="ar"/>
              </w:rPr>
              <w:t>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7F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73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5B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5A28E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r>
      <w:tr w14:paraId="7D803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70162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02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端氏河防洪能力提升工程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0B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固县、端氏</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35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3</w:t>
            </w:r>
            <w:r>
              <w:rPr>
                <w:rFonts w:hint="eastAsia" w:ascii="仿宋_GB2312" w:hAnsi="Times New Roman" w:eastAsia="仿宋_GB2312" w:cs="仿宋_GB2312"/>
                <w:i w:val="0"/>
                <w:iCs w:val="0"/>
                <w:color w:val="000000"/>
                <w:kern w:val="0"/>
                <w:sz w:val="24"/>
                <w:szCs w:val="24"/>
                <w:u w:val="none"/>
                <w:lang w:val="en-US" w:eastAsia="zh-CN" w:bidi="ar"/>
              </w:rPr>
              <w:t>个乡（镇）人民群众的生命财产安全。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DC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A8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77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4D3D0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r>
      <w:tr w14:paraId="34AAB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06FC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D4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芦苇河防洪能力提升工程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4B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张村乡卢坡村至张庄村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53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保护人口</w:t>
            </w:r>
            <w:r>
              <w:rPr>
                <w:rFonts w:hint="default" w:ascii="Times New Roman" w:hAnsi="Times New Roman" w:eastAsia="宋体" w:cs="Times New Roman"/>
                <w:i w:val="0"/>
                <w:iCs w:val="0"/>
                <w:color w:val="000000"/>
                <w:kern w:val="0"/>
                <w:sz w:val="24"/>
                <w:szCs w:val="24"/>
                <w:u w:val="none"/>
                <w:lang w:val="en-US" w:eastAsia="zh-CN" w:bidi="ar"/>
              </w:rPr>
              <w:t>2554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10800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3A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36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B8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5DA5E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r>
      <w:tr w14:paraId="7A816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93B7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C8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F5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60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1</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7A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7D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28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C3D7A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14:paraId="34937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9C9DE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45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胡底河防洪能力提升工程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1DA4">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3A5F">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胡底乡7个村，保护人口6150。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38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0F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7F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3CF12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r>
      <w:tr w14:paraId="661A7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853A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31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梅河防洪能力提升工程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99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龙港镇固镇村至梅苑社区</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AC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8434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11451</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11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DD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F3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BC8EC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r>
      <w:tr w14:paraId="098A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C06EE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F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3F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龙港镇水泉村至尧都村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7B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龙港镇水泉村、尧都村，保护人口</w:t>
            </w:r>
            <w:r>
              <w:rPr>
                <w:rFonts w:hint="default" w:ascii="Times New Roman" w:hAnsi="Times New Roman" w:eastAsia="宋体" w:cs="Times New Roman"/>
                <w:i w:val="0"/>
                <w:iCs w:val="0"/>
                <w:color w:val="000000"/>
                <w:kern w:val="0"/>
                <w:sz w:val="24"/>
                <w:szCs w:val="24"/>
                <w:u w:val="none"/>
                <w:lang w:val="en-US" w:eastAsia="zh-CN" w:bidi="ar"/>
              </w:rPr>
              <w:t>1976</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580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69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77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DE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ADEB3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r>
      <w:tr w14:paraId="23C74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7AD3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5A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沁河沁水县段河道防洪能力提升工程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2C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仿宋_GB2312" w:hAnsi="Times New Roman" w:eastAsia="仿宋_GB2312" w:cs="仿宋_GB2312"/>
                <w:i w:val="0"/>
                <w:iCs w:val="0"/>
                <w:color w:val="000000"/>
                <w:kern w:val="0"/>
                <w:sz w:val="24"/>
                <w:szCs w:val="24"/>
                <w:u w:val="none"/>
                <w:lang w:val="en-US" w:eastAsia="zh-CN" w:bidi="ar"/>
              </w:rPr>
              <w:t>潘庄村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69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沁水县坪上煤业、嘉峰镇、潘庄村。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82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3C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E6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DEC86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r>
      <w:tr w14:paraId="692C8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3060" w:type="dxa"/>
            <w:gridSpan w:val="2"/>
            <w:tcBorders>
              <w:top w:val="single" w:color="000000" w:sz="4" w:space="0"/>
              <w:left w:val="single" w:color="000000" w:sz="8" w:space="0"/>
              <w:bottom w:val="single" w:color="000000" w:sz="8" w:space="0"/>
              <w:right w:val="single" w:color="000000" w:sz="4" w:space="0"/>
            </w:tcBorders>
            <w:shd w:val="clear" w:color="auto" w:fill="auto"/>
            <w:vAlign w:val="center"/>
          </w:tcPr>
          <w:p w14:paraId="49B4F12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合计</w:t>
            </w:r>
          </w:p>
        </w:tc>
        <w:tc>
          <w:tcPr>
            <w:tcW w:w="130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D0AD2FD">
            <w:pPr>
              <w:jc w:val="left"/>
              <w:rPr>
                <w:rFonts w:hint="default" w:ascii="Times New Roman" w:hAnsi="Times New Roman" w:eastAsia="宋体" w:cs="Times New Roman"/>
                <w:b/>
                <w:bCs/>
                <w:i w:val="0"/>
                <w:iCs w:val="0"/>
                <w:color w:val="000000"/>
                <w:sz w:val="24"/>
                <w:szCs w:val="24"/>
                <w:u w:val="none"/>
              </w:rPr>
            </w:pPr>
          </w:p>
        </w:tc>
        <w:tc>
          <w:tcPr>
            <w:tcW w:w="337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B41F23A">
            <w:pPr>
              <w:jc w:val="left"/>
              <w:rPr>
                <w:rFonts w:hint="default" w:ascii="Times New Roman" w:hAnsi="Times New Roman" w:eastAsia="宋体" w:cs="Times New Roman"/>
                <w:b/>
                <w:bCs/>
                <w:i w:val="0"/>
                <w:iCs w:val="0"/>
                <w:color w:val="000000"/>
                <w:sz w:val="24"/>
                <w:szCs w:val="24"/>
                <w:u w:val="none"/>
              </w:rPr>
            </w:pPr>
          </w:p>
        </w:tc>
        <w:tc>
          <w:tcPr>
            <w:tcW w:w="12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2ABEA4D">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313C1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w:t>
            </w:r>
          </w:p>
        </w:tc>
        <w:tc>
          <w:tcPr>
            <w:tcW w:w="15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387CB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w:t>
            </w:r>
          </w:p>
        </w:tc>
        <w:tc>
          <w:tcPr>
            <w:tcW w:w="1455" w:type="dxa"/>
            <w:tcBorders>
              <w:top w:val="single" w:color="000000" w:sz="4" w:space="0"/>
              <w:left w:val="single" w:color="000000" w:sz="4" w:space="0"/>
              <w:bottom w:val="single" w:color="000000" w:sz="8" w:space="0"/>
              <w:right w:val="single" w:color="000000" w:sz="8" w:space="0"/>
            </w:tcBorders>
            <w:shd w:val="clear" w:color="auto" w:fill="auto"/>
            <w:vAlign w:val="center"/>
          </w:tcPr>
          <w:p w14:paraId="210986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w:t>
            </w:r>
          </w:p>
        </w:tc>
      </w:tr>
    </w:tbl>
    <w:p w14:paraId="577BE0EC">
      <w:pPr>
        <w:rPr>
          <w:rFonts w:hint="eastAsia" w:cs="仿宋"/>
          <w:color w:val="auto"/>
          <w:sz w:val="28"/>
          <w:szCs w:val="28"/>
          <w:lang w:val="en-US" w:eastAsia="zh-CN"/>
        </w:rPr>
      </w:pPr>
    </w:p>
    <w:p w14:paraId="41F76FFC">
      <w:pPr>
        <w:rPr>
          <w:rFonts w:hint="eastAsia" w:cs="仿宋"/>
          <w:color w:val="auto"/>
          <w:sz w:val="28"/>
          <w:szCs w:val="28"/>
          <w:lang w:val="en-US" w:eastAsia="zh-CN"/>
        </w:rPr>
      </w:pPr>
    </w:p>
    <w:p w14:paraId="482E4DB4">
      <w:pPr>
        <w:pStyle w:val="35"/>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cs="仿宋"/>
          <w:color w:val="auto"/>
          <w:sz w:val="28"/>
          <w:szCs w:val="28"/>
          <w:lang w:val="en-US" w:eastAsia="zh-CN"/>
        </w:rPr>
        <w:sectPr>
          <w:pgSz w:w="16840" w:h="11907" w:orient="landscape"/>
          <w:pgMar w:top="1531" w:right="1418" w:bottom="1418" w:left="1361" w:header="964" w:footer="964" w:gutter="0"/>
          <w:pgNumType w:fmt="numberInDash"/>
          <w:cols w:space="720" w:num="1"/>
          <w:docGrid w:linePitch="312" w:charSpace="0"/>
        </w:sectPr>
      </w:pPr>
    </w:p>
    <w:p w14:paraId="14CCB7DF">
      <w:pPr>
        <w:pStyle w:val="6"/>
        <w:spacing w:line="360" w:lineRule="auto"/>
        <w:jc w:val="center"/>
        <w:rPr>
          <w:rFonts w:hint="eastAsia" w:ascii="Times New Roman" w:hAnsi="Times New Roman" w:eastAsia="仿宋"/>
          <w:color w:val="auto"/>
          <w:kern w:val="0"/>
          <w:sz w:val="28"/>
          <w:szCs w:val="28"/>
        </w:rPr>
        <w:sectPr>
          <w:pgSz w:w="11907" w:h="16840"/>
          <w:pgMar w:top="1418" w:right="1418" w:bottom="1361" w:left="1531" w:header="964" w:footer="964" w:gutter="0"/>
          <w:pgNumType w:fmt="numberInDash"/>
          <w:cols w:space="720" w:num="1"/>
          <w:docGrid w:linePitch="312" w:charSpace="0"/>
        </w:sectPr>
      </w:pPr>
      <w:bookmarkStart w:id="313" w:name="_Toc27604"/>
      <w:r>
        <w:rPr>
          <w:rFonts w:hint="eastAsia" w:ascii="Calibri" w:hAnsi="Calibri" w:eastAsia="宋体" w:cs="Times New Roman"/>
          <w:b/>
          <w:color w:val="auto"/>
          <w:kern w:val="44"/>
          <w:sz w:val="44"/>
          <w:szCs w:val="24"/>
          <w:lang w:val="en-US" w:eastAsia="zh-CN" w:bidi="ar-SA"/>
        </w:rPr>
        <w:t>第八章 农田灌溉提升</w:t>
      </w:r>
      <w:bookmarkEnd w:id="298"/>
      <w:bookmarkEnd w:id="299"/>
      <w:bookmarkEnd w:id="300"/>
      <w:bookmarkEnd w:id="313"/>
    </w:p>
    <w:p w14:paraId="210D0B4C">
      <w:pPr>
        <w:autoSpaceDE w:val="0"/>
        <w:autoSpaceDN w:val="0"/>
        <w:adjustRightInd w:val="0"/>
        <w:snapToGrid w:val="0"/>
        <w:spacing w:line="360" w:lineRule="auto"/>
        <w:ind w:firstLine="560" w:firstLineChars="200"/>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按照“水利工程补短板、水利行业强监管”水利改革发展总基调，大力实施中型灌区续建配套与节水改造，加快补齐中型灌区工程体系短板，创新灌区管理体制机制，实现中型灌区“节水高效、设施完善、管理科学、生态良好”的总体目标，为确保国家粮食安全、推进县域经济社会可持续发展提供有力支撑。</w:t>
      </w:r>
    </w:p>
    <w:p w14:paraId="034D3414">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十四五”期间，在继续完善县级水源工程的基础上，充分利用我县地形优势和地表水资源，以曲堤灌区和山泽灌区两个中型灌区为依托，完成两个灌区的续建配套和节水改造工程建设，大幅度提高水资源的利用效率。同时，进一步深化农业水价综合改革，加快供水计量设施建设，实行农业用水定额管理，提高农业用水利用率和节水意识。</w:t>
      </w:r>
    </w:p>
    <w:p w14:paraId="1F518C79">
      <w:pPr>
        <w:pStyle w:val="7"/>
        <w:bidi w:val="0"/>
        <w:rPr>
          <w:rFonts w:hint="eastAsia"/>
          <w:color w:val="auto"/>
          <w:lang w:val="en-US" w:eastAsia="zh-CN"/>
        </w:rPr>
      </w:pPr>
      <w:bookmarkStart w:id="314" w:name="_Toc27851"/>
      <w:bookmarkStart w:id="315" w:name="_Toc13952"/>
      <w:bookmarkStart w:id="316" w:name="_Toc18270"/>
      <w:bookmarkStart w:id="317" w:name="_Toc17862"/>
      <w:bookmarkStart w:id="318" w:name="_Toc32174"/>
      <w:bookmarkStart w:id="319" w:name="_Toc31006"/>
      <w:bookmarkStart w:id="320" w:name="_Toc3748"/>
      <w:bookmarkStart w:id="321" w:name="_Toc29076"/>
      <w:r>
        <w:rPr>
          <w:rFonts w:hint="eastAsia" w:ascii="Times New Roman" w:hAnsi="Times New Roman"/>
          <w:color w:val="auto"/>
          <w:lang w:val="en-US" w:eastAsia="zh-CN"/>
        </w:rPr>
        <w:t>8</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bookmarkEnd w:id="314"/>
      <w:bookmarkEnd w:id="315"/>
      <w:bookmarkEnd w:id="316"/>
      <w:bookmarkEnd w:id="317"/>
      <w:r>
        <w:rPr>
          <w:rFonts w:hint="eastAsia"/>
          <w:color w:val="auto"/>
          <w:lang w:val="en-US" w:eastAsia="zh-CN"/>
        </w:rPr>
        <w:t>中型灌区续建配套</w:t>
      </w:r>
      <w:bookmarkEnd w:id="318"/>
      <w:bookmarkEnd w:id="319"/>
      <w:r>
        <w:rPr>
          <w:rFonts w:hint="eastAsia"/>
          <w:color w:val="auto"/>
          <w:lang w:val="en-US" w:eastAsia="zh-CN"/>
        </w:rPr>
        <w:t>与节水改造</w:t>
      </w:r>
      <w:bookmarkEnd w:id="320"/>
      <w:bookmarkEnd w:id="321"/>
    </w:p>
    <w:p w14:paraId="507962F1">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color w:val="auto"/>
          <w:sz w:val="28"/>
        </w:rPr>
        <w:t>“十四五”期间，沁水县拟建中型灌区续建配套与节水改造</w:t>
      </w:r>
      <w:r>
        <w:rPr>
          <w:rFonts w:hint="eastAsia" w:ascii="Times New Roman" w:hAnsi="Times New Roman" w:eastAsia="仿宋_GB2312" w:cs="仿宋_GB2312"/>
          <w:color w:val="auto"/>
          <w:sz w:val="28"/>
          <w:lang w:val="en-US" w:eastAsia="zh-CN"/>
        </w:rPr>
        <w:t>3</w:t>
      </w:r>
      <w:r>
        <w:rPr>
          <w:rFonts w:hint="eastAsia" w:eastAsia="仿宋_GB2312"/>
          <w:color w:val="auto"/>
          <w:sz w:val="28"/>
        </w:rPr>
        <w:t>处</w:t>
      </w:r>
      <w:r>
        <w:rPr>
          <w:rFonts w:hint="eastAsia" w:eastAsia="仿宋_GB2312"/>
          <w:bCs/>
          <w:color w:val="auto"/>
          <w:kern w:val="44"/>
          <w:sz w:val="28"/>
          <w:szCs w:val="36"/>
        </w:rPr>
        <w:t>。</w:t>
      </w:r>
      <w:r>
        <w:rPr>
          <w:rFonts w:hint="eastAsia" w:eastAsia="仿宋_GB2312"/>
          <w:color w:val="auto"/>
          <w:sz w:val="28"/>
        </w:rPr>
        <w:t>改善水地</w:t>
      </w:r>
      <w:r>
        <w:rPr>
          <w:rFonts w:hint="eastAsia" w:ascii="Times New Roman" w:hAnsi="Times New Roman" w:eastAsia="仿宋_GB2312" w:cs="仿宋_GB2312"/>
          <w:color w:val="FF0000"/>
          <w:sz w:val="28"/>
          <w:lang w:val="en-US" w:eastAsia="zh-CN"/>
        </w:rPr>
        <w:t>3.36</w:t>
      </w:r>
      <w:r>
        <w:rPr>
          <w:rFonts w:hint="eastAsia" w:eastAsia="仿宋_GB2312"/>
          <w:color w:val="auto"/>
          <w:sz w:val="28"/>
        </w:rPr>
        <w:t>万亩，</w:t>
      </w:r>
      <w:r>
        <w:rPr>
          <w:rFonts w:eastAsia="仿宋_GB2312"/>
          <w:color w:val="auto"/>
          <w:sz w:val="28"/>
        </w:rPr>
        <w:t>工程</w:t>
      </w:r>
      <w:r>
        <w:rPr>
          <w:rFonts w:eastAsia="仿宋_GB2312"/>
          <w:bCs/>
          <w:color w:val="auto"/>
          <w:kern w:val="44"/>
          <w:sz w:val="28"/>
          <w:szCs w:val="28"/>
        </w:rPr>
        <w:t>总投资</w:t>
      </w:r>
      <w:r>
        <w:rPr>
          <w:rFonts w:hint="eastAsia" w:ascii="Times New Roman" w:hAnsi="Times New Roman" w:eastAsia="仿宋_GB2312" w:cs="仿宋_GB2312"/>
          <w:bCs/>
          <w:color w:val="auto"/>
          <w:kern w:val="44"/>
          <w:sz w:val="28"/>
          <w:szCs w:val="28"/>
          <w:lang w:val="en-US" w:eastAsia="zh-CN"/>
        </w:rPr>
        <w:t>1</w:t>
      </w:r>
      <w:r>
        <w:rPr>
          <w:rFonts w:eastAsia="仿宋_GB2312"/>
          <w:bCs/>
          <w:color w:val="auto"/>
          <w:kern w:val="44"/>
          <w:sz w:val="28"/>
          <w:szCs w:val="28"/>
        </w:rPr>
        <w:t>亿元</w:t>
      </w:r>
      <w:r>
        <w:rPr>
          <w:rFonts w:hint="eastAsia" w:eastAsia="仿宋_GB2312"/>
          <w:bCs/>
          <w:color w:val="auto"/>
          <w:kern w:val="44"/>
          <w:sz w:val="28"/>
          <w:szCs w:val="36"/>
        </w:rPr>
        <w:t>。</w:t>
      </w:r>
    </w:p>
    <w:p w14:paraId="1172F391">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一、曲堤灌区续建配套与节水改造项目</w:t>
      </w:r>
    </w:p>
    <w:p w14:paraId="34DDF395">
      <w:pPr>
        <w:autoSpaceDE w:val="0"/>
        <w:autoSpaceDN w:val="0"/>
        <w:adjustRightInd w:val="0"/>
        <w:snapToGrid w:val="0"/>
        <w:spacing w:line="360" w:lineRule="auto"/>
        <w:ind w:firstLine="641"/>
        <w:rPr>
          <w:rFonts w:hint="eastAsia" w:ascii="Times New Roman" w:hAnsi="Times New Roman" w:eastAsia="仿宋"/>
          <w:color w:val="auto"/>
          <w:kern w:val="0"/>
          <w:sz w:val="28"/>
          <w:szCs w:val="28"/>
          <w:lang w:eastAsia="zh-CN"/>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、渠首：引水渠进行清淤长6.47km，拆除重建浆砌石渠道长1km；改造灌区水泵2台套；更换泵站发电设备1套；拆除现有的管理房4间，新建管理房一处，建筑面积为151.3m</w:t>
      </w:r>
      <w:r>
        <w:rPr>
          <w:rFonts w:hint="eastAsia" w:ascii="Times New Roman" w:hAnsi="Times New Roman" w:eastAsia="仿宋"/>
          <w:color w:val="auto"/>
          <w:kern w:val="0"/>
          <w:sz w:val="28"/>
          <w:szCs w:val="28"/>
          <w:vertAlign w:val="superscript"/>
        </w:rPr>
        <w:t>2</w:t>
      </w:r>
      <w:r>
        <w:rPr>
          <w:rFonts w:hint="eastAsia" w:ascii="Times New Roman" w:hAnsi="Times New Roman" w:eastAsia="仿宋"/>
          <w:color w:val="auto"/>
          <w:kern w:val="0"/>
          <w:sz w:val="28"/>
          <w:szCs w:val="28"/>
        </w:rPr>
        <w:t>，为一层砖混结构。</w:t>
      </w:r>
      <w:r>
        <w:rPr>
          <w:rFonts w:hint="eastAsia" w:ascii="Times New Roman" w:hAnsi="Times New Roman" w:eastAsia="仿宋" w:cs="仿宋_GB2312"/>
          <w:color w:val="auto"/>
          <w:kern w:val="0"/>
          <w:sz w:val="28"/>
          <w:szCs w:val="28"/>
          <w:lang w:val="en-US" w:eastAsia="zh-CN"/>
        </w:rPr>
        <w:t>2</w:t>
      </w:r>
      <w:r>
        <w:rPr>
          <w:rFonts w:hint="eastAsia" w:ascii="Times New Roman" w:hAnsi="Times New Roman" w:eastAsia="仿宋"/>
          <w:color w:val="auto"/>
          <w:kern w:val="0"/>
          <w:sz w:val="28"/>
          <w:szCs w:val="28"/>
        </w:rPr>
        <w:t>、灌区：东山片灌区更换提水管道长2724m，管材采用DN350TPEP防腐钢管，新建排气阀井4座，新建控制阀井房1座，拆除重建东山灌区现有20000m³蓄水池一座；西山片灌区更换提水管道长2229m，管材采用DN350TPEP防腐钢管，新建排气阀井4座，新建控制阀井房1座，新建10000m³调蓄水池一座。恢复改善灌溉面积</w:t>
      </w:r>
      <w:r>
        <w:rPr>
          <w:rFonts w:hint="eastAsia" w:ascii="Times New Roman" w:hAnsi="Times New Roman" w:eastAsia="仿宋" w:cs="仿宋_GB2312"/>
          <w:color w:val="auto"/>
          <w:kern w:val="0"/>
          <w:sz w:val="28"/>
          <w:szCs w:val="28"/>
        </w:rPr>
        <w:t>1</w:t>
      </w:r>
      <w:r>
        <w:rPr>
          <w:rFonts w:hint="eastAsia" w:ascii="Times New Roman" w:hAnsi="Times New Roman" w:eastAsia="仿宋" w:cs="仿宋_GB2312"/>
          <w:color w:val="auto"/>
          <w:kern w:val="0"/>
          <w:sz w:val="28"/>
          <w:szCs w:val="28"/>
          <w:lang w:val="en-US" w:eastAsia="zh-CN"/>
        </w:rPr>
        <w:t>.16</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、计量设施及信息化建设。</w:t>
      </w:r>
    </w:p>
    <w:p w14:paraId="1F55E2EE">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二、山泽灌区续建配套与节水改造项目</w:t>
      </w:r>
    </w:p>
    <w:p w14:paraId="767F5EDF">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、渠首：管理站屋顶防渗改造500平方；新建提水点一处：新建100方蓄水池1座，提水泵2台，DN200输水管道3000m，附属建筑物10座。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、灌区：改造DN800输水钢管12500m，DN500输水钢管5500m，新建500方调蓄水池5座。恢复和改善灌溉面积</w:t>
      </w:r>
      <w:r>
        <w:rPr>
          <w:rFonts w:hint="eastAsia" w:ascii="Times New Roman" w:hAnsi="Times New Roman" w:eastAsia="仿宋"/>
          <w:color w:val="FF0000"/>
          <w:kern w:val="0"/>
          <w:sz w:val="28"/>
          <w:szCs w:val="28"/>
          <w:lang w:val="en-US" w:eastAsia="zh-CN"/>
        </w:rPr>
        <w:t>1.2</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olor w:val="auto"/>
          <w:kern w:val="0"/>
          <w:sz w:val="28"/>
          <w:szCs w:val="28"/>
        </w:rPr>
        <w:t>③计量设施及信息化建设。</w:t>
      </w:r>
    </w:p>
    <w:p w14:paraId="579E5BE8">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eastAsia="仿宋"/>
          <w:color w:val="auto"/>
          <w:kern w:val="0"/>
          <w:sz w:val="28"/>
          <w:szCs w:val="28"/>
          <w:lang w:val="en-US" w:eastAsia="zh-CN"/>
        </w:rPr>
        <w:t>三、下泊灌区</w:t>
      </w:r>
      <w:r>
        <w:rPr>
          <w:rFonts w:hint="eastAsia" w:ascii="Times New Roman" w:hAnsi="Times New Roman" w:eastAsia="仿宋"/>
          <w:color w:val="auto"/>
          <w:kern w:val="0"/>
          <w:sz w:val="28"/>
          <w:szCs w:val="28"/>
        </w:rPr>
        <w:t>续建配套与节水改造项目</w:t>
      </w:r>
    </w:p>
    <w:p w14:paraId="03F9C8A9">
      <w:pPr>
        <w:pStyle w:val="2"/>
        <w:rPr>
          <w:rFonts w:hint="eastAsia" w:eastAsia="仿宋"/>
          <w:color w:val="auto"/>
          <w:kern w:val="0"/>
          <w:sz w:val="28"/>
          <w:szCs w:val="28"/>
          <w:lang w:val="en-US" w:eastAsia="zh-CN"/>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渠首：新建提水点一处：新建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座，提水泵</w:t>
      </w:r>
      <w:r>
        <w:rPr>
          <w:rFonts w:hint="eastAsia" w:ascii="Times New Roman" w:hAnsi="Times New Roman" w:eastAsia="仿宋"/>
          <w:color w:val="auto"/>
          <w:kern w:val="0"/>
          <w:sz w:val="28"/>
          <w:szCs w:val="28"/>
          <w:lang w:val="en-US" w:eastAsia="zh-CN"/>
        </w:rPr>
        <w:t>2</w:t>
      </w:r>
      <w:r>
        <w:rPr>
          <w:rFonts w:hint="eastAsia" w:eastAsia="仿宋"/>
          <w:color w:val="auto"/>
          <w:kern w:val="0"/>
          <w:sz w:val="28"/>
          <w:szCs w:val="28"/>
          <w:lang w:val="en-US" w:eastAsia="zh-CN"/>
        </w:rPr>
        <w:t>台，</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2500m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15</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灌区：铺设主管道</w:t>
      </w:r>
      <w:r>
        <w:rPr>
          <w:rFonts w:hint="eastAsia" w:ascii="Times New Roman" w:hAnsi="Times New Roman" w:eastAsia="仿宋"/>
          <w:color w:val="auto"/>
          <w:kern w:val="0"/>
          <w:sz w:val="28"/>
          <w:szCs w:val="28"/>
          <w:lang w:val="en-US" w:eastAsia="zh-CN"/>
        </w:rPr>
        <w:t>DN600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13000m</w:t>
      </w:r>
      <w:r>
        <w:rPr>
          <w:rFonts w:hint="eastAsia" w:eastAsia="仿宋"/>
          <w:color w:val="auto"/>
          <w:kern w:val="0"/>
          <w:sz w:val="28"/>
          <w:szCs w:val="28"/>
          <w:lang w:val="en-US" w:eastAsia="zh-CN"/>
        </w:rPr>
        <w:t>，支线</w:t>
      </w:r>
      <w:r>
        <w:rPr>
          <w:rFonts w:hint="eastAsia" w:ascii="Times New Roman" w:hAnsi="Times New Roman" w:eastAsia="仿宋"/>
          <w:color w:val="auto"/>
          <w:kern w:val="0"/>
          <w:sz w:val="28"/>
          <w:szCs w:val="28"/>
          <w:lang w:val="en-US" w:eastAsia="zh-CN"/>
        </w:rPr>
        <w:t>DN300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13700m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80</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9</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100</w:t>
      </w:r>
      <w:r>
        <w:rPr>
          <w:rFonts w:hint="eastAsia" w:eastAsia="仿宋"/>
          <w:color w:val="auto"/>
          <w:kern w:val="0"/>
          <w:sz w:val="28"/>
          <w:szCs w:val="28"/>
          <w:lang w:val="en-US" w:eastAsia="zh-CN"/>
        </w:rPr>
        <w:t>方减压池</w:t>
      </w:r>
      <w:r>
        <w:rPr>
          <w:rFonts w:hint="eastAsia" w:ascii="Times New Roman" w:hAnsi="Times New Roman" w:eastAsia="仿宋"/>
          <w:color w:val="auto"/>
          <w:kern w:val="0"/>
          <w:sz w:val="28"/>
          <w:szCs w:val="28"/>
          <w:lang w:val="en-US" w:eastAsia="zh-CN"/>
        </w:rPr>
        <w:t>4</w:t>
      </w:r>
      <w:r>
        <w:rPr>
          <w:rFonts w:hint="eastAsia" w:eastAsia="仿宋"/>
          <w:color w:val="auto"/>
          <w:kern w:val="0"/>
          <w:sz w:val="28"/>
          <w:szCs w:val="28"/>
          <w:lang w:val="en-US" w:eastAsia="zh-CN"/>
        </w:rPr>
        <w:t>座；新建提水点</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处，</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3500m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20</w:t>
      </w:r>
      <w:r>
        <w:rPr>
          <w:rFonts w:hint="eastAsia" w:eastAsia="仿宋"/>
          <w:color w:val="auto"/>
          <w:kern w:val="0"/>
          <w:sz w:val="28"/>
          <w:szCs w:val="28"/>
          <w:lang w:val="en-US" w:eastAsia="zh-CN"/>
        </w:rPr>
        <w:t>座。田间工程：铺设灌溉管道</w:t>
      </w:r>
      <w:r>
        <w:rPr>
          <w:rFonts w:hint="eastAsia" w:ascii="Times New Roman" w:hAnsi="Times New Roman" w:eastAsia="仿宋"/>
          <w:color w:val="auto"/>
          <w:kern w:val="0"/>
          <w:sz w:val="28"/>
          <w:szCs w:val="28"/>
          <w:lang w:val="en-US" w:eastAsia="zh-CN"/>
        </w:rPr>
        <w:t>De110PVC</w:t>
      </w:r>
      <w:r>
        <w:rPr>
          <w:rFonts w:hint="eastAsia" w:eastAsia="仿宋"/>
          <w:color w:val="auto"/>
          <w:kern w:val="0"/>
          <w:sz w:val="28"/>
          <w:szCs w:val="28"/>
          <w:lang w:val="en-US" w:eastAsia="zh-CN"/>
        </w:rPr>
        <w:t>管</w:t>
      </w:r>
      <w:r>
        <w:rPr>
          <w:rFonts w:hint="eastAsia" w:ascii="Times New Roman" w:hAnsi="Times New Roman" w:eastAsia="仿宋"/>
          <w:color w:val="auto"/>
          <w:kern w:val="0"/>
          <w:sz w:val="28"/>
          <w:szCs w:val="28"/>
          <w:lang w:val="en-US" w:eastAsia="zh-CN"/>
        </w:rPr>
        <w:t>100000m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180</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计量设施及信息化建设。</w:t>
      </w:r>
      <w:r>
        <w:rPr>
          <w:rFonts w:hint="eastAsia" w:eastAsia="仿宋"/>
          <w:color w:val="FF0000"/>
          <w:kern w:val="0"/>
          <w:sz w:val="28"/>
          <w:szCs w:val="28"/>
          <w:lang w:val="en-US" w:eastAsia="zh-CN"/>
        </w:rPr>
        <w:t>新增</w:t>
      </w:r>
      <w:r>
        <w:rPr>
          <w:rFonts w:hint="eastAsia" w:ascii="Times New Roman" w:hAnsi="Times New Roman" w:eastAsia="仿宋"/>
          <w:color w:val="FF0000"/>
          <w:kern w:val="0"/>
          <w:sz w:val="28"/>
          <w:szCs w:val="28"/>
        </w:rPr>
        <w:t>灌溉面积</w:t>
      </w:r>
      <w:r>
        <w:rPr>
          <w:rFonts w:hint="eastAsia" w:ascii="Times New Roman" w:hAnsi="Times New Roman" w:eastAsia="仿宋"/>
          <w:color w:val="FF0000"/>
          <w:kern w:val="0"/>
          <w:sz w:val="28"/>
          <w:szCs w:val="28"/>
          <w:lang w:val="en-US" w:eastAsia="zh-CN"/>
        </w:rPr>
        <w:t>1</w:t>
      </w:r>
      <w:r>
        <w:rPr>
          <w:rFonts w:hint="eastAsia" w:ascii="Times New Roman" w:hAnsi="Times New Roman" w:eastAsia="仿宋"/>
          <w:color w:val="FF0000"/>
          <w:kern w:val="0"/>
          <w:sz w:val="28"/>
          <w:szCs w:val="28"/>
        </w:rPr>
        <w:t>万亩</w:t>
      </w:r>
      <w:r>
        <w:rPr>
          <w:rFonts w:hint="eastAsia" w:ascii="Times New Roman" w:hAnsi="Times New Roman" w:eastAsia="仿宋"/>
          <w:color w:val="FF0000"/>
          <w:kern w:val="0"/>
          <w:sz w:val="28"/>
          <w:szCs w:val="28"/>
          <w:lang w:eastAsia="zh-CN"/>
        </w:rPr>
        <w:t>。</w:t>
      </w:r>
    </w:p>
    <w:p w14:paraId="666D9DB6">
      <w:pPr>
        <w:pStyle w:val="7"/>
        <w:bidi w:val="0"/>
        <w:rPr>
          <w:rFonts w:hint="eastAsia" w:ascii="Arial" w:hAnsi="Arial" w:cs="Times New Roman"/>
          <w:color w:val="auto"/>
          <w:lang w:val="en-US" w:eastAsia="zh-CN"/>
        </w:rPr>
      </w:pPr>
      <w:bookmarkStart w:id="322" w:name="_Toc7931"/>
      <w:bookmarkStart w:id="323" w:name="_Toc24660"/>
      <w:bookmarkStart w:id="324" w:name="_Toc6884"/>
      <w:r>
        <w:rPr>
          <w:rFonts w:hint="eastAsia" w:ascii="Times New Roman" w:hAnsi="Times New Roman" w:cs="Times New Roman"/>
          <w:color w:val="auto"/>
          <w:lang w:val="en-US" w:eastAsia="zh-CN"/>
        </w:rPr>
        <w:t>8</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农业水价综合改革</w:t>
      </w:r>
      <w:bookmarkEnd w:id="322"/>
    </w:p>
    <w:p w14:paraId="3F6B4500">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按照</w:t>
      </w:r>
      <w:r>
        <w:rPr>
          <w:rFonts w:hint="eastAsia" w:ascii="Times New Roman" w:hAnsi="Times New Roman" w:eastAsia="仿宋" w:cs="仿宋_GB2312"/>
          <w:color w:val="auto"/>
          <w:kern w:val="0"/>
          <w:sz w:val="28"/>
          <w:szCs w:val="28"/>
        </w:rPr>
        <w:t>2025</w:t>
      </w:r>
      <w:r>
        <w:rPr>
          <w:rFonts w:hint="eastAsia" w:ascii="Times New Roman" w:hAnsi="Times New Roman" w:eastAsia="仿宋"/>
          <w:color w:val="auto"/>
          <w:kern w:val="0"/>
          <w:sz w:val="28"/>
          <w:szCs w:val="28"/>
        </w:rPr>
        <w:t>年全面完成我省农业水价综合改革任务的目标，结合我县实际，因地制宜推进农业水价综合改革工作。按照“先建机制，后建工程”理念，结合两个中型灌区续建配套和节水改造项目，进一步完善计量设施建设；以我县用水总量控制指标为基础，合理确定农业用水指标分解层级，继续推进农业水权的分配工作，落实农业用水总量控制和定额管理；在确定两个灌区基础水价、分类分档水价的基础上，协同推进全县的农业用水价格管理工作；拓宽资金渠道，完善出台精准补贴和节水奖励机制，激励用户节约用水的积极性和主动性。</w:t>
      </w:r>
    </w:p>
    <w:p w14:paraId="39B71922">
      <w:pPr>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br w:type="page"/>
      </w:r>
    </w:p>
    <w:p w14:paraId="0913FFE0">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80710" cy="8032750"/>
            <wp:effectExtent l="0" t="0" r="15240" b="6350"/>
            <wp:docPr id="14" name="图片 14" descr="曲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曲堤"/>
                    <pic:cNvPicPr>
                      <a:picLocks noChangeAspect="1"/>
                    </pic:cNvPicPr>
                  </pic:nvPicPr>
                  <pic:blipFill>
                    <a:blip r:embed="rId19"/>
                    <a:stretch>
                      <a:fillRect/>
                    </a:stretch>
                  </pic:blipFill>
                  <pic:spPr>
                    <a:xfrm>
                      <a:off x="0" y="0"/>
                      <a:ext cx="5680710"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13" name="图片 13" descr="山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山泽"/>
                    <pic:cNvPicPr>
                      <a:picLocks noChangeAspect="1"/>
                    </pic:cNvPicPr>
                  </pic:nvPicPr>
                  <pic:blipFill>
                    <a:blip r:embed="rId20"/>
                    <a:stretch>
                      <a:fillRect/>
                    </a:stretch>
                  </pic:blipFill>
                  <pic:spPr>
                    <a:xfrm>
                      <a:off x="0" y="0"/>
                      <a:ext cx="5678805"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8" name="图片 8" descr="下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下泊"/>
                    <pic:cNvPicPr>
                      <a:picLocks noChangeAspect="1"/>
                    </pic:cNvPicPr>
                  </pic:nvPicPr>
                  <pic:blipFill>
                    <a:blip r:embed="rId21"/>
                    <a:stretch>
                      <a:fillRect/>
                    </a:stretch>
                  </pic:blipFill>
                  <pic:spPr>
                    <a:xfrm>
                      <a:off x="0" y="0"/>
                      <a:ext cx="5678805" cy="8032750"/>
                    </a:xfrm>
                    <a:prstGeom prst="rect">
                      <a:avLst/>
                    </a:prstGeom>
                  </pic:spPr>
                </pic:pic>
              </a:graphicData>
            </a:graphic>
          </wp:inline>
        </w:drawing>
      </w:r>
    </w:p>
    <w:p w14:paraId="361AFD46">
      <w:pPr>
        <w:rPr>
          <w:color w:val="auto"/>
        </w:rPr>
      </w:pPr>
      <w:r>
        <w:rPr>
          <w:color w:val="auto"/>
        </w:rPr>
        <w:br w:type="page"/>
      </w:r>
    </w:p>
    <w:p w14:paraId="713F03CA">
      <w:pPr>
        <w:rPr>
          <w:color w:val="auto"/>
          <w:sz w:val="10"/>
          <w:szCs w:val="10"/>
        </w:rPr>
      </w:pPr>
      <w:bookmarkStart w:id="325" w:name="_Toc13350"/>
    </w:p>
    <w:bookmarkEnd w:id="323"/>
    <w:bookmarkEnd w:id="324"/>
    <w:bookmarkEnd w:id="325"/>
    <w:p w14:paraId="0D755061">
      <w:pPr>
        <w:pStyle w:val="6"/>
        <w:snapToGrid w:val="0"/>
        <w:spacing w:line="360" w:lineRule="auto"/>
        <w:jc w:val="center"/>
        <w:rPr>
          <w:color w:val="auto"/>
        </w:rPr>
      </w:pPr>
      <w:bookmarkStart w:id="326" w:name="_Toc18273"/>
      <w:bookmarkStart w:id="327" w:name="_Toc9431"/>
      <w:bookmarkStart w:id="328" w:name="_Toc30080"/>
      <w:bookmarkStart w:id="329" w:name="_Toc2859"/>
      <w:r>
        <w:rPr>
          <w:rFonts w:hint="eastAsia"/>
          <w:color w:val="auto"/>
        </w:rPr>
        <w:t>第</w:t>
      </w:r>
      <w:r>
        <w:rPr>
          <w:rFonts w:hint="eastAsia"/>
          <w:color w:val="auto"/>
          <w:lang w:val="en-US" w:eastAsia="zh-CN"/>
        </w:rPr>
        <w:t>九</w:t>
      </w:r>
      <w:r>
        <w:rPr>
          <w:rFonts w:hint="eastAsia"/>
          <w:color w:val="auto"/>
        </w:rPr>
        <w:t>章  节水型社会提升</w:t>
      </w:r>
      <w:bookmarkEnd w:id="326"/>
      <w:bookmarkEnd w:id="327"/>
      <w:bookmarkEnd w:id="328"/>
      <w:bookmarkEnd w:id="329"/>
    </w:p>
    <w:p w14:paraId="59EB1AC4">
      <w:pPr>
        <w:widowControl/>
        <w:snapToGrid w:val="0"/>
        <w:spacing w:line="360" w:lineRule="auto"/>
        <w:ind w:firstLine="560" w:firstLineChars="200"/>
        <w:jc w:val="left"/>
        <w:rPr>
          <w:rFonts w:ascii="仿宋" w:hAnsi="仿宋" w:eastAsia="仿宋" w:cs="仿宋"/>
          <w:color w:val="auto"/>
          <w:kern w:val="0"/>
          <w:sz w:val="28"/>
          <w:szCs w:val="28"/>
        </w:rPr>
        <w:sectPr>
          <w:type w:val="continuous"/>
          <w:pgSz w:w="11907" w:h="16840"/>
          <w:pgMar w:top="1418" w:right="1418" w:bottom="1361" w:left="1531" w:header="964" w:footer="964" w:gutter="0"/>
          <w:pgNumType w:fmt="numberInDash"/>
          <w:cols w:space="720" w:num="1"/>
          <w:docGrid w:linePitch="312" w:charSpace="0"/>
        </w:sectPr>
      </w:pPr>
    </w:p>
    <w:p w14:paraId="7E72C2F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以习近平新时代中国特色社会主义思想为指导，全面贯彻落实党的十九大和十九届二中、三中、四中、五中全会精神，积极践行“节水优先、空间均衡、系统治理、两手发力”治水思路，按照“水利工程补短板、水利行业强监管”水利改革发展总基调，贯彻落实国家节水行动方案，大力推动全社会节水，全面建设节水型社会，提升我县水资源利用效率。切实做到强化指标刚性约束，严格实行用水总量和强度控制；严格用水全过程管理，强化节水监督；推进工业节水减排，推广高耗水生产工艺替代等节水技术；加强城镇节水降损，深入开展公共领域节水； 推动非常规水纳入水资源统一配置，提升非常规水利用率；研究制定我县节约用水政策和管理制度，推动法治保障。</w:t>
      </w:r>
    </w:p>
    <w:p w14:paraId="2E0F355E">
      <w:pPr>
        <w:pStyle w:val="35"/>
        <w:snapToGrid w:val="0"/>
        <w:spacing w:line="360" w:lineRule="auto"/>
        <w:ind w:firstLine="560" w:firstLineChars="200"/>
        <w:rPr>
          <w:rFonts w:cs="仿宋"/>
          <w:color w:val="auto"/>
          <w:sz w:val="28"/>
          <w:szCs w:val="28"/>
        </w:rPr>
      </w:pPr>
      <w:r>
        <w:rPr>
          <w:rFonts w:hint="eastAsia" w:cs="仿宋"/>
          <w:color w:val="auto"/>
          <w:sz w:val="28"/>
          <w:szCs w:val="28"/>
        </w:rPr>
        <w:t>到“十四五”末，节水政策法规、市场机制、标准体系趋于完善，技术支撑能力不断增强，管理机制逐步健全，节水型生产和生活方式初步建立，节水产业初显成效，非常规水利用占比进一步增大，用水效率和效益显著提高。</w:t>
      </w:r>
    </w:p>
    <w:p w14:paraId="6FC9B29F">
      <w:pPr>
        <w:pStyle w:val="7"/>
        <w:rPr>
          <w:color w:val="auto"/>
        </w:rPr>
      </w:pPr>
      <w:bookmarkStart w:id="330" w:name="_Toc13004"/>
      <w:bookmarkStart w:id="331" w:name="_Toc21155"/>
      <w:bookmarkStart w:id="332" w:name="_Toc17841"/>
      <w:bookmarkStart w:id="333" w:name="_Toc30629"/>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1</w:t>
      </w:r>
      <w:r>
        <w:rPr>
          <w:rFonts w:hint="eastAsia"/>
          <w:color w:val="auto"/>
        </w:rPr>
        <w:t xml:space="preserve">  农业节水规划</w:t>
      </w:r>
      <w:bookmarkEnd w:id="330"/>
      <w:bookmarkEnd w:id="331"/>
      <w:bookmarkEnd w:id="332"/>
      <w:bookmarkEnd w:id="333"/>
    </w:p>
    <w:p w14:paraId="65A05EFD">
      <w:pPr>
        <w:snapToGrid w:val="0"/>
        <w:spacing w:line="360" w:lineRule="auto"/>
        <w:ind w:firstLine="562" w:firstLineChars="200"/>
        <w:rPr>
          <w:rFonts w:ascii="仿宋" w:hAnsi="仿宋" w:eastAsia="仿宋" w:cs="仿宋"/>
          <w:b/>
          <w:bCs/>
          <w:color w:val="auto"/>
          <w:sz w:val="28"/>
          <w:szCs w:val="28"/>
        </w:rPr>
      </w:pPr>
      <w:bookmarkStart w:id="334" w:name="_Toc30467"/>
      <w:bookmarkStart w:id="335" w:name="_Toc29612"/>
      <w:r>
        <w:rPr>
          <w:rFonts w:hint="eastAsia" w:ascii="仿宋" w:hAnsi="仿宋" w:eastAsia="仿宋" w:cs="仿宋"/>
          <w:b/>
          <w:bCs/>
          <w:color w:val="auto"/>
          <w:sz w:val="28"/>
          <w:szCs w:val="28"/>
        </w:rPr>
        <w:t>一、大力推进节水灌溉</w:t>
      </w:r>
      <w:bookmarkEnd w:id="334"/>
      <w:bookmarkEnd w:id="335"/>
    </w:p>
    <w:p w14:paraId="663140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快灌区节水配套和现代化升级改造，分区域规模化推进高效节水灌溉，努力实现智能化分析、远程化监控、自动化调度的精准灌溉管理目标。大力推进高标准农田建设，加大田间节水设施建设力度。积极推广低压管道输水灌溉、喷灌、微灌、滴灌、集雨补灌、覆盖保墒等技术，在蔬菜、果品等特色种植区实施水肥一体化技术。缺水严重地区应因地制宜研究制定落后淘汰灌溉方式退出机制。开展农业用水精细化管理，推进灌溉试验及成果转化。加强农田土壤墒情监测，分步实现测墒灌溉。</w:t>
      </w:r>
    </w:p>
    <w:p w14:paraId="07F52ED4">
      <w:pPr>
        <w:snapToGrid w:val="0"/>
        <w:spacing w:line="360" w:lineRule="auto"/>
        <w:ind w:firstLine="562" w:firstLineChars="200"/>
        <w:rPr>
          <w:rFonts w:ascii="仿宋" w:hAnsi="仿宋" w:eastAsia="仿宋" w:cs="仿宋"/>
          <w:b/>
          <w:bCs/>
          <w:color w:val="auto"/>
          <w:sz w:val="28"/>
          <w:szCs w:val="28"/>
        </w:rPr>
      </w:pPr>
      <w:bookmarkStart w:id="336" w:name="_Toc28559"/>
      <w:bookmarkStart w:id="337" w:name="_Toc4729"/>
      <w:r>
        <w:rPr>
          <w:rFonts w:hint="eastAsia" w:ascii="仿宋" w:hAnsi="仿宋" w:eastAsia="仿宋" w:cs="仿宋"/>
          <w:b/>
          <w:bCs/>
          <w:color w:val="auto"/>
          <w:sz w:val="28"/>
          <w:szCs w:val="28"/>
        </w:rPr>
        <w:t>二、优化调整作物种植结构</w:t>
      </w:r>
      <w:bookmarkEnd w:id="336"/>
      <w:bookmarkEnd w:id="337"/>
    </w:p>
    <w:p w14:paraId="480997D5">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资源条件，推进适水种植、量水生产。加快发展旱作农业，实现以旱补水。扩大低耗水和耐旱作物种植比例，选育推广耐旱农作物新品种。在地下水严重超采地区，实施轮作休耕，适度退减灌溉面积，积极发展集雨节灌，增强蓄水保墒能力。</w:t>
      </w:r>
    </w:p>
    <w:p w14:paraId="3C22A373">
      <w:pPr>
        <w:snapToGrid w:val="0"/>
        <w:spacing w:line="360" w:lineRule="auto"/>
        <w:ind w:firstLine="562" w:firstLineChars="200"/>
        <w:rPr>
          <w:rFonts w:ascii="仿宋" w:hAnsi="仿宋" w:eastAsia="仿宋" w:cs="仿宋"/>
          <w:b/>
          <w:bCs/>
          <w:color w:val="auto"/>
          <w:sz w:val="28"/>
          <w:szCs w:val="28"/>
        </w:rPr>
      </w:pPr>
      <w:bookmarkStart w:id="338" w:name="_Toc10416"/>
      <w:bookmarkStart w:id="339" w:name="_Toc31627"/>
      <w:r>
        <w:rPr>
          <w:rFonts w:hint="eastAsia" w:ascii="仿宋" w:hAnsi="仿宋" w:eastAsia="仿宋" w:cs="仿宋"/>
          <w:b/>
          <w:bCs/>
          <w:color w:val="auto"/>
          <w:sz w:val="28"/>
          <w:szCs w:val="28"/>
        </w:rPr>
        <w:t>三、推广畜牧渔业节水方式</w:t>
      </w:r>
      <w:bookmarkEnd w:id="338"/>
      <w:bookmarkEnd w:id="339"/>
    </w:p>
    <w:p w14:paraId="3A7EE92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实施规模养殖场节水改造和建设，推行先进适用的节水型畜禽水产养殖方式，推广节水型饲喂设备、机械干清粪等技术和工艺，推进养殖污水无害化处理和再生利用。推广工厂化循环水和池塘生态循环水等水产养殖节水减排技术，鼓励采取进排水改造、生物净化、人工湿地、水生蔬菜花卉种植等措施，推动养殖尾水资源化利用。</w:t>
      </w:r>
    </w:p>
    <w:p w14:paraId="755E6485">
      <w:pPr>
        <w:snapToGrid w:val="0"/>
        <w:spacing w:line="360" w:lineRule="auto"/>
        <w:ind w:firstLine="562" w:firstLineChars="200"/>
        <w:rPr>
          <w:rFonts w:ascii="仿宋" w:hAnsi="仿宋" w:eastAsia="仿宋" w:cs="仿宋"/>
          <w:b/>
          <w:bCs/>
          <w:color w:val="auto"/>
          <w:sz w:val="28"/>
          <w:szCs w:val="28"/>
        </w:rPr>
      </w:pPr>
      <w:bookmarkStart w:id="340" w:name="_Toc20068"/>
      <w:bookmarkStart w:id="341" w:name="_Toc16607"/>
      <w:r>
        <w:rPr>
          <w:rFonts w:hint="eastAsia" w:ascii="仿宋" w:hAnsi="仿宋" w:eastAsia="仿宋" w:cs="仿宋"/>
          <w:b/>
          <w:bCs/>
          <w:color w:val="auto"/>
          <w:sz w:val="28"/>
          <w:szCs w:val="28"/>
        </w:rPr>
        <w:t>四、加快推进农村生活节水</w:t>
      </w:r>
      <w:bookmarkEnd w:id="340"/>
      <w:bookmarkEnd w:id="341"/>
    </w:p>
    <w:p w14:paraId="78F9178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结合新型城镇化和新农村建设，加快村镇生活供水设施及配套管网建设与改造，在具备地表水源条件的区域推行城乡供水一体化。在实施农村集中供水、污水处理工程和保障饮用水安全基础上，推广使用节水器具，推进农村“厕所革命”，有条件的地区推动计量收费和农村非常规水利用。</w:t>
      </w:r>
    </w:p>
    <w:p w14:paraId="25BAC5A5">
      <w:pPr>
        <w:pStyle w:val="7"/>
        <w:rPr>
          <w:color w:val="auto"/>
        </w:rPr>
      </w:pPr>
      <w:bookmarkStart w:id="342" w:name="_Toc4042"/>
      <w:bookmarkStart w:id="343" w:name="_Toc11783"/>
      <w:bookmarkStart w:id="344" w:name="_Toc18963"/>
      <w:bookmarkStart w:id="345" w:name="_Toc10843"/>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2</w:t>
      </w:r>
      <w:r>
        <w:rPr>
          <w:rFonts w:hint="eastAsia"/>
          <w:color w:val="auto"/>
        </w:rPr>
        <w:t xml:space="preserve">  工业节水规划</w:t>
      </w:r>
      <w:bookmarkEnd w:id="342"/>
      <w:bookmarkEnd w:id="343"/>
      <w:bookmarkEnd w:id="344"/>
      <w:bookmarkEnd w:id="345"/>
    </w:p>
    <w:p w14:paraId="6C6A2BC9">
      <w:pPr>
        <w:snapToGrid w:val="0"/>
        <w:spacing w:line="360" w:lineRule="auto"/>
        <w:ind w:firstLine="562" w:firstLineChars="200"/>
        <w:rPr>
          <w:rFonts w:ascii="仿宋" w:hAnsi="仿宋" w:eastAsia="仿宋" w:cs="仿宋"/>
          <w:b/>
          <w:bCs/>
          <w:color w:val="auto"/>
          <w:sz w:val="28"/>
          <w:szCs w:val="28"/>
        </w:rPr>
      </w:pPr>
      <w:bookmarkStart w:id="346" w:name="_Toc23780"/>
      <w:bookmarkStart w:id="347" w:name="_Toc30226"/>
      <w:r>
        <w:rPr>
          <w:rFonts w:hint="eastAsia" w:ascii="仿宋" w:hAnsi="仿宋" w:eastAsia="仿宋" w:cs="仿宋"/>
          <w:b/>
          <w:bCs/>
          <w:color w:val="auto"/>
          <w:sz w:val="28"/>
          <w:szCs w:val="28"/>
        </w:rPr>
        <w:t>一、大力推进工业节水改造</w:t>
      </w:r>
      <w:bookmarkEnd w:id="346"/>
      <w:bookmarkEnd w:id="347"/>
    </w:p>
    <w:p w14:paraId="5516874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完善供用水计量体系和在线监测系统，强化生产用水管理。大力推广高效冷却、洗涤、循环用水、废污水再生利用、高耗水生产工艺替代等节水工艺和技术。鼓励支持企业开展节水技术改造和再生水回用改造，重点用水企业定期依法开展水平衡测试、用水审计及水效对标。对超过用水定额标准的企业限期实施节水改造，并实行水费（税）累进加价制度。</w:t>
      </w:r>
    </w:p>
    <w:p w14:paraId="371425B6">
      <w:pPr>
        <w:snapToGrid w:val="0"/>
        <w:spacing w:line="360" w:lineRule="auto"/>
        <w:ind w:firstLine="562" w:firstLineChars="200"/>
        <w:rPr>
          <w:rFonts w:ascii="仿宋" w:hAnsi="仿宋" w:eastAsia="仿宋" w:cs="仿宋"/>
          <w:b/>
          <w:bCs/>
          <w:color w:val="auto"/>
          <w:sz w:val="28"/>
          <w:szCs w:val="28"/>
        </w:rPr>
      </w:pPr>
      <w:bookmarkStart w:id="348" w:name="_Toc15822"/>
      <w:bookmarkStart w:id="349" w:name="_Toc26155"/>
      <w:r>
        <w:rPr>
          <w:rFonts w:hint="eastAsia" w:ascii="仿宋" w:hAnsi="仿宋" w:eastAsia="仿宋" w:cs="仿宋"/>
          <w:b/>
          <w:bCs/>
          <w:color w:val="auto"/>
          <w:sz w:val="28"/>
          <w:szCs w:val="28"/>
        </w:rPr>
        <w:t>二、推动高耗水行业节水增效</w:t>
      </w:r>
      <w:bookmarkEnd w:id="348"/>
      <w:bookmarkEnd w:id="349"/>
    </w:p>
    <w:p w14:paraId="1994AC6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强节水管理，采取差别水价及水效对标等措施，推动高耗水企业加强废水深度处理和达标再利用。严格落实主体功能区规划，在生态脆弱、严重缺水和地下水超采地区，将用水效率作为产业结构调整的重要依据，严格控制高耗水行业新建、改建、扩建项目，推进高耗水企业向水资源条件允许的工业园区集中，对采用列入淘汰目录工艺、技术和装备的项目不予批准取水许可；对未按期淘汰的，有关部门和属地政府要依法严肃查处。</w:t>
      </w:r>
    </w:p>
    <w:p w14:paraId="7A2F9EDB">
      <w:pPr>
        <w:snapToGrid w:val="0"/>
        <w:spacing w:line="360" w:lineRule="auto"/>
        <w:ind w:firstLine="562" w:firstLineChars="200"/>
        <w:rPr>
          <w:rFonts w:ascii="仿宋" w:hAnsi="仿宋" w:eastAsia="仿宋" w:cs="仿宋"/>
          <w:b/>
          <w:bCs/>
          <w:color w:val="auto"/>
          <w:sz w:val="28"/>
          <w:szCs w:val="28"/>
        </w:rPr>
      </w:pPr>
      <w:bookmarkStart w:id="350" w:name="_Toc19233"/>
      <w:bookmarkStart w:id="351" w:name="_Toc23502"/>
      <w:r>
        <w:rPr>
          <w:rFonts w:hint="eastAsia" w:ascii="仿宋" w:hAnsi="仿宋" w:eastAsia="仿宋" w:cs="仿宋"/>
          <w:b/>
          <w:bCs/>
          <w:color w:val="auto"/>
          <w:sz w:val="28"/>
          <w:szCs w:val="28"/>
        </w:rPr>
        <w:t>三、积极推行水循环梯级利用</w:t>
      </w:r>
      <w:bookmarkEnd w:id="350"/>
      <w:bookmarkEnd w:id="351"/>
    </w:p>
    <w:p w14:paraId="00D5C2C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现有企业和园区开展以节水为重点目标的绿色高质量转型升级和循环改造，加快节水及水循环利用设施建设，促进企业间串联用水、分质用水、一水多用和循环利用等集成优化。新建企业和园区要在规划布局时，统筹供排水、水处理及循环利用设施建设，进行节水评价。</w:t>
      </w:r>
    </w:p>
    <w:p w14:paraId="6BAC0C21">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“十四五”期间，沁水县工业节水规划预计投资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042</w:t>
      </w:r>
      <w:r>
        <w:rPr>
          <w:rFonts w:hint="eastAsia" w:ascii="仿宋" w:hAnsi="仿宋" w:eastAsia="仿宋" w:cs="仿宋"/>
          <w:color w:val="auto"/>
          <w:kern w:val="0"/>
          <w:sz w:val="28"/>
          <w:szCs w:val="28"/>
        </w:rPr>
        <w:t>亿元，工业规划主要工程项目有：</w:t>
      </w:r>
    </w:p>
    <w:p w14:paraId="27822D77">
      <w:pPr>
        <w:pStyle w:val="11"/>
        <w:snapToGrid w:val="0"/>
        <w:spacing w:line="360" w:lineRule="auto"/>
        <w:ind w:firstLine="560"/>
        <w:rPr>
          <w:rFonts w:ascii="仿宋" w:hAnsi="仿宋" w:eastAsia="仿宋" w:cs="仿宋"/>
          <w:color w:val="auto"/>
          <w:kern w:val="0"/>
          <w:sz w:val="28"/>
          <w:szCs w:val="28"/>
        </w:rPr>
      </w:pPr>
      <w:r>
        <w:rPr>
          <w:rFonts w:ascii="Times New Roman" w:hAnsi="Times New Roman" w:eastAsia="仿宋" w:cs="仿宋_GB2312"/>
          <w:color w:val="auto"/>
          <w:kern w:val="0"/>
          <w:sz w:val="28"/>
          <w:szCs w:val="28"/>
        </w:rPr>
        <w:t>1</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山西晋城无烟煤矿业集团有限责任公司寺河矿千米钻机打钻水净化处理循环利用工艺研究工程</w:t>
      </w:r>
    </w:p>
    <w:p w14:paraId="2EAFF511">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14:paraId="484FDC75">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：千米钻机产生的煤泥水收集到污水仓箱，平板陶瓷膜过滤后打入清水箱，再经过高频振动脱水筛脱水，筛上的干煤泥上主运系统拉走，筛下中水打回陶瓷膜再次过滤，如此往复形成循环系统。</w:t>
      </w:r>
    </w:p>
    <w:p w14:paraId="24748F09">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工程效益：预计每年节约清仓、供水成本费用等</w:t>
      </w:r>
      <w:r>
        <w:rPr>
          <w:rFonts w:hint="eastAsia" w:ascii="Times New Roman" w:hAnsi="Times New Roman" w:eastAsia="仿宋" w:cs="仿宋_GB2312"/>
          <w:color w:val="auto"/>
          <w:kern w:val="0"/>
          <w:sz w:val="28"/>
          <w:szCs w:val="28"/>
        </w:rPr>
        <w:t>1300</w:t>
      </w:r>
      <w:r>
        <w:rPr>
          <w:rFonts w:hint="eastAsia" w:ascii="仿宋" w:hAnsi="仿宋" w:eastAsia="仿宋" w:cs="仿宋"/>
          <w:color w:val="auto"/>
          <w:kern w:val="0"/>
          <w:sz w:val="28"/>
          <w:szCs w:val="28"/>
        </w:rPr>
        <w:t>万元</w:t>
      </w:r>
      <w:r>
        <w:rPr>
          <w:rFonts w:hint="eastAsia" w:ascii="Times New Roman" w:hAnsi="Times New Roman" w:eastAsia="仿宋"/>
          <w:color w:val="auto"/>
          <w:kern w:val="0"/>
          <w:sz w:val="28"/>
          <w:szCs w:val="28"/>
        </w:rPr>
        <w:t>。</w:t>
      </w:r>
    </w:p>
    <w:p w14:paraId="50E31C51">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024</w:t>
      </w:r>
      <w:r>
        <w:rPr>
          <w:rFonts w:hint="eastAsia" w:ascii="仿宋" w:hAnsi="仿宋" w:eastAsia="仿宋" w:cs="仿宋"/>
          <w:color w:val="auto"/>
          <w:kern w:val="0"/>
          <w:sz w:val="28"/>
          <w:szCs w:val="28"/>
        </w:rPr>
        <w:t>亿元。</w:t>
      </w:r>
    </w:p>
    <w:p w14:paraId="14406175">
      <w:pPr>
        <w:pStyle w:val="11"/>
        <w:snapToGrid w:val="0"/>
        <w:spacing w:line="360" w:lineRule="auto"/>
        <w:ind w:firstLine="560"/>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山西晋城无烟煤矿业集团有限责任公司寺河矿瓦斯泵站循环水净化系统优化研究工程</w:t>
      </w:r>
    </w:p>
    <w:p w14:paraId="06F3FEFE">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14:paraId="28A49F0F">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：设计研发一套反渗透膜脱盐装置、一套平板陶瓷膜净化装置、一套压滤装置，实现循环水重复利用，确保循环水水质清洁。</w:t>
      </w:r>
    </w:p>
    <w:p w14:paraId="3F4B5AA1">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工程效益：每天节水</w:t>
      </w:r>
      <w:r>
        <w:rPr>
          <w:rFonts w:hint="eastAsia" w:ascii="Times New Roman" w:hAnsi="Times New Roman" w:eastAsia="仿宋" w:cs="仿宋_GB2312"/>
          <w:color w:val="auto"/>
          <w:kern w:val="0"/>
          <w:sz w:val="28"/>
          <w:szCs w:val="28"/>
        </w:rPr>
        <w:t>80m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p>
    <w:p w14:paraId="2501A02B">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0175</w:t>
      </w:r>
      <w:r>
        <w:rPr>
          <w:rFonts w:hint="eastAsia" w:ascii="仿宋" w:hAnsi="仿宋" w:eastAsia="仿宋" w:cs="仿宋"/>
          <w:color w:val="auto"/>
          <w:kern w:val="0"/>
          <w:sz w:val="28"/>
          <w:szCs w:val="28"/>
        </w:rPr>
        <w:t>亿元。</w:t>
      </w:r>
    </w:p>
    <w:p w14:paraId="3AA60456">
      <w:pPr>
        <w:pStyle w:val="7"/>
        <w:rPr>
          <w:color w:val="auto"/>
        </w:rPr>
      </w:pPr>
      <w:bookmarkStart w:id="352" w:name="_Toc18934"/>
      <w:bookmarkStart w:id="353" w:name="_Toc18232"/>
      <w:bookmarkStart w:id="354" w:name="_Toc13160"/>
      <w:bookmarkStart w:id="355" w:name="_Toc19838"/>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3</w:t>
      </w:r>
      <w:r>
        <w:rPr>
          <w:rFonts w:hint="eastAsia"/>
          <w:color w:val="auto"/>
        </w:rPr>
        <w:t xml:space="preserve">  城镇节水规划</w:t>
      </w:r>
      <w:bookmarkEnd w:id="352"/>
      <w:bookmarkEnd w:id="353"/>
      <w:bookmarkEnd w:id="354"/>
      <w:bookmarkEnd w:id="355"/>
    </w:p>
    <w:p w14:paraId="587DB648">
      <w:pPr>
        <w:snapToGrid w:val="0"/>
        <w:spacing w:line="360" w:lineRule="auto"/>
        <w:ind w:firstLine="562" w:firstLineChars="200"/>
        <w:rPr>
          <w:rFonts w:ascii="仿宋" w:hAnsi="仿宋" w:eastAsia="仿宋" w:cs="仿宋"/>
          <w:b/>
          <w:bCs/>
          <w:color w:val="auto"/>
          <w:sz w:val="28"/>
          <w:szCs w:val="28"/>
        </w:rPr>
      </w:pPr>
      <w:bookmarkStart w:id="356" w:name="_Toc9280"/>
      <w:bookmarkStart w:id="357" w:name="_Toc29837"/>
      <w:r>
        <w:rPr>
          <w:rFonts w:hint="eastAsia" w:ascii="仿宋" w:hAnsi="仿宋" w:eastAsia="仿宋" w:cs="仿宋"/>
          <w:b/>
          <w:bCs/>
          <w:color w:val="auto"/>
          <w:sz w:val="28"/>
          <w:szCs w:val="28"/>
        </w:rPr>
        <w:t>一、全面推进节水型城市建设</w:t>
      </w:r>
      <w:bookmarkEnd w:id="356"/>
      <w:bookmarkEnd w:id="357"/>
    </w:p>
    <w:p w14:paraId="2AE4EE86">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color w:val="auto"/>
          <w:sz w:val="28"/>
          <w:szCs w:val="28"/>
        </w:rPr>
        <w:t>将系统性节水贯穿于城市规划、建设、管理各环节，落实城市节水各项基础管理制度，推进城镇节水改造。结合海绵城市建设，提高雨水资源利用水平，重点抓好污水再生利</w:t>
      </w:r>
      <w:r>
        <w:rPr>
          <w:rFonts w:hint="eastAsia" w:ascii="仿宋" w:hAnsi="仿宋" w:eastAsia="仿宋" w:cs="仿宋"/>
          <w:bCs/>
          <w:color w:val="auto"/>
          <w:kern w:val="0"/>
          <w:sz w:val="28"/>
          <w:szCs w:val="28"/>
        </w:rPr>
        <w:t>用设施建设与改造，城市生态景观和绿化、工业生产、道路清扫、车辆冲洗和建筑施工等，应优先使用非常规水源，鼓励构建城镇良性水循环系统，实现优水优用、循环循序利用。科学核定城市用水户用水计划并下达执行，加强用水监督和考核。全面开展</w:t>
      </w:r>
    </w:p>
    <w:p w14:paraId="56137168">
      <w:pPr>
        <w:snapToGrid w:val="0"/>
        <w:spacing w:line="360" w:lineRule="auto"/>
        <w:ind w:firstLine="562" w:firstLineChars="200"/>
        <w:rPr>
          <w:rFonts w:ascii="仿宋" w:hAnsi="仿宋" w:eastAsia="仿宋" w:cs="仿宋"/>
          <w:b/>
          <w:bCs/>
          <w:color w:val="auto"/>
          <w:sz w:val="28"/>
          <w:szCs w:val="28"/>
        </w:rPr>
      </w:pPr>
      <w:bookmarkStart w:id="358" w:name="_Toc1393"/>
      <w:bookmarkStart w:id="359" w:name="_Toc1567"/>
      <w:r>
        <w:rPr>
          <w:rFonts w:hint="eastAsia" w:ascii="仿宋" w:hAnsi="仿宋" w:eastAsia="仿宋" w:cs="仿宋"/>
          <w:b/>
          <w:bCs/>
          <w:color w:val="auto"/>
          <w:sz w:val="28"/>
          <w:szCs w:val="28"/>
        </w:rPr>
        <w:t>二、大幅降低供水管网漏损</w:t>
      </w:r>
      <w:bookmarkEnd w:id="358"/>
      <w:bookmarkEnd w:id="359"/>
    </w:p>
    <w:p w14:paraId="78FACD2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优化供水管网改造建设方案，持续推进老旧供水管网改造。加强公共供水系统运行监督管理，完善供水管网检漏制度，推进城镇供水管网分区计量，建立精细化管理平台和漏损管控体系，协同推进二次供水设施改造和专业化管理。县城镇供水主管部门要制定公共供水管网减损措施和管控制度,将公共供水管网漏损控制纳入城镇供水考核体系。</w:t>
      </w:r>
    </w:p>
    <w:p w14:paraId="13FCBC8C">
      <w:pPr>
        <w:snapToGrid w:val="0"/>
        <w:spacing w:line="360" w:lineRule="auto"/>
        <w:ind w:firstLine="562" w:firstLineChars="200"/>
        <w:rPr>
          <w:rFonts w:ascii="仿宋" w:hAnsi="仿宋" w:eastAsia="仿宋" w:cs="仿宋"/>
          <w:b/>
          <w:bCs/>
          <w:color w:val="auto"/>
          <w:sz w:val="28"/>
          <w:szCs w:val="28"/>
        </w:rPr>
      </w:pPr>
      <w:bookmarkStart w:id="360" w:name="_Toc24938"/>
      <w:bookmarkStart w:id="361" w:name="_Toc13981"/>
      <w:r>
        <w:rPr>
          <w:rFonts w:hint="eastAsia" w:ascii="仿宋" w:hAnsi="仿宋" w:eastAsia="仿宋" w:cs="仿宋"/>
          <w:b/>
          <w:bCs/>
          <w:color w:val="auto"/>
          <w:sz w:val="28"/>
          <w:szCs w:val="28"/>
        </w:rPr>
        <w:t>三、深入开展公共领域节水</w:t>
      </w:r>
      <w:bookmarkEnd w:id="360"/>
      <w:bookmarkEnd w:id="361"/>
    </w:p>
    <w:p w14:paraId="3451EAD8">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城市园林绿化宜选用适合的节水耐旱型植被，采用高效节水灌溉方式，同时加大中水管网建设力度，鼓励园林行业采用中水灌溉方式。公共机构要开展节水诊断，推广应</w:t>
      </w:r>
      <w:r>
        <w:rPr>
          <w:rFonts w:hint="eastAsia" w:ascii="仿宋_GB2312" w:hAnsi="仿宋_GB2312" w:eastAsia="仿宋_GB2312" w:cs="仿宋_GB2312"/>
          <w:bCs/>
          <w:color w:val="auto"/>
          <w:kern w:val="0"/>
          <w:sz w:val="28"/>
          <w:szCs w:val="28"/>
        </w:rPr>
        <w:t>用节水新技术、新工艺和新产品，提高节水器具使用率。新建公共建筑必须安装节水器具。推动城镇居民家庭节水，普及推广节水型器具。开展公共机构节水型标杆建设，鼓励实施高校合同节水。到“十四五”末，全县</w:t>
      </w:r>
      <w:r>
        <w:rPr>
          <w:rFonts w:hint="eastAsia" w:ascii="Times New Roman" w:hAnsi="Times New Roman" w:eastAsia="仿宋_GB2312" w:cs="仿宋_GB2312"/>
          <w:bCs/>
          <w:color w:val="auto"/>
          <w:kern w:val="0"/>
          <w:sz w:val="28"/>
          <w:szCs w:val="28"/>
        </w:rPr>
        <w:t>60</w:t>
      </w:r>
      <w:r>
        <w:rPr>
          <w:rFonts w:hint="eastAsia"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以上的公共机构建成节水型单位，同时，要</w:t>
      </w:r>
      <w:r>
        <w:rPr>
          <w:rFonts w:hint="eastAsia" w:ascii="仿宋_GB2312" w:hAnsi="仿宋_GB2312" w:eastAsia="仿宋_GB2312" w:cs="仿宋_GB2312"/>
          <w:color w:val="auto"/>
          <w:kern w:val="0"/>
          <w:sz w:val="28"/>
          <w:szCs w:val="28"/>
        </w:rPr>
        <w:t>大胆探索合同节水等建设模式，建成一批</w:t>
      </w:r>
      <w:r>
        <w:rPr>
          <w:rFonts w:hint="eastAsia" w:ascii="仿宋_GB2312" w:hAnsi="仿宋_GB2312" w:eastAsia="仿宋_GB2312" w:cs="仿宋_GB2312"/>
          <w:bCs/>
          <w:color w:val="auto"/>
          <w:kern w:val="0"/>
          <w:sz w:val="28"/>
          <w:szCs w:val="28"/>
        </w:rPr>
        <w:t>具有典型示范意义的节水型高校（学校）。</w:t>
      </w:r>
    </w:p>
    <w:p w14:paraId="3CCCE2CF">
      <w:pPr>
        <w:snapToGrid w:val="0"/>
        <w:spacing w:line="360" w:lineRule="auto"/>
        <w:ind w:firstLine="562" w:firstLineChars="200"/>
        <w:rPr>
          <w:rFonts w:ascii="仿宋" w:hAnsi="仿宋" w:eastAsia="仿宋" w:cs="仿宋"/>
          <w:b/>
          <w:bCs/>
          <w:color w:val="auto"/>
          <w:sz w:val="28"/>
          <w:szCs w:val="28"/>
        </w:rPr>
      </w:pPr>
      <w:bookmarkStart w:id="362" w:name="_Toc5389"/>
      <w:bookmarkStart w:id="363" w:name="_Toc18804"/>
      <w:r>
        <w:rPr>
          <w:rFonts w:hint="eastAsia" w:ascii="仿宋" w:hAnsi="仿宋" w:eastAsia="仿宋" w:cs="仿宋"/>
          <w:b/>
          <w:bCs/>
          <w:color w:val="auto"/>
          <w:sz w:val="28"/>
          <w:szCs w:val="28"/>
        </w:rPr>
        <w:t>四、严控高耗水服务业用水</w:t>
      </w:r>
      <w:bookmarkEnd w:id="362"/>
      <w:bookmarkEnd w:id="363"/>
    </w:p>
    <w:p w14:paraId="1923B3BC">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合理限制高耗水服务业发展，从严控制洗浴、洗车、游泳馆、人工滑雪（冰）场、洗涤、宾馆等行</w:t>
      </w:r>
      <w:r>
        <w:rPr>
          <w:rFonts w:hint="eastAsia" w:ascii="仿宋_GB2312" w:hAnsi="仿宋_GB2312" w:eastAsia="仿宋_GB2312" w:cs="仿宋_GB2312"/>
          <w:bCs/>
          <w:color w:val="auto"/>
          <w:kern w:val="0"/>
          <w:sz w:val="28"/>
          <w:szCs w:val="28"/>
        </w:rPr>
        <w:t>业用水定额。全县应加强洗浴、洗车、游泳馆、人工滑雪</w:t>
      </w:r>
      <w:r>
        <w:rPr>
          <w:rFonts w:hint="eastAsia" w:ascii="仿宋_GB2312" w:hAnsi="仿宋_GB2312" w:eastAsia="仿宋_GB2312" w:cs="仿宋_GB2312"/>
          <w:color w:val="auto"/>
          <w:kern w:val="0"/>
          <w:sz w:val="28"/>
          <w:szCs w:val="28"/>
        </w:rPr>
        <w:t>（冰）</w:t>
      </w:r>
      <w:r>
        <w:rPr>
          <w:rFonts w:hint="eastAsia" w:ascii="仿宋_GB2312" w:hAnsi="仿宋_GB2312" w:eastAsia="仿宋_GB2312" w:cs="仿宋_GB2312"/>
          <w:bCs/>
          <w:color w:val="auto"/>
          <w:kern w:val="0"/>
          <w:sz w:val="28"/>
          <w:szCs w:val="28"/>
        </w:rPr>
        <w:t>场等特种行业监督管理，严格取水许可审批，积极推广循环用水技术、设备与工艺，优先利用再生水、雨水等非常规水源。</w:t>
      </w:r>
    </w:p>
    <w:p w14:paraId="10631F14">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“十四五”期间城镇节水规划预计投资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141</w:t>
      </w:r>
      <w:r>
        <w:rPr>
          <w:rFonts w:hint="eastAsia" w:ascii="仿宋" w:hAnsi="仿宋" w:eastAsia="仿宋" w:cs="仿宋"/>
          <w:color w:val="auto"/>
          <w:kern w:val="0"/>
          <w:sz w:val="28"/>
          <w:szCs w:val="28"/>
        </w:rPr>
        <w:t>亿元，规划主要工程项目有：</w:t>
      </w:r>
    </w:p>
    <w:p w14:paraId="18097A7C">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1</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沁水县旧管网改造及水表安装工程</w:t>
      </w:r>
    </w:p>
    <w:p w14:paraId="421E4B9B">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14:paraId="172C6F71">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继续对县城老、旧管网进行改造以及安装水表等</w:t>
      </w:r>
      <w:r>
        <w:rPr>
          <w:rFonts w:hint="eastAsia" w:ascii="仿宋" w:hAnsi="仿宋" w:eastAsia="仿宋" w:cs="仿宋"/>
          <w:color w:val="auto"/>
          <w:kern w:val="0"/>
          <w:sz w:val="28"/>
          <w:szCs w:val="28"/>
        </w:rPr>
        <w:t>。</w:t>
      </w:r>
    </w:p>
    <w:p w14:paraId="248E0ECF">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有效解决管网受损失修、漏损严重、爆管裂管等问题，消除管网安全隐患，降低漏失率。年节水量</w:t>
      </w:r>
      <w:r>
        <w:rPr>
          <w:rFonts w:hint="eastAsia" w:ascii="Times New Roman" w:hAnsi="Times New Roman" w:eastAsia="仿宋_GB2312" w:cs="仿宋_GB2312"/>
          <w:color w:val="auto"/>
          <w:kern w:val="0"/>
          <w:sz w:val="28"/>
          <w:szCs w:val="28"/>
        </w:rPr>
        <w:t>12</w:t>
      </w:r>
      <w:r>
        <w:rPr>
          <w:rFonts w:hint="eastAsia" w:ascii="Times New Roman" w:hAnsi="Times New Roman" w:eastAsia="仿宋_GB2312"/>
          <w:color w:val="auto"/>
          <w:kern w:val="0"/>
          <w:sz w:val="28"/>
          <w:szCs w:val="28"/>
        </w:rPr>
        <w:t>万</w:t>
      </w:r>
      <w:r>
        <w:rPr>
          <w:rFonts w:hint="eastAsia" w:ascii="Times New Roman" w:hAnsi="Times New Roman" w:eastAsia="仿宋_GB2312" w:cs="仿宋_GB2312"/>
          <w:color w:val="auto"/>
          <w:kern w:val="0"/>
          <w:sz w:val="28"/>
          <w:szCs w:val="28"/>
        </w:rPr>
        <w:t>m</w:t>
      </w:r>
      <w:r>
        <w:rPr>
          <w:rFonts w:hint="eastAsia" w:ascii="Times New Roman" w:hAnsi="Times New Roman" w:eastAsia="仿宋_GB2312" w:cs="仿宋_GB2312"/>
          <w:color w:val="auto"/>
          <w:kern w:val="0"/>
          <w:sz w:val="28"/>
          <w:szCs w:val="28"/>
          <w:vertAlign w:val="superscript"/>
        </w:rPr>
        <w:t>3</w:t>
      </w:r>
      <w:r>
        <w:rPr>
          <w:rFonts w:hint="eastAsia" w:ascii="仿宋_GB2312" w:eastAsia="仿宋_GB2312"/>
          <w:bCs/>
          <w:color w:val="auto"/>
          <w:kern w:val="0"/>
          <w:sz w:val="28"/>
          <w:szCs w:val="28"/>
        </w:rPr>
        <w:t>/年</w:t>
      </w:r>
      <w:r>
        <w:rPr>
          <w:rFonts w:hint="eastAsia" w:ascii="Times New Roman" w:hAnsi="Times New Roman" w:eastAsia="仿宋"/>
          <w:color w:val="auto"/>
          <w:kern w:val="0"/>
          <w:sz w:val="28"/>
          <w:szCs w:val="28"/>
        </w:rPr>
        <w:t>。</w:t>
      </w:r>
    </w:p>
    <w:p w14:paraId="62EE3609">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0205</w:t>
      </w:r>
      <w:r>
        <w:rPr>
          <w:rFonts w:hint="eastAsia" w:ascii="仿宋" w:hAnsi="仿宋" w:eastAsia="仿宋" w:cs="仿宋"/>
          <w:color w:val="auto"/>
          <w:kern w:val="0"/>
          <w:sz w:val="28"/>
          <w:szCs w:val="28"/>
        </w:rPr>
        <w:t>亿元。</w:t>
      </w:r>
    </w:p>
    <w:p w14:paraId="1BDCC328">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2</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沁水县水资源取水实时监测平台</w:t>
      </w:r>
    </w:p>
    <w:p w14:paraId="7A743F1C">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14:paraId="1BDF92C4">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建设全县用水计量设施在线监测平台</w:t>
      </w:r>
      <w:r>
        <w:rPr>
          <w:rFonts w:hint="eastAsia" w:ascii="仿宋" w:hAnsi="仿宋" w:eastAsia="仿宋" w:cs="仿宋"/>
          <w:color w:val="auto"/>
          <w:kern w:val="0"/>
          <w:sz w:val="28"/>
          <w:szCs w:val="28"/>
        </w:rPr>
        <w:t>。</w:t>
      </w:r>
    </w:p>
    <w:p w14:paraId="1816B12D">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给水资源管理工作提供及时准确的信息支持，逐步实现对水资源的科学管理</w:t>
      </w:r>
      <w:r>
        <w:rPr>
          <w:rFonts w:hint="eastAsia" w:ascii="Times New Roman" w:hAnsi="Times New Roman" w:eastAsia="仿宋"/>
          <w:color w:val="auto"/>
          <w:kern w:val="0"/>
          <w:sz w:val="28"/>
          <w:szCs w:val="28"/>
        </w:rPr>
        <w:t>。</w:t>
      </w:r>
    </w:p>
    <w:p w14:paraId="763E0AC8">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12</w:t>
      </w:r>
      <w:r>
        <w:rPr>
          <w:rFonts w:hint="eastAsia" w:ascii="仿宋" w:hAnsi="仿宋" w:eastAsia="仿宋" w:cs="仿宋"/>
          <w:color w:val="auto"/>
          <w:kern w:val="0"/>
          <w:sz w:val="28"/>
          <w:szCs w:val="28"/>
        </w:rPr>
        <w:t>亿元。</w:t>
      </w:r>
    </w:p>
    <w:p w14:paraId="5E9A1210">
      <w:pPr>
        <w:pStyle w:val="7"/>
        <w:rPr>
          <w:color w:val="auto"/>
        </w:rPr>
      </w:pPr>
      <w:bookmarkStart w:id="364" w:name="_Toc26054"/>
      <w:bookmarkStart w:id="365" w:name="_Toc826"/>
      <w:bookmarkStart w:id="366" w:name="_Toc5750"/>
      <w:bookmarkStart w:id="367" w:name="_Toc4942"/>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4</w:t>
      </w:r>
      <w:r>
        <w:rPr>
          <w:rFonts w:hint="eastAsia"/>
          <w:color w:val="auto"/>
        </w:rPr>
        <w:t xml:space="preserve">  非常规水利用规划</w:t>
      </w:r>
      <w:bookmarkEnd w:id="364"/>
      <w:bookmarkEnd w:id="365"/>
      <w:bookmarkEnd w:id="366"/>
      <w:bookmarkEnd w:id="367"/>
    </w:p>
    <w:p w14:paraId="4A9390A3">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强制推动非常规水纳入水资源统一配置，严格考核非常规水利用比例。统筹利用好再生水、雨水等用于农业灌溉和生态景观。工业集聚区应当规划建设集中式污水处理设施和再生水利用系统，区内再生水利用率应达到</w:t>
      </w:r>
      <w:r>
        <w:rPr>
          <w:rFonts w:ascii="Times New Roman" w:hAnsi="Times New Roman" w:eastAsia="仿宋_GB2312" w:cs="仿宋_GB2312"/>
          <w:bCs/>
          <w:color w:val="auto"/>
          <w:kern w:val="0"/>
          <w:sz w:val="28"/>
          <w:szCs w:val="28"/>
        </w:rPr>
        <w:t>30</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以上。加大矿井水综合利用，矿井水利用率应达到</w:t>
      </w:r>
      <w:r>
        <w:rPr>
          <w:rFonts w:ascii="Times New Roman" w:hAnsi="Times New Roman" w:eastAsia="仿宋_GB2312" w:cs="仿宋_GB2312"/>
          <w:bCs/>
          <w:color w:val="auto"/>
          <w:kern w:val="0"/>
          <w:sz w:val="28"/>
          <w:szCs w:val="28"/>
        </w:rPr>
        <w:t>75</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对未充分利用矿井水的采矿业，试行核减其下年度常规水源计划用水指标。科学开发利用空中云水资源，适时实施人工增雨（雪）。新建小区、城市道路、公共绿地等因地制宜配套建设再生水或雨水集蓄利用设施。严禁超采地区扩大景观、娱乐水域面积，具备使用非常规水条件但未利用的建设项目不得批准其新增取水许可。</w:t>
      </w:r>
    </w:p>
    <w:p w14:paraId="6A2EE610">
      <w:pPr>
        <w:rPr>
          <w:color w:val="auto"/>
        </w:rPr>
      </w:pPr>
      <w:r>
        <w:rPr>
          <w:rFonts w:hint="eastAsia"/>
          <w:color w:val="auto"/>
        </w:rPr>
        <w:br w:type="page"/>
      </w:r>
    </w:p>
    <w:p w14:paraId="18690904">
      <w:pPr>
        <w:pStyle w:val="6"/>
        <w:snapToGrid w:val="0"/>
        <w:spacing w:line="360" w:lineRule="auto"/>
        <w:jc w:val="center"/>
        <w:rPr>
          <w:color w:val="auto"/>
        </w:rPr>
      </w:pPr>
      <w:bookmarkStart w:id="368" w:name="_Toc31376"/>
      <w:bookmarkStart w:id="369" w:name="_Toc3326"/>
      <w:bookmarkStart w:id="370" w:name="_Toc25225"/>
      <w:bookmarkStart w:id="371" w:name="_Toc15405"/>
      <w:r>
        <w:rPr>
          <w:rFonts w:hint="eastAsia"/>
          <w:color w:val="auto"/>
        </w:rPr>
        <w:t>第十章  水利管理能力提升</w:t>
      </w:r>
      <w:bookmarkEnd w:id="368"/>
      <w:bookmarkEnd w:id="369"/>
      <w:bookmarkEnd w:id="370"/>
      <w:bookmarkEnd w:id="371"/>
    </w:p>
    <w:p w14:paraId="26D73A36">
      <w:pPr>
        <w:widowControl/>
        <w:snapToGrid w:val="0"/>
        <w:spacing w:line="360" w:lineRule="auto"/>
        <w:ind w:firstLine="560" w:firstLineChars="200"/>
        <w:jc w:val="left"/>
        <w:rPr>
          <w:rFonts w:ascii="仿宋" w:hAnsi="仿宋" w:eastAsia="仿宋" w:cs="仿宋"/>
          <w:color w:val="auto"/>
          <w:kern w:val="0"/>
          <w:sz w:val="28"/>
          <w:szCs w:val="28"/>
        </w:rPr>
      </w:pPr>
      <w:bookmarkStart w:id="372" w:name="_Toc25511"/>
      <w:bookmarkStart w:id="373" w:name="_Toc18415"/>
      <w:r>
        <w:rPr>
          <w:rFonts w:hint="eastAsia" w:ascii="仿宋" w:hAnsi="仿宋" w:eastAsia="仿宋" w:cs="仿宋"/>
          <w:color w:val="auto"/>
          <w:kern w:val="0"/>
          <w:sz w:val="28"/>
          <w:szCs w:val="28"/>
        </w:rPr>
        <w:t>全面贯彻落实党的十九大和十九届二中、三中、四中、五中全会精神，以习近平新时代中国特色社会主义思想为指导，全面深化改革，推进水利体制机制创新，加快构建系统完备、科学规范、运行有效的水治理体系;提升水利管理现代化水平、强化依法治水管水，创新水利工程管理方式，加强基层水利行业能力建设，加快推进水利管理现代化;大力推进水利科技创新，加强水利基础研究，加强水利创新人才队伍建设，提高水利科技创新;全方位推进智慧水利建设，建设全要素动态感知的水利监测体系、高速泛在的水利信息网络、高度集成的水利大数据中心、大幅提升水利信息化、智能化水平。</w:t>
      </w:r>
    </w:p>
    <w:p w14:paraId="2FB159AD">
      <w:pPr>
        <w:pStyle w:val="7"/>
        <w:rPr>
          <w:color w:val="auto"/>
        </w:rPr>
      </w:pPr>
      <w:bookmarkStart w:id="374" w:name="_Toc28159"/>
      <w:bookmarkStart w:id="375" w:name="_Toc12397"/>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1</w:t>
      </w:r>
      <w:r>
        <w:rPr>
          <w:rFonts w:hint="eastAsia"/>
          <w:color w:val="auto"/>
        </w:rPr>
        <w:t xml:space="preserve">  河长制管理能力提升</w:t>
      </w:r>
      <w:bookmarkEnd w:id="372"/>
      <w:bookmarkEnd w:id="373"/>
      <w:bookmarkEnd w:id="374"/>
      <w:bookmarkEnd w:id="375"/>
    </w:p>
    <w:p w14:paraId="0D1400A0">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践行新发展理念，深入贯彻习近平生态文明思想及关于治水兴水的重要论述，以十九届五中全会关于“强化河湖长制”要求为指导，以维护河湖健康生命、实现河湖功能永续利用为目标，以解决河湖管理保护突出问题为导向，大力推进河库“清四乱”专项行动，致力清理乱占、乱采、乱堆、乱建，推动河长制从有名到有实的变革。对照全面加强水资源管理和保护、河湖水域岸线管理保护、水污染防治、水环境治理、水生态修复和河湖执法监管，统筹推进山水林田湖草沙系统治理。</w:t>
      </w:r>
    </w:p>
    <w:p w14:paraId="6C384E72">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一、加强基础建设</w:t>
      </w:r>
    </w:p>
    <w:p w14:paraId="63C95535">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修订完善“一河一策”，让河湖管护“有据可依、遵策实施”；推进河长制协作机制，制定河长制联席会议工作规则及联席会议办公室工作规则；“河长+警长”“河长+检察长”协作机制全面建成、落地见效；启动实施重点河湖健康评价，保障河湖健康发展；开展河长制信息化平台建设，打造智慧河长；开展河湖保护立体监管，深化河长制监管体系建设；开展社会活动，营造“关爱呵护，保护母亲河”浓厚氛围。</w:t>
      </w:r>
    </w:p>
    <w:p w14:paraId="33ABC7F1">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二、完善河长制体制机制</w:t>
      </w:r>
    </w:p>
    <w:p w14:paraId="27DD33B1">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制定完成《沁水县河长制工作管理规范》；与高校合作建立河长教育培训基地，提升河长履职能力；“建立完善无人机巡查+信息平台+现场复核”的河湖立体监管体系，逐步实现河湖智慧监管全覆盖；进一步巩固“河长+警长”“河长+检察长”协作机制；实施联勤联动，深入开展督查，形成联防联控的工作合力，做到河道“四乱”小问题“动态清零”，重大问题基本消除。</w:t>
      </w:r>
    </w:p>
    <w:p w14:paraId="7FEF4C17">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三、开展河湖规范化、常态化监管，促进河长制提档升级</w:t>
      </w:r>
    </w:p>
    <w:p w14:paraId="2F112ADD">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sz w:val="28"/>
          <w:szCs w:val="28"/>
        </w:rPr>
        <w:t>把河长制纳入地方法规体系，实现河长制工作法制化、监督常态化。发挥河长制考核“指挥棒”作用，多种渠道提升河长管护能力，确保河畅、水清、岸绿、景美、人和的“美丽河湖、幸福河湖”建设全面推进。</w:t>
      </w:r>
    </w:p>
    <w:p w14:paraId="28750305">
      <w:pPr>
        <w:pStyle w:val="7"/>
        <w:rPr>
          <w:color w:val="auto"/>
        </w:rPr>
      </w:pPr>
      <w:bookmarkStart w:id="376" w:name="_Toc2218"/>
      <w:bookmarkStart w:id="377" w:name="_Toc4737"/>
      <w:bookmarkStart w:id="378" w:name="_Toc29002"/>
      <w:bookmarkStart w:id="379" w:name="_Toc21914"/>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2</w:t>
      </w:r>
      <w:r>
        <w:rPr>
          <w:rFonts w:hint="eastAsia"/>
          <w:color w:val="auto"/>
        </w:rPr>
        <w:t xml:space="preserve">  水政执法能力提升</w:t>
      </w:r>
      <w:bookmarkEnd w:id="376"/>
      <w:bookmarkEnd w:id="377"/>
      <w:bookmarkEnd w:id="378"/>
      <w:bookmarkEnd w:id="379"/>
    </w:p>
    <w:p w14:paraId="6BB4789A">
      <w:pPr>
        <w:widowControl/>
        <w:snapToGrid w:val="0"/>
        <w:spacing w:line="360" w:lineRule="auto"/>
        <w:ind w:firstLine="560" w:firstLineChars="200"/>
        <w:jc w:val="left"/>
        <w:rPr>
          <w:rFonts w:ascii="仿宋" w:hAnsi="仿宋" w:eastAsia="仿宋" w:cs="仿宋"/>
          <w:color w:val="auto"/>
          <w:sz w:val="28"/>
          <w:szCs w:val="28"/>
        </w:rPr>
      </w:pPr>
      <w:r>
        <w:rPr>
          <w:rFonts w:ascii="仿宋" w:hAnsi="仿宋" w:eastAsia="仿宋" w:cs="仿宋"/>
          <w:color w:val="auto"/>
          <w:kern w:val="0"/>
          <w:sz w:val="28"/>
          <w:szCs w:val="28"/>
        </w:rPr>
        <w:t>抓重点、补弱项、建机制、强监管、严考核，持续推进依</w:t>
      </w:r>
      <w:r>
        <w:rPr>
          <w:rFonts w:hint="eastAsia" w:ascii="仿宋" w:hAnsi="仿宋" w:eastAsia="仿宋" w:cs="仿宋"/>
          <w:color w:val="auto"/>
          <w:kern w:val="0"/>
          <w:sz w:val="28"/>
          <w:szCs w:val="28"/>
        </w:rPr>
        <w:t>法治水管水，加强水利依法行政为全县经济社会稳定健康发展提供有力的水利法治保障。继续</w:t>
      </w:r>
      <w:bookmarkStart w:id="380" w:name="_Toc10362"/>
      <w:r>
        <w:rPr>
          <w:rFonts w:hint="eastAsia" w:ascii="仿宋" w:hAnsi="仿宋" w:eastAsia="仿宋" w:cs="仿宋"/>
          <w:color w:val="auto"/>
          <w:sz w:val="28"/>
          <w:szCs w:val="28"/>
        </w:rPr>
        <w:t>开展水利法治示范县创建工作</w:t>
      </w:r>
      <w:bookmarkEnd w:id="380"/>
      <w:r>
        <w:rPr>
          <w:rFonts w:hint="eastAsia" w:ascii="仿宋" w:hAnsi="仿宋" w:eastAsia="仿宋" w:cs="仿宋"/>
          <w:color w:val="auto"/>
          <w:sz w:val="28"/>
          <w:szCs w:val="28"/>
        </w:rPr>
        <w:t>；</w:t>
      </w:r>
      <w:bookmarkStart w:id="381" w:name="_Toc19827"/>
      <w:r>
        <w:rPr>
          <w:rFonts w:hint="eastAsia" w:ascii="仿宋" w:hAnsi="仿宋" w:eastAsia="仿宋" w:cs="仿宋"/>
          <w:color w:val="auto"/>
          <w:sz w:val="28"/>
          <w:szCs w:val="28"/>
        </w:rPr>
        <w:t>扎实开展水利普法工作</w:t>
      </w:r>
      <w:bookmarkEnd w:id="381"/>
      <w:r>
        <w:rPr>
          <w:rFonts w:hint="eastAsia" w:ascii="仿宋" w:hAnsi="仿宋" w:eastAsia="仿宋" w:cs="仿宋"/>
          <w:color w:val="auto"/>
          <w:sz w:val="28"/>
          <w:szCs w:val="28"/>
        </w:rPr>
        <w:t>；</w:t>
      </w:r>
      <w:bookmarkStart w:id="382" w:name="_Toc32379"/>
      <w:r>
        <w:rPr>
          <w:rFonts w:hint="eastAsia" w:ascii="仿宋" w:hAnsi="仿宋" w:eastAsia="仿宋" w:cs="仿宋"/>
          <w:color w:val="auto"/>
          <w:sz w:val="28"/>
          <w:szCs w:val="28"/>
        </w:rPr>
        <w:t>全面推行“三项制度”</w:t>
      </w:r>
      <w:bookmarkEnd w:id="382"/>
      <w:r>
        <w:rPr>
          <w:rFonts w:hint="eastAsia" w:ascii="仿宋" w:hAnsi="仿宋" w:eastAsia="仿宋" w:cs="仿宋"/>
          <w:color w:val="auto"/>
          <w:sz w:val="28"/>
          <w:szCs w:val="28"/>
        </w:rPr>
        <w:t>；</w:t>
      </w:r>
      <w:bookmarkStart w:id="383" w:name="_Toc17402"/>
      <w:r>
        <w:rPr>
          <w:rFonts w:hint="eastAsia" w:ascii="仿宋" w:hAnsi="仿宋" w:eastAsia="仿宋" w:cs="仿宋"/>
          <w:color w:val="auto"/>
          <w:sz w:val="28"/>
          <w:szCs w:val="28"/>
        </w:rPr>
        <w:t>加强水利行政综合执法</w:t>
      </w:r>
      <w:bookmarkEnd w:id="383"/>
      <w:r>
        <w:rPr>
          <w:rFonts w:hint="eastAsia" w:ascii="仿宋" w:hAnsi="仿宋" w:eastAsia="仿宋" w:cs="仿宋"/>
          <w:color w:val="auto"/>
          <w:sz w:val="28"/>
          <w:szCs w:val="28"/>
        </w:rPr>
        <w:t>；</w:t>
      </w:r>
      <w:bookmarkStart w:id="384" w:name="_Toc106"/>
      <w:r>
        <w:rPr>
          <w:rFonts w:hint="eastAsia" w:ascii="仿宋" w:hAnsi="仿宋" w:eastAsia="仿宋" w:cs="仿宋"/>
          <w:color w:val="auto"/>
          <w:sz w:val="28"/>
          <w:szCs w:val="28"/>
        </w:rPr>
        <w:t>推进水行政执法能力建设。</w:t>
      </w:r>
      <w:bookmarkEnd w:id="384"/>
    </w:p>
    <w:p w14:paraId="11A8F266">
      <w:pPr>
        <w:pStyle w:val="7"/>
        <w:rPr>
          <w:color w:val="auto"/>
        </w:rPr>
      </w:pPr>
      <w:bookmarkStart w:id="385" w:name="_Toc18200"/>
      <w:bookmarkStart w:id="386" w:name="_Toc12295"/>
      <w:bookmarkStart w:id="387" w:name="_Toc12219"/>
      <w:bookmarkStart w:id="388" w:name="_Toc8256"/>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 xml:space="preserve">  水库运行管理能力提升</w:t>
      </w:r>
      <w:bookmarkEnd w:id="385"/>
      <w:bookmarkEnd w:id="386"/>
      <w:bookmarkEnd w:id="387"/>
      <w:bookmarkEnd w:id="388"/>
    </w:p>
    <w:p w14:paraId="219FDA76">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以水库工程安全、有效、良性运行为目标，持续深化和巩</w:t>
      </w:r>
      <w:r>
        <w:rPr>
          <w:rFonts w:hint="eastAsia" w:ascii="仿宋" w:hAnsi="仿宋" w:eastAsia="仿宋" w:cs="仿宋"/>
          <w:color w:val="auto"/>
          <w:kern w:val="0"/>
          <w:sz w:val="28"/>
          <w:szCs w:val="28"/>
        </w:rPr>
        <w:t>固水库工程管理体制改革，强化水库工程日常运行管理，全面推进水库工程运行管理水平提升，不断提高水库工程的防洪保安、水资源保障、水环境保护和服务民生能力，充分发挥水库的综合效益，为全县经济社会发展作出贡献。</w:t>
      </w:r>
    </w:p>
    <w:p w14:paraId="7D8FF722">
      <w:pPr>
        <w:pStyle w:val="8"/>
        <w:rPr>
          <w:color w:val="auto"/>
        </w:rPr>
      </w:pPr>
      <w:bookmarkStart w:id="389" w:name="_Toc5645"/>
      <w:bookmarkStart w:id="390" w:name="_Toc3453"/>
      <w:bookmarkStart w:id="391" w:name="_Toc6382"/>
      <w:bookmarkStart w:id="392" w:name="_Toc11540"/>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水库清淤减淤扩容增效</w:t>
      </w:r>
      <w:bookmarkEnd w:id="389"/>
      <w:bookmarkEnd w:id="390"/>
      <w:bookmarkEnd w:id="391"/>
      <w:bookmarkEnd w:id="392"/>
    </w:p>
    <w:p w14:paraId="61D32B9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“十四五”期间，规划</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2021</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2022</w:t>
      </w:r>
      <w:r>
        <w:rPr>
          <w:rFonts w:ascii="Times New Roman" w:hAnsi="Times New Roman" w:eastAsia="仿宋"/>
          <w:color w:val="auto"/>
          <w:kern w:val="0"/>
          <w:sz w:val="28"/>
          <w:szCs w:val="28"/>
        </w:rPr>
        <w:t>）</w:t>
      </w:r>
      <w:r>
        <w:rPr>
          <w:rFonts w:hint="eastAsia" w:ascii="Times New Roman" w:hAnsi="Times New Roman" w:eastAsia="仿宋"/>
          <w:color w:val="auto"/>
          <w:kern w:val="0"/>
          <w:sz w:val="28"/>
          <w:szCs w:val="28"/>
        </w:rPr>
        <w:t>年</w:t>
      </w:r>
      <w:r>
        <w:rPr>
          <w:rFonts w:hint="eastAsia" w:ascii="仿宋" w:hAnsi="仿宋" w:eastAsia="仿宋" w:cs="仿宋"/>
          <w:color w:val="auto"/>
          <w:kern w:val="0"/>
          <w:sz w:val="28"/>
          <w:szCs w:val="28"/>
        </w:rPr>
        <w:t>对沁河流域具有代表性的沁水县山泽水库进行清淤，总清淤量</w:t>
      </w:r>
      <w:r>
        <w:rPr>
          <w:rFonts w:hint="eastAsia" w:ascii="Times New Roman" w:hAnsi="Times New Roman" w:eastAsia="仿宋" w:cs="仿宋_GB2312"/>
          <w:color w:val="auto"/>
          <w:kern w:val="0"/>
          <w:sz w:val="28"/>
          <w:szCs w:val="28"/>
        </w:rPr>
        <w:t>140</w:t>
      </w:r>
      <w:r>
        <w:rPr>
          <w:rFonts w:hint="eastAsia" w:ascii="仿宋" w:hAnsi="仿宋" w:eastAsia="仿宋" w:cs="仿宋"/>
          <w:color w:val="auto"/>
          <w:kern w:val="0"/>
          <w:sz w:val="28"/>
          <w:szCs w:val="28"/>
        </w:rPr>
        <w:t>万</w:t>
      </w:r>
      <w:r>
        <w:rPr>
          <w:rFonts w:ascii="Times New Roman" w:hAnsi="Times New Roman" w:eastAsia="仿宋" w:cs="仿宋_GB2312"/>
          <w:color w:val="auto"/>
          <w:kern w:val="0"/>
          <w:sz w:val="28"/>
          <w:szCs w:val="28"/>
        </w:rPr>
        <w:t>m</w:t>
      </w:r>
      <w:r>
        <w:rPr>
          <w:rFonts w:ascii="Times New Roman" w:hAnsi="Times New Roman" w:eastAsia="仿宋" w:cs="仿宋_GB2312"/>
          <w:color w:val="auto"/>
          <w:kern w:val="0"/>
          <w:sz w:val="28"/>
          <w:szCs w:val="28"/>
          <w:vertAlign w:val="superscript"/>
        </w:rPr>
        <w:t>3</w:t>
      </w:r>
      <w:r>
        <w:rPr>
          <w:rFonts w:hint="eastAsia" w:ascii="仿宋" w:hAnsi="仿宋" w:eastAsia="仿宋" w:cs="仿宋"/>
          <w:color w:val="auto"/>
          <w:kern w:val="0"/>
          <w:sz w:val="28"/>
          <w:szCs w:val="28"/>
        </w:rPr>
        <w:t>，总投资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13</w:t>
      </w:r>
      <w:r>
        <w:rPr>
          <w:rFonts w:hint="eastAsia" w:ascii="仿宋" w:hAnsi="仿宋" w:eastAsia="仿宋" w:cs="仿宋"/>
          <w:color w:val="auto"/>
          <w:kern w:val="0"/>
          <w:sz w:val="28"/>
          <w:szCs w:val="28"/>
        </w:rPr>
        <w:t>亿元。主要内容一是对水库进行清淤、冲砂，恢复水库兴利库容，增加蓄水量；二是将水库清淤后的淤泥，用于造地或有机肥，实现淤泥再利用。</w:t>
      </w:r>
    </w:p>
    <w:p w14:paraId="571D0483">
      <w:pPr>
        <w:pStyle w:val="8"/>
        <w:rPr>
          <w:color w:val="auto"/>
        </w:rPr>
        <w:sectPr>
          <w:type w:val="continuous"/>
          <w:pgSz w:w="11907" w:h="16840"/>
          <w:pgMar w:top="1418" w:right="1418" w:bottom="1361" w:left="1531" w:header="964" w:footer="964" w:gutter="0"/>
          <w:pgNumType w:fmt="numberInDash"/>
          <w:cols w:space="720" w:num="1"/>
          <w:docGrid w:linePitch="312" w:charSpace="0"/>
        </w:sectPr>
      </w:pPr>
      <w:bookmarkStart w:id="393" w:name="_Toc3346"/>
      <w:bookmarkStart w:id="394" w:name="_Toc15095"/>
    </w:p>
    <w:p w14:paraId="4B7DC3D9">
      <w:pPr>
        <w:pStyle w:val="8"/>
        <w:rPr>
          <w:color w:val="auto"/>
        </w:rPr>
      </w:pPr>
      <w:bookmarkStart w:id="395" w:name="_Toc4815"/>
      <w:bookmarkStart w:id="396" w:name="_Toc20453"/>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库区周边生态治理</w:t>
      </w:r>
      <w:bookmarkEnd w:id="393"/>
      <w:bookmarkEnd w:id="394"/>
      <w:bookmarkEnd w:id="395"/>
      <w:bookmarkEnd w:id="396"/>
    </w:p>
    <w:p w14:paraId="6A761DE3">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按照生态优先、绿色发展的理念，“十四五”期间，沁水县对湾则水库、山泽水库、浦峪</w:t>
      </w:r>
      <w:r>
        <w:rPr>
          <w:rFonts w:hint="eastAsia" w:ascii="Times New Roman" w:hAnsi="Times New Roman" w:eastAsia="仿宋"/>
          <w:color w:val="auto"/>
          <w:kern w:val="0"/>
          <w:sz w:val="28"/>
          <w:szCs w:val="28"/>
        </w:rPr>
        <w:t>水库、云首水库和下泊水库</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座水库开展库区范围内生态综合治理，采用生物措施和工程措施相结合的方式改善水库周边生态环境，大力发展乡村旅游，让青山绿水助力乡村振兴，增加农民收入，充分发挥水库的兴利效益。估算总投资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033</w:t>
      </w:r>
      <w:r>
        <w:rPr>
          <w:rFonts w:hint="eastAsia" w:ascii="Times New Roman" w:hAnsi="Times New Roman" w:eastAsia="仿宋"/>
          <w:color w:val="auto"/>
          <w:kern w:val="0"/>
          <w:sz w:val="28"/>
          <w:szCs w:val="28"/>
        </w:rPr>
        <w:t>亿</w:t>
      </w:r>
      <w:r>
        <w:rPr>
          <w:rFonts w:hint="eastAsia" w:ascii="仿宋" w:hAnsi="仿宋" w:eastAsia="仿宋" w:cs="仿宋"/>
          <w:color w:val="auto"/>
          <w:kern w:val="0"/>
          <w:sz w:val="28"/>
          <w:szCs w:val="28"/>
        </w:rPr>
        <w:t>元。</w:t>
      </w:r>
    </w:p>
    <w:p w14:paraId="3881A770">
      <w:pPr>
        <w:pStyle w:val="8"/>
        <w:rPr>
          <w:color w:val="auto"/>
        </w:rPr>
      </w:pPr>
      <w:bookmarkStart w:id="397" w:name="_Toc168"/>
      <w:bookmarkStart w:id="398" w:name="_Toc15138"/>
      <w:bookmarkStart w:id="399" w:name="_Toc7898"/>
      <w:bookmarkStart w:id="400" w:name="_Toc23668"/>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水库安全运行管理</w:t>
      </w:r>
      <w:bookmarkEnd w:id="397"/>
      <w:bookmarkEnd w:id="398"/>
      <w:bookmarkEnd w:id="399"/>
      <w:bookmarkEnd w:id="400"/>
    </w:p>
    <w:p w14:paraId="1E3F443F">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持续巩固和深化水库工程管理体制改革，积极探索政府购买服务实现水库工程的社会化、物业化管理模式，为水库工程管理注入新动力。积极开展小水库管理体制改革示范县创建。</w:t>
      </w:r>
    </w:p>
    <w:p w14:paraId="61B72854">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加强水库运行管理人员业务培训，全县水库管理人员每人每年培训不少于</w:t>
      </w:r>
      <w:r>
        <w:rPr>
          <w:rFonts w:hint="eastAsia" w:ascii="Times New Roman" w:hAnsi="Times New Roman" w:eastAsia="仿宋" w:cs="仿宋_GB2312"/>
          <w:color w:val="auto"/>
          <w:kern w:val="0"/>
          <w:sz w:val="28"/>
          <w:szCs w:val="28"/>
        </w:rPr>
        <w:t>20</w:t>
      </w:r>
      <w:r>
        <w:rPr>
          <w:rFonts w:hint="eastAsia" w:ascii="仿宋" w:hAnsi="仿宋" w:eastAsia="仿宋" w:cs="仿宋"/>
          <w:color w:val="auto"/>
          <w:kern w:val="0"/>
          <w:sz w:val="28"/>
          <w:szCs w:val="28"/>
        </w:rPr>
        <w:t>学时；优化水库工程管理单位人员结构，全面提升管理人员业务能力水平。</w:t>
      </w:r>
    </w:p>
    <w:p w14:paraId="68091AC4">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3</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开展水库安全运行隐患排查整改和维修养护工作，有效发挥中央和省级水利发展资金的作用，消除水库工程安全隐患。每年完成中央和省级投资</w:t>
      </w:r>
      <w:r>
        <w:rPr>
          <w:rFonts w:hint="eastAsia" w:ascii="Times New Roman" w:hAnsi="Times New Roman" w:eastAsia="仿宋" w:cs="仿宋_GB2312"/>
          <w:color w:val="auto"/>
          <w:kern w:val="0"/>
          <w:sz w:val="28"/>
          <w:szCs w:val="28"/>
        </w:rPr>
        <w:t>33</w:t>
      </w:r>
      <w:r>
        <w:rPr>
          <w:rFonts w:hint="eastAsia" w:ascii="仿宋" w:hAnsi="仿宋" w:eastAsia="仿宋" w:cs="仿宋"/>
          <w:color w:val="auto"/>
          <w:kern w:val="0"/>
          <w:sz w:val="28"/>
          <w:szCs w:val="28"/>
        </w:rPr>
        <w:t>万元，“十四五”时期共完成投资</w:t>
      </w:r>
      <w:r>
        <w:rPr>
          <w:rFonts w:hint="eastAsia" w:ascii="Times New Roman" w:hAnsi="Times New Roman" w:eastAsia="仿宋" w:cs="仿宋_GB2312"/>
          <w:color w:val="auto"/>
          <w:kern w:val="0"/>
          <w:sz w:val="28"/>
          <w:szCs w:val="28"/>
        </w:rPr>
        <w:t>166</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67</w:t>
      </w:r>
      <w:r>
        <w:rPr>
          <w:rFonts w:hint="eastAsia" w:ascii="Times New Roman" w:hAnsi="Times New Roman" w:eastAsia="仿宋"/>
          <w:color w:val="auto"/>
          <w:kern w:val="0"/>
          <w:sz w:val="28"/>
          <w:szCs w:val="28"/>
        </w:rPr>
        <w:t>万</w:t>
      </w:r>
      <w:r>
        <w:rPr>
          <w:rFonts w:hint="eastAsia" w:ascii="仿宋" w:hAnsi="仿宋" w:eastAsia="仿宋" w:cs="仿宋"/>
          <w:color w:val="auto"/>
          <w:kern w:val="0"/>
          <w:sz w:val="28"/>
          <w:szCs w:val="28"/>
        </w:rPr>
        <w:t>元。</w:t>
      </w:r>
    </w:p>
    <w:p w14:paraId="6A609346">
      <w:pPr>
        <w:pStyle w:val="7"/>
        <w:rPr>
          <w:rFonts w:ascii="黑体" w:hAnsi="黑体"/>
          <w:color w:val="auto"/>
          <w:kern w:val="0"/>
          <w:szCs w:val="32"/>
        </w:rPr>
      </w:pPr>
      <w:bookmarkStart w:id="401" w:name="_Toc3312"/>
      <w:bookmarkStart w:id="402" w:name="_Toc2396"/>
      <w:bookmarkStart w:id="403" w:name="_Toc15754"/>
      <w:bookmarkStart w:id="404" w:name="_Toc13436"/>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4</w:t>
      </w:r>
      <w:r>
        <w:rPr>
          <w:rFonts w:hint="eastAsia"/>
          <w:color w:val="auto"/>
        </w:rPr>
        <w:t xml:space="preserve">  </w:t>
      </w:r>
      <w:r>
        <w:rPr>
          <w:rFonts w:hint="eastAsia" w:ascii="黑体" w:hAnsi="黑体"/>
          <w:color w:val="auto"/>
          <w:kern w:val="0"/>
          <w:szCs w:val="32"/>
        </w:rPr>
        <w:t>深化体制机制改革</w:t>
      </w:r>
      <w:bookmarkEnd w:id="401"/>
      <w:bookmarkEnd w:id="402"/>
      <w:bookmarkEnd w:id="403"/>
      <w:bookmarkEnd w:id="404"/>
    </w:p>
    <w:p w14:paraId="6768A646">
      <w:pPr>
        <w:snapToGrid w:val="0"/>
        <w:spacing w:line="360" w:lineRule="auto"/>
        <w:ind w:firstLine="562" w:firstLineChars="200"/>
        <w:rPr>
          <w:rFonts w:ascii="仿宋" w:hAnsi="仿宋" w:eastAsia="仿宋" w:cs="仿宋"/>
          <w:b/>
          <w:bCs/>
          <w:color w:val="auto"/>
          <w:sz w:val="28"/>
          <w:szCs w:val="28"/>
        </w:rPr>
      </w:pPr>
      <w:bookmarkStart w:id="405" w:name="_Toc15053"/>
      <w:bookmarkStart w:id="406" w:name="_Toc30399"/>
      <w:r>
        <w:rPr>
          <w:rFonts w:hint="eastAsia" w:ascii="仿宋" w:hAnsi="仿宋" w:eastAsia="仿宋" w:cs="仿宋"/>
          <w:b/>
          <w:bCs/>
          <w:color w:val="auto"/>
          <w:sz w:val="28"/>
          <w:szCs w:val="28"/>
        </w:rPr>
        <w:t>一、深化水价改革</w:t>
      </w:r>
      <w:bookmarkEnd w:id="405"/>
      <w:bookmarkEnd w:id="406"/>
    </w:p>
    <w:p w14:paraId="554826F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深入推进农业水价综合改革,建立健全合理反映供水成本、有利于节水的农业水价形成机制；全县农业用水价格总体达到运行维护成本水平，落实超定额累进加价制度，逐步建立起与农民承受能力、节水成效、地方财力相匹配的精准补贴和节水激励奖励机制。理顺分类水价结构，建立健全城镇供水价格形成机制和动态调整机制,促进和引导全社会节约用水。严格执行非居民用水超定额超计划累进加价制度，对洗浴、洗车、游泳馆、人工滑雪（冰）场等高耗水服务业执行特种行业水价。到“十四五”末，全县全面实行居民用水阶梯水价制度。</w:t>
      </w:r>
    </w:p>
    <w:p w14:paraId="77197962">
      <w:pPr>
        <w:snapToGrid w:val="0"/>
        <w:spacing w:line="360" w:lineRule="auto"/>
        <w:ind w:firstLine="562" w:firstLineChars="200"/>
        <w:rPr>
          <w:rFonts w:ascii="仿宋" w:hAnsi="仿宋" w:eastAsia="仿宋" w:cs="仿宋"/>
          <w:b/>
          <w:bCs/>
          <w:color w:val="auto"/>
          <w:sz w:val="28"/>
          <w:szCs w:val="28"/>
        </w:rPr>
      </w:pPr>
      <w:bookmarkStart w:id="407" w:name="_Toc20049"/>
      <w:bookmarkStart w:id="408" w:name="_Toc24670"/>
      <w:r>
        <w:rPr>
          <w:rFonts w:hint="eastAsia" w:ascii="仿宋" w:hAnsi="仿宋" w:eastAsia="仿宋" w:cs="仿宋"/>
          <w:b/>
          <w:bCs/>
          <w:color w:val="auto"/>
          <w:sz w:val="28"/>
          <w:szCs w:val="28"/>
        </w:rPr>
        <w:t>二、加强用水计量统计</w:t>
      </w:r>
      <w:bookmarkEnd w:id="407"/>
      <w:bookmarkEnd w:id="408"/>
    </w:p>
    <w:p w14:paraId="4815B4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取用水计量统计，提高农业灌溉、工业和市政用水计量率。完善农业用水计量设施，配备工业及服务业取用水计量器具，全面实施城镇居民“一户一表”改造，加快智能水表推广使用，加强对计量器具实施强制检定。建立节水统计调查和基层用水统计管理制度，加强对用水户涉水信息管理。对全县年用水量</w:t>
      </w:r>
      <w:r>
        <w:rPr>
          <w:rFonts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以上的工业企业和</w:t>
      </w:r>
      <w:r>
        <w:rPr>
          <w:rFonts w:ascii="Times New Roman" w:hAnsi="Times New Roman" w:eastAsia="仿宋" w:cs="仿宋_GB2312"/>
          <w:color w:val="auto"/>
          <w:sz w:val="28"/>
          <w:szCs w:val="28"/>
        </w:rPr>
        <w:t>3</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以上的服务业实现计量全覆盖，并进行用水统计监测，对破坏用水计量设施的行为予以打击。到“十四五”末，大中型灌区渠首和干支渠口门实现取水计量。</w:t>
      </w:r>
    </w:p>
    <w:p w14:paraId="07A0479D">
      <w:pPr>
        <w:snapToGrid w:val="0"/>
        <w:spacing w:line="360" w:lineRule="auto"/>
        <w:ind w:firstLine="562" w:firstLineChars="200"/>
        <w:rPr>
          <w:rFonts w:ascii="仿宋" w:hAnsi="仿宋" w:eastAsia="仿宋" w:cs="仿宋"/>
          <w:b/>
          <w:bCs/>
          <w:color w:val="auto"/>
          <w:sz w:val="28"/>
          <w:szCs w:val="28"/>
        </w:rPr>
      </w:pPr>
      <w:bookmarkStart w:id="409" w:name="_Toc13388"/>
      <w:bookmarkStart w:id="410" w:name="_Toc8079"/>
      <w:r>
        <w:rPr>
          <w:rFonts w:hint="eastAsia" w:ascii="仿宋" w:hAnsi="仿宋" w:eastAsia="仿宋" w:cs="仿宋"/>
          <w:b/>
          <w:bCs/>
          <w:color w:val="auto"/>
          <w:sz w:val="28"/>
          <w:szCs w:val="28"/>
        </w:rPr>
        <w:t>三、强化用水督查管理</w:t>
      </w:r>
      <w:bookmarkEnd w:id="409"/>
      <w:bookmarkEnd w:id="410"/>
    </w:p>
    <w:p w14:paraId="7B5F8A5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严格实行计划用水监督管理。对重点地区、领域、行业、产品进行专项督导检查，严格落实节水“三同时”制度，逐步建立节水联席部门联合执法机制，严厉查处违法取用水行为。实行用水报告制度，鼓励年用水总量超过</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的企业或园区设立水务经理。将用水户违规记录纳入信用信息共享平台。到“十四五”末，完善全县分级重点监控用水单位名录；将年用水量</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以上工业和服务业用水单位全部纳入重点监控用水单位名录。</w:t>
      </w:r>
    </w:p>
    <w:p w14:paraId="756FB355">
      <w:pPr>
        <w:snapToGrid w:val="0"/>
        <w:spacing w:line="360" w:lineRule="auto"/>
        <w:ind w:firstLine="562" w:firstLineChars="200"/>
        <w:rPr>
          <w:rFonts w:ascii="仿宋" w:hAnsi="仿宋" w:eastAsia="仿宋" w:cs="仿宋"/>
          <w:b/>
          <w:bCs/>
          <w:color w:val="auto"/>
          <w:sz w:val="28"/>
          <w:szCs w:val="28"/>
        </w:rPr>
      </w:pPr>
      <w:bookmarkStart w:id="411" w:name="_Toc23099"/>
      <w:bookmarkStart w:id="412" w:name="_Toc6519"/>
      <w:r>
        <w:rPr>
          <w:rFonts w:hint="eastAsia" w:ascii="仿宋" w:hAnsi="仿宋" w:eastAsia="仿宋" w:cs="仿宋"/>
          <w:b/>
          <w:bCs/>
          <w:color w:val="auto"/>
          <w:sz w:val="28"/>
          <w:szCs w:val="28"/>
        </w:rPr>
        <w:t>四、健全节水标准体系</w:t>
      </w:r>
      <w:bookmarkEnd w:id="411"/>
      <w:bookmarkEnd w:id="412"/>
    </w:p>
    <w:p w14:paraId="5B4CBAE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落实国家节水标准和山西省用水定额，严格用水定额、节水标准监督管理，逐步建立节水标准实时跟踪、评估和监督机制。</w:t>
      </w:r>
    </w:p>
    <w:p w14:paraId="57A46561">
      <w:pPr>
        <w:pStyle w:val="2"/>
        <w:ind w:firstLine="480"/>
        <w:rPr>
          <w:color w:val="auto"/>
        </w:rPr>
      </w:pPr>
    </w:p>
    <w:p w14:paraId="660A1A45">
      <w:pPr>
        <w:pStyle w:val="7"/>
        <w:rPr>
          <w:color w:val="auto"/>
        </w:rPr>
      </w:pPr>
      <w:bookmarkStart w:id="413" w:name="_Toc5646"/>
      <w:bookmarkStart w:id="414" w:name="_Toc31779"/>
      <w:bookmarkStart w:id="415" w:name="_Toc28326"/>
      <w:bookmarkStart w:id="416" w:name="_Toc20874"/>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5</w:t>
      </w:r>
      <w:r>
        <w:rPr>
          <w:rFonts w:hint="eastAsia"/>
          <w:color w:val="auto"/>
        </w:rPr>
        <w:t xml:space="preserve">  建设智慧水利</w:t>
      </w:r>
      <w:bookmarkEnd w:id="413"/>
      <w:bookmarkEnd w:id="414"/>
      <w:bookmarkEnd w:id="415"/>
      <w:bookmarkEnd w:id="416"/>
    </w:p>
    <w:p w14:paraId="593EBF9C">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启动河道取水实时在线监测系统、水质水量检测及视频监控系统；地下水位监测网络维护管理、区域水资源配置决策支持系统；推进农村饮用水管理系统、水土保持监测与管理系统、水库水位水质监测和建立全省试点，推进水电站生态流量监测平台，对水电站生态流量泄放实施在线监测。</w:t>
      </w:r>
    </w:p>
    <w:p w14:paraId="5FBF66CD">
      <w:pPr>
        <w:pStyle w:val="5"/>
        <w:ind w:left="598"/>
        <w:rPr>
          <w:b w:val="0"/>
          <w:color w:val="auto"/>
          <w:sz w:val="20"/>
        </w:rPr>
      </w:pPr>
      <w:r>
        <w:rPr>
          <w:b w:val="0"/>
          <w:color w:val="auto"/>
          <w:sz w:val="20"/>
        </w:rPr>
        <w:drawing>
          <wp:inline distT="0" distB="0" distL="0" distR="0">
            <wp:extent cx="5186045" cy="4316730"/>
            <wp:effectExtent l="0" t="0" r="14605" b="7620"/>
            <wp:docPr id="11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0.jpeg"/>
                    <pic:cNvPicPr>
                      <a:picLocks noChangeAspect="1"/>
                    </pic:cNvPicPr>
                  </pic:nvPicPr>
                  <pic:blipFill>
                    <a:blip r:embed="rId22" cstate="print"/>
                    <a:stretch>
                      <a:fillRect/>
                    </a:stretch>
                  </pic:blipFill>
                  <pic:spPr>
                    <a:xfrm>
                      <a:off x="0" y="0"/>
                      <a:ext cx="5186648" cy="4316920"/>
                    </a:xfrm>
                    <a:prstGeom prst="rect">
                      <a:avLst/>
                    </a:prstGeom>
                  </pic:spPr>
                </pic:pic>
              </a:graphicData>
            </a:graphic>
          </wp:inline>
        </w:drawing>
      </w:r>
    </w:p>
    <w:p w14:paraId="0C0A2EA8">
      <w:pPr>
        <w:tabs>
          <w:tab w:val="left" w:pos="1041"/>
        </w:tabs>
        <w:spacing w:before="112"/>
        <w:ind w:left="0" w:right="176" w:firstLine="0"/>
        <w:jc w:val="center"/>
        <w:rPr>
          <w:rFonts w:hint="eastAsia" w:ascii="黑体" w:eastAsia="黑体"/>
          <w:b/>
          <w:color w:val="auto"/>
          <w:sz w:val="24"/>
        </w:rPr>
      </w:pPr>
      <w:r>
        <w:rPr>
          <w:rFonts w:hint="eastAsia" w:ascii="黑体" w:eastAsia="黑体"/>
          <w:b/>
          <w:color w:val="auto"/>
          <w:sz w:val="24"/>
          <w:highlight w:val="none"/>
        </w:rPr>
        <w:t>图</w:t>
      </w:r>
      <w:r>
        <w:rPr>
          <w:rFonts w:hint="eastAsia" w:ascii="黑体" w:eastAsia="黑体"/>
          <w:b/>
          <w:color w:val="auto"/>
          <w:spacing w:val="-60"/>
          <w:sz w:val="24"/>
          <w:highlight w:val="none"/>
        </w:rPr>
        <w:t xml:space="preserve"> </w:t>
      </w:r>
      <w:r>
        <w:rPr>
          <w:rFonts w:hint="eastAsia" w:ascii="Times New Roman" w:hAnsi="Times New Roman" w:eastAsia="宋体"/>
          <w:b/>
          <w:color w:val="auto"/>
          <w:sz w:val="24"/>
          <w:highlight w:val="none"/>
          <w:lang w:val="en-US" w:eastAsia="zh-CN"/>
        </w:rPr>
        <w:t>10</w:t>
      </w:r>
      <w:r>
        <w:rPr>
          <w:rFonts w:ascii="Times New Roman" w:eastAsia="Times New Roman"/>
          <w:b/>
          <w:color w:val="auto"/>
          <w:sz w:val="24"/>
          <w:highlight w:val="none"/>
        </w:rPr>
        <w:t>-</w:t>
      </w:r>
      <w:r>
        <w:rPr>
          <w:rFonts w:ascii="Times New Roman" w:hAnsi="Times New Roman" w:eastAsia="Times New Roman"/>
          <w:b/>
          <w:color w:val="auto"/>
          <w:sz w:val="24"/>
          <w:highlight w:val="none"/>
        </w:rPr>
        <w:t>1</w:t>
      </w:r>
      <w:r>
        <w:rPr>
          <w:rFonts w:ascii="Times New Roman" w:eastAsia="Times New Roman"/>
          <w:b/>
          <w:color w:val="auto"/>
          <w:sz w:val="24"/>
          <w:highlight w:val="none"/>
        </w:rPr>
        <w:tab/>
      </w:r>
      <w:r>
        <w:rPr>
          <w:rFonts w:hint="eastAsia" w:ascii="黑体" w:eastAsia="黑体"/>
          <w:b/>
          <w:color w:val="auto"/>
          <w:sz w:val="24"/>
        </w:rPr>
        <w:t>智慧</w:t>
      </w:r>
      <w:r>
        <w:rPr>
          <w:rFonts w:hint="eastAsia" w:ascii="黑体" w:eastAsia="黑体"/>
          <w:b/>
          <w:color w:val="auto"/>
          <w:sz w:val="24"/>
          <w:lang w:val="en-US" w:eastAsia="zh-CN"/>
        </w:rPr>
        <w:t>水利</w:t>
      </w:r>
      <w:r>
        <w:rPr>
          <w:rFonts w:hint="eastAsia" w:ascii="黑体" w:eastAsia="黑体"/>
          <w:b/>
          <w:color w:val="auto"/>
          <w:sz w:val="24"/>
        </w:rPr>
        <w:t>总体框架</w:t>
      </w:r>
    </w:p>
    <w:p w14:paraId="307D3455">
      <w:pPr>
        <w:snapToGrid w:val="0"/>
        <w:spacing w:line="360" w:lineRule="auto"/>
        <w:ind w:firstLine="560" w:firstLineChars="200"/>
        <w:rPr>
          <w:rFonts w:hint="eastAsia" w:ascii="仿宋" w:hAnsi="仿宋" w:eastAsia="仿宋" w:cs="仿宋"/>
          <w:color w:val="auto"/>
          <w:kern w:val="0"/>
          <w:sz w:val="28"/>
          <w:szCs w:val="28"/>
        </w:rPr>
      </w:pPr>
    </w:p>
    <w:p w14:paraId="6DE870C8">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w:t>
      </w:r>
      <w:r>
        <w:rPr>
          <w:rFonts w:hint="eastAsia" w:ascii="仿宋" w:hAnsi="仿宋" w:eastAsia="仿宋" w:cs="仿宋"/>
          <w:color w:val="auto"/>
          <w:sz w:val="28"/>
          <w:szCs w:val="28"/>
        </w:rPr>
        <w:t>五”期间，新建沁水县智慧水利建设项目。</w:t>
      </w:r>
      <w:r>
        <w:rPr>
          <w:rFonts w:hint="eastAsia" w:ascii="仿宋" w:hAnsi="仿宋" w:eastAsia="仿宋" w:cs="仿宋"/>
          <w:color w:val="auto"/>
          <w:kern w:val="0"/>
          <w:sz w:val="28"/>
          <w:szCs w:val="28"/>
        </w:rPr>
        <w:t>建设内容为：覆盖全县</w:t>
      </w:r>
      <w:r>
        <w:rPr>
          <w:rFonts w:hint="eastAsia" w:ascii="Times New Roman" w:hAnsi="Times New Roman" w:eastAsia="仿宋" w:cs="仿宋_GB2312"/>
          <w:color w:val="auto"/>
          <w:kern w:val="0"/>
          <w:sz w:val="28"/>
          <w:szCs w:val="28"/>
        </w:rPr>
        <w:t>30</w:t>
      </w:r>
      <w:r>
        <w:rPr>
          <w:rFonts w:hint="eastAsia" w:ascii="仿宋" w:hAnsi="仿宋" w:eastAsia="仿宋" w:cs="仿宋"/>
          <w:color w:val="auto"/>
          <w:kern w:val="0"/>
          <w:sz w:val="28"/>
          <w:szCs w:val="28"/>
        </w:rPr>
        <w:t>条河流，监测面积为:</w:t>
      </w:r>
      <w:r>
        <w:rPr>
          <w:rFonts w:hint="eastAsia" w:ascii="Times New Roman" w:hAnsi="Times New Roman" w:eastAsia="仿宋" w:cs="仿宋_GB2312"/>
          <w:color w:val="auto"/>
          <w:kern w:val="0"/>
          <w:sz w:val="28"/>
          <w:szCs w:val="28"/>
        </w:rPr>
        <w:t>2676</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沁水县智慧水务管理平台，控制及测量传感器、数据采集显示、数据通信网络、云平台及数据库建设;通过采集或融合水务各方面实时数据，形成数据库，动态显示；沁水县河长制无人机巡河巡查工作项目;水土流失无人机监测；全县用水计量设施在线监测平台；山洪预警平台延伸至各乡镇，实现可视化操作等。</w:t>
      </w:r>
    </w:p>
    <w:p w14:paraId="3D89ADD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亿元。</w:t>
      </w:r>
    </w:p>
    <w:p w14:paraId="65C1641C">
      <w:pPr>
        <w:pStyle w:val="2"/>
        <w:rPr>
          <w:color w:val="auto"/>
        </w:rPr>
        <w:sectPr>
          <w:type w:val="continuous"/>
          <w:pgSz w:w="11907" w:h="16840"/>
          <w:pgMar w:top="1418" w:right="1418" w:bottom="1361" w:left="1531" w:header="964" w:footer="964" w:gutter="0"/>
          <w:pgNumType w:fmt="numberInDash"/>
          <w:cols w:space="720" w:num="1"/>
          <w:docGrid w:linePitch="312" w:charSpace="0"/>
        </w:sectPr>
      </w:pPr>
    </w:p>
    <w:p w14:paraId="64CA847F">
      <w:pPr>
        <w:pStyle w:val="6"/>
        <w:spacing w:line="360" w:lineRule="auto"/>
        <w:jc w:val="center"/>
        <w:rPr>
          <w:color w:val="auto"/>
        </w:rPr>
      </w:pPr>
      <w:bookmarkStart w:id="417" w:name="_Toc16188"/>
      <w:bookmarkStart w:id="418" w:name="_Toc24710"/>
      <w:bookmarkStart w:id="419" w:name="_Toc24230"/>
      <w:bookmarkStart w:id="420" w:name="_Toc25323"/>
      <w:r>
        <w:rPr>
          <w:rFonts w:hint="eastAsia"/>
          <w:color w:val="auto"/>
        </w:rPr>
        <w:t>第十</w:t>
      </w:r>
      <w:r>
        <w:rPr>
          <w:rFonts w:hint="eastAsia"/>
          <w:color w:val="auto"/>
          <w:lang w:val="en-US" w:eastAsia="zh-CN"/>
        </w:rPr>
        <w:t>一</w:t>
      </w:r>
      <w:r>
        <w:rPr>
          <w:rFonts w:hint="eastAsia"/>
          <w:color w:val="auto"/>
        </w:rPr>
        <w:t>章  投资估算及资金筹措</w:t>
      </w:r>
      <w:bookmarkEnd w:id="417"/>
      <w:bookmarkEnd w:id="418"/>
      <w:bookmarkEnd w:id="419"/>
      <w:bookmarkEnd w:id="420"/>
    </w:p>
    <w:p w14:paraId="65F67632">
      <w:pPr>
        <w:snapToGrid w:val="0"/>
        <w:spacing w:line="360" w:lineRule="auto"/>
        <w:jc w:val="center"/>
        <w:rPr>
          <w:color w:val="auto"/>
        </w:rPr>
        <w:sectPr>
          <w:pgSz w:w="11907" w:h="16840"/>
          <w:pgMar w:top="1417" w:right="1418" w:bottom="1361" w:left="1531" w:header="1134" w:footer="964" w:gutter="0"/>
          <w:pgNumType w:fmt="numberInDash"/>
          <w:cols w:space="0" w:num="1"/>
          <w:docGrid w:linePitch="312" w:charSpace="0"/>
        </w:sectPr>
      </w:pPr>
    </w:p>
    <w:p w14:paraId="6E6745D8">
      <w:pPr>
        <w:pStyle w:val="7"/>
        <w:snapToGrid w:val="0"/>
        <w:spacing w:before="120" w:after="120" w:line="360" w:lineRule="auto"/>
        <w:rPr>
          <w:color w:val="auto"/>
        </w:rPr>
      </w:pPr>
      <w:bookmarkStart w:id="421" w:name="_Toc23529"/>
      <w:bookmarkStart w:id="422" w:name="_Toc24282"/>
      <w:bookmarkStart w:id="423" w:name="_Toc17351"/>
      <w:bookmarkStart w:id="424" w:name="_Toc18071"/>
      <w:bookmarkStart w:id="425" w:name="_Toc31812"/>
      <w:bookmarkStart w:id="426" w:name="_Toc8129"/>
      <w:bookmarkStart w:id="427" w:name="_Toc11362"/>
      <w:bookmarkStart w:id="428" w:name="_Toc21774"/>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 xml:space="preserve">  “十</w:t>
      </w:r>
      <w:r>
        <w:rPr>
          <w:rFonts w:hint="eastAsia"/>
          <w:color w:val="auto"/>
        </w:rPr>
        <w:t>四</w:t>
      </w:r>
      <w:r>
        <w:rPr>
          <w:color w:val="auto"/>
        </w:rPr>
        <w:t>五”水利投资规划</w:t>
      </w:r>
      <w:bookmarkEnd w:id="421"/>
      <w:bookmarkEnd w:id="422"/>
      <w:bookmarkEnd w:id="423"/>
      <w:bookmarkEnd w:id="424"/>
      <w:bookmarkEnd w:id="425"/>
      <w:bookmarkEnd w:id="426"/>
      <w:bookmarkEnd w:id="427"/>
      <w:bookmarkEnd w:id="428"/>
    </w:p>
    <w:p w14:paraId="7CD6D8D5">
      <w:pPr>
        <w:pStyle w:val="8"/>
        <w:snapToGrid w:val="0"/>
        <w:spacing w:before="140" w:after="140" w:line="360" w:lineRule="auto"/>
        <w:rPr>
          <w:color w:val="auto"/>
        </w:rPr>
      </w:pPr>
      <w:bookmarkStart w:id="429" w:name="_Toc8871"/>
      <w:bookmarkStart w:id="430" w:name="_Toc29866"/>
      <w:bookmarkStart w:id="431" w:name="_Toc16725"/>
      <w:bookmarkStart w:id="432" w:name="_Toc26845"/>
      <w:bookmarkStart w:id="433" w:name="_Toc3887"/>
      <w:bookmarkStart w:id="434" w:name="_Toc4361"/>
      <w:bookmarkStart w:id="435" w:name="_Toc8301"/>
      <w:bookmarkStart w:id="436" w:name="_Toc29382"/>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投资匡算</w:t>
      </w:r>
      <w:bookmarkEnd w:id="429"/>
      <w:bookmarkEnd w:id="430"/>
      <w:bookmarkEnd w:id="431"/>
      <w:bookmarkEnd w:id="432"/>
      <w:bookmarkEnd w:id="433"/>
      <w:bookmarkEnd w:id="434"/>
      <w:bookmarkEnd w:id="435"/>
      <w:bookmarkEnd w:id="436"/>
    </w:p>
    <w:p w14:paraId="4A3A8604">
      <w:pPr>
        <w:snapToGrid w:val="0"/>
        <w:spacing w:line="360" w:lineRule="auto"/>
        <w:ind w:firstLine="562" w:firstLineChars="200"/>
        <w:rPr>
          <w:rFonts w:eastAsia="楷体_GB2312"/>
          <w:color w:val="auto"/>
          <w:sz w:val="28"/>
        </w:rPr>
      </w:pPr>
      <w:r>
        <w:rPr>
          <w:rFonts w:eastAsia="楷体_GB2312"/>
          <w:b/>
          <w:color w:val="auto"/>
          <w:sz w:val="28"/>
        </w:rPr>
        <w:t>（一）“十</w:t>
      </w:r>
      <w:r>
        <w:rPr>
          <w:rFonts w:hint="eastAsia" w:eastAsia="楷体_GB2312"/>
          <w:b/>
          <w:color w:val="auto"/>
          <w:sz w:val="28"/>
        </w:rPr>
        <w:t>三</w:t>
      </w:r>
      <w:r>
        <w:rPr>
          <w:rFonts w:eastAsia="楷体_GB2312"/>
          <w:b/>
          <w:color w:val="auto"/>
          <w:sz w:val="28"/>
        </w:rPr>
        <w:t>五”结转项目投资</w:t>
      </w:r>
    </w:p>
    <w:p w14:paraId="6E80AE3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在建项目的实施状况及投资完成情况的调查分析，</w:t>
      </w:r>
      <w:r>
        <w:rPr>
          <w:rFonts w:hint="eastAsia" w:eastAsia="仿宋_GB2312"/>
          <w:snapToGrid w:val="0"/>
          <w:color w:val="auto"/>
          <w:kern w:val="0"/>
          <w:sz w:val="28"/>
          <w:szCs w:val="28"/>
        </w:rPr>
        <w:t>到</w:t>
      </w:r>
      <w:r>
        <w:rPr>
          <w:rFonts w:ascii="Times New Roman" w:hAnsi="Times New Roman" w:eastAsia="仿宋_GB2312" w:cs="仿宋_GB2312"/>
          <w:snapToGrid w:val="0"/>
          <w:color w:val="auto"/>
          <w:kern w:val="0"/>
          <w:sz w:val="28"/>
          <w:szCs w:val="28"/>
        </w:rPr>
        <w:t>2019</w:t>
      </w:r>
      <w:r>
        <w:rPr>
          <w:rFonts w:eastAsia="仿宋_GB2312"/>
          <w:snapToGrid w:val="0"/>
          <w:color w:val="auto"/>
          <w:kern w:val="0"/>
          <w:sz w:val="28"/>
          <w:szCs w:val="28"/>
        </w:rPr>
        <w:t>年底，</w:t>
      </w:r>
      <w:r>
        <w:rPr>
          <w:rFonts w:hint="eastAsia" w:eastAsia="仿宋_GB2312"/>
          <w:snapToGrid w:val="0"/>
          <w:color w:val="auto"/>
          <w:kern w:val="0"/>
          <w:sz w:val="28"/>
          <w:szCs w:val="28"/>
        </w:rPr>
        <w:t>湾则水电站和沁河流域沁水县段生态修复与保护建设项目（一期）工程未全部</w:t>
      </w:r>
      <w:r>
        <w:rPr>
          <w:rFonts w:eastAsia="仿宋_GB2312"/>
          <w:snapToGrid w:val="0"/>
          <w:color w:val="auto"/>
          <w:kern w:val="0"/>
          <w:sz w:val="28"/>
          <w:szCs w:val="28"/>
        </w:rPr>
        <w:t>完成，需结转到</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期间，结转总投资为</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亿元。其中，</w:t>
      </w:r>
      <w:r>
        <w:rPr>
          <w:rFonts w:hint="eastAsia" w:eastAsia="仿宋_GB2312"/>
          <w:snapToGrid w:val="0"/>
          <w:color w:val="auto"/>
          <w:kern w:val="0"/>
          <w:sz w:val="28"/>
          <w:szCs w:val="28"/>
        </w:rPr>
        <w:t>湾则</w:t>
      </w:r>
      <w:r>
        <w:rPr>
          <w:rFonts w:eastAsia="仿宋_GB2312"/>
          <w:snapToGrid w:val="0"/>
          <w:color w:val="auto"/>
          <w:kern w:val="0"/>
          <w:sz w:val="28"/>
          <w:szCs w:val="28"/>
        </w:rPr>
        <w:t>水</w:t>
      </w:r>
      <w:r>
        <w:rPr>
          <w:rFonts w:hint="eastAsia" w:eastAsia="仿宋_GB2312"/>
          <w:snapToGrid w:val="0"/>
          <w:color w:val="auto"/>
          <w:kern w:val="0"/>
          <w:sz w:val="28"/>
          <w:szCs w:val="28"/>
        </w:rPr>
        <w:t>电站</w:t>
      </w:r>
      <w:r>
        <w:rPr>
          <w:rFonts w:eastAsia="仿宋_GB2312"/>
          <w:snapToGrid w:val="0"/>
          <w:color w:val="auto"/>
          <w:kern w:val="0"/>
          <w:sz w:val="28"/>
          <w:szCs w:val="28"/>
        </w:rPr>
        <w:t>工程</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206</w:t>
      </w:r>
      <w:r>
        <w:rPr>
          <w:rFonts w:eastAsia="仿宋_GB2312"/>
          <w:snapToGrid w:val="0"/>
          <w:color w:val="auto"/>
          <w:kern w:val="0"/>
          <w:sz w:val="28"/>
          <w:szCs w:val="28"/>
        </w:rPr>
        <w:t>亿元；</w:t>
      </w:r>
      <w:r>
        <w:rPr>
          <w:rFonts w:hint="eastAsia" w:eastAsia="仿宋_GB2312"/>
          <w:snapToGrid w:val="0"/>
          <w:color w:val="auto"/>
          <w:kern w:val="0"/>
          <w:sz w:val="28"/>
          <w:szCs w:val="28"/>
        </w:rPr>
        <w:t>沁河流域沁水县段生态修复与保护建设项目（一期）</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hint="eastAsia" w:eastAsia="仿宋_GB2312"/>
          <w:snapToGrid w:val="0"/>
          <w:color w:val="auto"/>
          <w:kern w:val="0"/>
          <w:sz w:val="28"/>
          <w:szCs w:val="28"/>
        </w:rPr>
        <w:t>亿元</w:t>
      </w:r>
      <w:r>
        <w:rPr>
          <w:rFonts w:eastAsia="仿宋_GB2312"/>
          <w:snapToGrid w:val="0"/>
          <w:color w:val="auto"/>
          <w:kern w:val="0"/>
          <w:sz w:val="28"/>
          <w:szCs w:val="28"/>
        </w:rPr>
        <w:t>。</w:t>
      </w:r>
    </w:p>
    <w:p w14:paraId="38EE1136">
      <w:pPr>
        <w:snapToGrid w:val="0"/>
        <w:spacing w:line="360" w:lineRule="auto"/>
        <w:ind w:firstLine="562" w:firstLineChars="200"/>
        <w:rPr>
          <w:rFonts w:eastAsia="楷体_GB2312"/>
          <w:color w:val="auto"/>
          <w:sz w:val="28"/>
        </w:rPr>
      </w:pPr>
      <w:r>
        <w:rPr>
          <w:rFonts w:eastAsia="楷体_GB2312"/>
          <w:b/>
          <w:color w:val="auto"/>
          <w:sz w:val="28"/>
        </w:rPr>
        <w:t>（二）“十</w:t>
      </w:r>
      <w:r>
        <w:rPr>
          <w:rFonts w:hint="eastAsia" w:eastAsia="楷体_GB2312"/>
          <w:b/>
          <w:color w:val="auto"/>
          <w:sz w:val="28"/>
        </w:rPr>
        <w:t>四</w:t>
      </w:r>
      <w:r>
        <w:rPr>
          <w:rFonts w:eastAsia="楷体_GB2312"/>
          <w:b/>
          <w:color w:val="auto"/>
          <w:sz w:val="28"/>
        </w:rPr>
        <w:t>五”新建项目投资</w:t>
      </w:r>
    </w:p>
    <w:p w14:paraId="4A81F8EA">
      <w:pPr>
        <w:tabs>
          <w:tab w:val="left" w:pos="720"/>
        </w:tabs>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水资源节约集约利用规划</w:t>
      </w:r>
      <w:r>
        <w:rPr>
          <w:rFonts w:eastAsia="仿宋_GB2312"/>
          <w:b/>
          <w:color w:val="auto"/>
          <w:sz w:val="28"/>
        </w:rPr>
        <w:t>：</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eastAsia="仿宋_GB2312"/>
          <w:snapToGrid w:val="0"/>
          <w:color w:val="auto"/>
          <w:kern w:val="0"/>
          <w:sz w:val="28"/>
          <w:szCs w:val="28"/>
        </w:rPr>
        <w:t>管网工程建设，投资</w:t>
      </w:r>
      <w:r>
        <w:rPr>
          <w:rFonts w:hint="eastAsia" w:ascii="Times New Roman" w:hAnsi="Times New Roman" w:eastAsia="仿宋_GB2312" w:cs="仿宋_GB2312"/>
          <w:snapToGrid w:val="0"/>
          <w:color w:val="auto"/>
          <w:kern w:val="0"/>
          <w:sz w:val="28"/>
          <w:szCs w:val="28"/>
        </w:rPr>
        <w:t>1</w:t>
      </w:r>
      <w:r>
        <w:rPr>
          <w:rFonts w:eastAsia="仿宋_GB2312"/>
          <w:snapToGrid w:val="0"/>
          <w:color w:val="auto"/>
          <w:kern w:val="0"/>
          <w:sz w:val="28"/>
          <w:szCs w:val="28"/>
        </w:rPr>
        <w:t>亿元</w:t>
      </w:r>
      <w:r>
        <w:rPr>
          <w:rFonts w:hint="eastAsia" w:eastAsia="仿宋_GB2312"/>
          <w:snapToGrid w:val="0"/>
          <w:color w:val="auto"/>
          <w:kern w:val="0"/>
          <w:sz w:val="28"/>
          <w:szCs w:val="28"/>
        </w:rPr>
        <w:t>；⑵新建供水工程</w:t>
      </w:r>
      <w:r>
        <w:rPr>
          <w:rFonts w:eastAsia="仿宋_GB2312"/>
          <w:snapToGrid w:val="0"/>
          <w:color w:val="auto"/>
          <w:kern w:val="0"/>
          <w:sz w:val="28"/>
          <w:szCs w:val="28"/>
        </w:rPr>
        <w:t>，投</w:t>
      </w:r>
      <w:r>
        <w:rPr>
          <w:rFonts w:hint="eastAsia" w:ascii="Times New Roman" w:hAnsi="Times New Roman" w:eastAsia="仿宋_GB2312" w:cs="仿宋_GB2312"/>
          <w:snapToGrid w:val="0"/>
          <w:color w:val="auto"/>
          <w:kern w:val="0"/>
          <w:sz w:val="28"/>
          <w:szCs w:val="28"/>
          <w:lang w:val="en-US" w:eastAsia="zh-CN"/>
        </w:rPr>
        <w:t>9.4</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⑶</w:t>
      </w:r>
      <w:r>
        <w:rPr>
          <w:rFonts w:hint="eastAsia" w:eastAsia="仿宋_GB2312"/>
          <w:snapToGrid w:val="0"/>
          <w:color w:val="auto"/>
          <w:kern w:val="0"/>
          <w:sz w:val="28"/>
          <w:szCs w:val="28"/>
        </w:rPr>
        <w:t>新建蓄</w:t>
      </w:r>
      <w:r>
        <w:rPr>
          <w:rFonts w:eastAsia="仿宋_GB2312"/>
          <w:snapToGrid w:val="0"/>
          <w:color w:val="auto"/>
          <w:kern w:val="0"/>
          <w:sz w:val="28"/>
          <w:szCs w:val="28"/>
        </w:rPr>
        <w:t>水工程</w:t>
      </w:r>
      <w:r>
        <w:rPr>
          <w:rFonts w:hint="eastAsia" w:ascii="宋体" w:hAnsi="宋体" w:eastAsia="仿宋_GB2312" w:cs="宋体"/>
          <w:snapToGrid w:val="0"/>
          <w:color w:val="auto"/>
          <w:kern w:val="0"/>
          <w:sz w:val="28"/>
          <w:szCs w:val="28"/>
        </w:rPr>
        <w:t>，</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1.776</w:t>
      </w:r>
      <w:r>
        <w:rPr>
          <w:rFonts w:eastAsia="仿宋_GB2312"/>
          <w:snapToGrid w:val="0"/>
          <w:color w:val="auto"/>
          <w:kern w:val="0"/>
          <w:sz w:val="28"/>
          <w:szCs w:val="28"/>
        </w:rPr>
        <w:t>亿元</w:t>
      </w:r>
      <w:r>
        <w:rPr>
          <w:rFonts w:hint="eastAsia" w:eastAsia="仿宋_GB2312"/>
          <w:snapToGrid w:val="0"/>
          <w:color w:val="auto"/>
          <w:kern w:val="0"/>
          <w:sz w:val="28"/>
          <w:szCs w:val="28"/>
        </w:rPr>
        <w:t>。</w:t>
      </w:r>
    </w:p>
    <w:p w14:paraId="2B59F22A">
      <w:pPr>
        <w:adjustRightInd w:val="0"/>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22.828</w:t>
      </w:r>
      <w:r>
        <w:rPr>
          <w:rFonts w:hint="eastAsia"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hint="eastAsia" w:eastAsia="仿宋_GB2312"/>
          <w:snapToGrid w:val="0"/>
          <w:color w:val="auto"/>
          <w:kern w:val="0"/>
          <w:sz w:val="28"/>
          <w:szCs w:val="28"/>
        </w:rPr>
        <w:t>沁河</w:t>
      </w:r>
      <w:r>
        <w:rPr>
          <w:rFonts w:hint="eastAsia" w:eastAsia="仿宋_GB2312"/>
          <w:snapToGrid w:val="0"/>
          <w:color w:val="auto"/>
          <w:kern w:val="0"/>
          <w:sz w:val="28"/>
          <w:szCs w:val="28"/>
          <w:lang w:val="en-US" w:eastAsia="zh-CN"/>
        </w:rPr>
        <w:t>流域</w:t>
      </w:r>
      <w:r>
        <w:rPr>
          <w:rFonts w:hint="eastAsia" w:eastAsia="仿宋_GB2312"/>
          <w:snapToGrid w:val="0"/>
          <w:color w:val="auto"/>
          <w:kern w:val="0"/>
          <w:sz w:val="28"/>
          <w:szCs w:val="28"/>
        </w:rPr>
        <w:t>水生态修复与保护，投资</w:t>
      </w:r>
      <w:r>
        <w:rPr>
          <w:rFonts w:hint="eastAsia" w:ascii="Times New Roman" w:hAnsi="Times New Roman" w:eastAsia="仿宋_GB2312" w:cs="仿宋_GB2312"/>
          <w:snapToGrid w:val="0"/>
          <w:color w:val="auto"/>
          <w:kern w:val="0"/>
          <w:sz w:val="28"/>
          <w:szCs w:val="28"/>
          <w:lang w:val="en-US" w:eastAsia="zh-CN"/>
        </w:rPr>
        <w:t>18.578</w:t>
      </w:r>
      <w:r>
        <w:rPr>
          <w:rFonts w:eastAsia="仿宋_GB2312"/>
          <w:snapToGrid w:val="0"/>
          <w:color w:val="auto"/>
          <w:kern w:val="0"/>
          <w:sz w:val="28"/>
          <w:szCs w:val="28"/>
        </w:rPr>
        <w:t>亿元</w:t>
      </w:r>
      <w:r>
        <w:rPr>
          <w:rFonts w:hint="eastAsia" w:ascii="仿宋_GB2312" w:hAnsi="仿宋_GB2312" w:eastAsia="仿宋_GB2312" w:cs="仿宋_GB2312"/>
          <w:color w:val="auto"/>
          <w:sz w:val="28"/>
          <w:szCs w:val="28"/>
        </w:rPr>
        <w:t>；</w:t>
      </w:r>
      <w:r>
        <w:rPr>
          <w:rFonts w:hint="eastAsia" w:ascii="Times New Roman" w:hAnsi="Times New Roman" w:eastAsia="仿宋_GB2312"/>
          <w:snapToGrid w:val="0"/>
          <w:color w:val="auto"/>
          <w:kern w:val="0"/>
          <w:sz w:val="28"/>
          <w:szCs w:val="28"/>
        </w:rPr>
        <w:t>⑵</w:t>
      </w:r>
      <w:r>
        <w:rPr>
          <w:rFonts w:hint="eastAsia" w:eastAsia="仿宋_GB2312"/>
          <w:snapToGrid w:val="0"/>
          <w:color w:val="auto"/>
          <w:kern w:val="0"/>
          <w:sz w:val="28"/>
          <w:szCs w:val="28"/>
        </w:rPr>
        <w:t>汾河流域生态修复与保护规划，投资</w:t>
      </w:r>
      <w:r>
        <w:rPr>
          <w:rFonts w:hint="eastAsia" w:ascii="Times New Roman" w:hAnsi="Times New Roman" w:eastAsia="仿宋_GB2312" w:cs="仿宋_GB2312"/>
          <w:snapToGrid w:val="0"/>
          <w:color w:val="auto"/>
          <w:kern w:val="0"/>
          <w:sz w:val="28"/>
          <w:szCs w:val="28"/>
        </w:rPr>
        <w:t>4</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25</w:t>
      </w:r>
      <w:r>
        <w:rPr>
          <w:rFonts w:hint="eastAsia" w:eastAsia="仿宋_GB2312"/>
          <w:snapToGrid w:val="0"/>
          <w:color w:val="auto"/>
          <w:kern w:val="0"/>
          <w:sz w:val="28"/>
          <w:szCs w:val="28"/>
        </w:rPr>
        <w:t>亿元。</w:t>
      </w:r>
    </w:p>
    <w:p w14:paraId="632DFCDB">
      <w:pPr>
        <w:snapToGrid w:val="0"/>
        <w:spacing w:line="360" w:lineRule="auto"/>
        <w:ind w:firstLine="562" w:firstLineChars="200"/>
        <w:rPr>
          <w:rFonts w:eastAsia="仿宋_GB2312"/>
          <w:color w:val="auto"/>
          <w:sz w:val="28"/>
        </w:rPr>
      </w:pPr>
      <w:r>
        <w:rPr>
          <w:rFonts w:hint="eastAsia" w:eastAsia="仿宋_GB2312"/>
          <w:b/>
          <w:color w:val="auto"/>
          <w:sz w:val="28"/>
        </w:rPr>
        <w:t>乡村振兴水利保障能力建设</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亿元，主要包括：</w:t>
      </w:r>
      <w:r>
        <w:rPr>
          <w:rFonts w:hint="eastAsia" w:ascii="Times New Roman" w:hAnsi="Times New Roman" w:eastAsia="仿宋"/>
          <w:color w:val="auto"/>
          <w:kern w:val="0"/>
          <w:sz w:val="28"/>
          <w:szCs w:val="28"/>
        </w:rPr>
        <w:t>⑴</w:t>
      </w:r>
      <w:r>
        <w:rPr>
          <w:rFonts w:hint="eastAsia" w:eastAsia="仿宋_GB2312"/>
          <w:b w:val="0"/>
          <w:bCs/>
          <w:color w:val="auto"/>
          <w:sz w:val="28"/>
        </w:rPr>
        <w:t>农村供水保障</w:t>
      </w:r>
      <w:r>
        <w:rPr>
          <w:rFonts w:eastAsia="仿宋_GB2312"/>
          <w:b w:val="0"/>
          <w:bCs/>
          <w:color w:val="auto"/>
          <w:sz w:val="28"/>
        </w:rPr>
        <w:t>：</w:t>
      </w:r>
      <w:r>
        <w:rPr>
          <w:rFonts w:hint="eastAsia" w:eastAsia="仿宋_GB2312"/>
          <w:b w:val="0"/>
          <w:bCs/>
          <w:color w:val="auto"/>
          <w:sz w:val="28"/>
        </w:rPr>
        <w:t>总</w:t>
      </w:r>
      <w:r>
        <w:rPr>
          <w:rFonts w:eastAsia="仿宋_GB2312"/>
          <w:b w:val="0"/>
          <w:bCs/>
          <w:color w:val="auto"/>
          <w:sz w:val="28"/>
        </w:rPr>
        <w:t>投资</w:t>
      </w:r>
      <w:r>
        <w:rPr>
          <w:rFonts w:hint="eastAsia" w:ascii="Times New Roman" w:hAnsi="Times New Roman" w:eastAsia="仿宋_GB2312" w:cs="仿宋_GB2312"/>
          <w:b w:val="0"/>
          <w:bCs/>
          <w:color w:val="auto"/>
          <w:sz w:val="28"/>
        </w:rPr>
        <w:t>1</w:t>
      </w:r>
      <w:r>
        <w:rPr>
          <w:rFonts w:hint="eastAsia" w:ascii="Times New Roman" w:hAnsi="Times New Roman" w:eastAsia="仿宋_GB2312"/>
          <w:b w:val="0"/>
          <w:bCs/>
          <w:color w:val="auto"/>
          <w:sz w:val="28"/>
        </w:rPr>
        <w:t>.</w:t>
      </w:r>
      <w:r>
        <w:rPr>
          <w:rFonts w:hint="eastAsia" w:ascii="Times New Roman" w:hAnsi="Times New Roman" w:eastAsia="仿宋_GB2312" w:cs="仿宋_GB2312"/>
          <w:b w:val="0"/>
          <w:bCs/>
          <w:color w:val="auto"/>
          <w:sz w:val="28"/>
        </w:rPr>
        <w:t>56</w:t>
      </w:r>
      <w:r>
        <w:rPr>
          <w:rFonts w:eastAsia="仿宋_GB2312"/>
          <w:b w:val="0"/>
          <w:bCs/>
          <w:color w:val="auto"/>
          <w:sz w:val="28"/>
        </w:rPr>
        <w:t>亿元。主要包括：</w:t>
      </w:r>
      <w:r>
        <w:rPr>
          <w:rFonts w:ascii="Times New Roman" w:hAnsi="Times New Roman" w:eastAsia="仿宋_GB2312"/>
          <w:b w:val="0"/>
          <w:bCs/>
          <w:color w:val="auto"/>
          <w:kern w:val="44"/>
          <w:sz w:val="28"/>
          <w:szCs w:val="36"/>
        </w:rPr>
        <w:t>规模化供水工程</w:t>
      </w:r>
      <w:r>
        <w:rPr>
          <w:rFonts w:hint="eastAsia" w:ascii="Times New Roman" w:hAnsi="Times New Roman" w:eastAsia="仿宋_GB2312"/>
          <w:b w:val="0"/>
          <w:bCs/>
          <w:color w:val="auto"/>
          <w:kern w:val="44"/>
          <w:sz w:val="28"/>
          <w:szCs w:val="36"/>
        </w:rPr>
        <w:t>、</w:t>
      </w:r>
      <w:r>
        <w:rPr>
          <w:rFonts w:ascii="Times New Roman" w:hAnsi="Times New Roman" w:eastAsia="仿宋_GB2312"/>
          <w:b w:val="0"/>
          <w:bCs/>
          <w:color w:val="auto"/>
          <w:kern w:val="44"/>
          <w:sz w:val="28"/>
          <w:szCs w:val="36"/>
        </w:rPr>
        <w:t>老旧供</w:t>
      </w:r>
      <w:r>
        <w:rPr>
          <w:rFonts w:ascii="Times New Roman" w:hAnsi="Times New Roman" w:eastAsia="仿宋_GB2312"/>
          <w:bCs/>
          <w:color w:val="auto"/>
          <w:kern w:val="44"/>
          <w:sz w:val="28"/>
          <w:szCs w:val="36"/>
        </w:rPr>
        <w:t>水工程和管网更新改造工程</w:t>
      </w:r>
      <w:r>
        <w:rPr>
          <w:rFonts w:hint="eastAsia" w:eastAsia="仿宋_GB2312"/>
          <w:b w:val="0"/>
          <w:bCs w:val="0"/>
          <w:color w:val="auto"/>
          <w:sz w:val="28"/>
          <w:lang w:val="en-US" w:eastAsia="zh-CN"/>
        </w:rPr>
        <w:t>；</w:t>
      </w:r>
      <w:r>
        <w:rPr>
          <w:rFonts w:hint="eastAsia" w:ascii="Times New Roman" w:hAnsi="Times New Roman" w:eastAsia="仿宋_GB2312"/>
          <w:b w:val="0"/>
          <w:bCs w:val="0"/>
          <w:snapToGrid w:val="0"/>
          <w:color w:val="auto"/>
          <w:kern w:val="0"/>
          <w:sz w:val="28"/>
          <w:szCs w:val="28"/>
        </w:rPr>
        <w:t>⑵农村规模化供水工程</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总投资</w:t>
      </w:r>
      <w:r>
        <w:rPr>
          <w:rFonts w:hint="eastAsia" w:ascii="Times New Roman" w:hAnsi="Times New Roman" w:eastAsia="仿宋_GB2312"/>
          <w:b w:val="0"/>
          <w:bCs w:val="0"/>
          <w:snapToGrid w:val="0"/>
          <w:color w:val="auto"/>
          <w:kern w:val="0"/>
          <w:sz w:val="28"/>
          <w:szCs w:val="28"/>
          <w:lang w:val="en-US" w:eastAsia="zh-CN"/>
        </w:rPr>
        <w:t>11.96</w:t>
      </w:r>
      <w:r>
        <w:rPr>
          <w:rFonts w:eastAsia="仿宋_GB2312"/>
          <w:color w:val="auto"/>
          <w:sz w:val="28"/>
        </w:rPr>
        <w:t>亿元</w:t>
      </w:r>
      <w:r>
        <w:rPr>
          <w:rFonts w:hint="eastAsia" w:ascii="Times New Roman" w:hAnsi="Times New Roman" w:eastAsia="仿宋_GB2312"/>
          <w:b w:val="0"/>
          <w:bCs w:val="0"/>
          <w:snapToGrid w:val="0"/>
          <w:color w:val="auto"/>
          <w:kern w:val="0"/>
          <w:sz w:val="28"/>
          <w:szCs w:val="28"/>
          <w:lang w:val="en-US" w:eastAsia="zh-CN"/>
        </w:rPr>
        <w:t>；</w:t>
      </w:r>
      <w:r>
        <w:rPr>
          <w:rFonts w:hint="eastAsia" w:eastAsia="仿宋_GB2312"/>
          <w:color w:val="auto"/>
          <w:sz w:val="28"/>
        </w:rPr>
        <w:t>⑶</w:t>
      </w:r>
      <w:r>
        <w:rPr>
          <w:rFonts w:hint="eastAsia" w:eastAsia="仿宋_GB2312"/>
          <w:b w:val="0"/>
          <w:bCs w:val="0"/>
          <w:color w:val="auto"/>
          <w:sz w:val="28"/>
        </w:rPr>
        <w:t>农村水电提升：</w:t>
      </w:r>
      <w:r>
        <w:rPr>
          <w:rFonts w:eastAsia="仿宋_GB2312"/>
          <w:color w:val="auto"/>
          <w:sz w:val="28"/>
        </w:rPr>
        <w:t>总投资</w:t>
      </w:r>
      <w:r>
        <w:rPr>
          <w:rFonts w:hint="eastAsia" w:ascii="Times New Roman" w:hAnsi="Times New Roman" w:eastAsia="仿宋_GB2312" w:cs="仿宋_GB2312"/>
          <w:color w:val="auto"/>
          <w:sz w:val="28"/>
        </w:rPr>
        <w:t>0.257</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lang w:eastAsia="zh-CN"/>
        </w:rPr>
        <w:t>①</w:t>
      </w:r>
      <w:r>
        <w:rPr>
          <w:rFonts w:hint="eastAsia" w:ascii="Times New Roman" w:hAnsi="Times New Roman" w:eastAsia="仿宋"/>
          <w:color w:val="auto"/>
          <w:kern w:val="0"/>
          <w:sz w:val="28"/>
          <w:szCs w:val="28"/>
        </w:rPr>
        <w:t>佛圪嘴、后河水电站安全生产标准化水电站建设，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004</w:t>
      </w:r>
      <w:r>
        <w:rPr>
          <w:rFonts w:eastAsia="仿宋_GB2312"/>
          <w:color w:val="auto"/>
          <w:sz w:val="28"/>
        </w:rPr>
        <w:t>亿元</w:t>
      </w:r>
      <w:r>
        <w:rPr>
          <w:rFonts w:hint="eastAsia" w:eastAsia="仿宋_GB2312"/>
          <w:color w:val="auto"/>
          <w:sz w:val="28"/>
          <w:lang w:val="en-US" w:eastAsia="zh-CN"/>
        </w:rPr>
        <w:t xml:space="preserve">; </w:t>
      </w:r>
      <w:r>
        <w:rPr>
          <w:rFonts w:hint="eastAsia" w:ascii="Times New Roman" w:hAnsi="Times New Roman" w:eastAsia="仿宋"/>
          <w:color w:val="auto"/>
          <w:kern w:val="0"/>
          <w:sz w:val="28"/>
          <w:szCs w:val="28"/>
          <w:lang w:eastAsia="zh-CN"/>
        </w:rPr>
        <w:t>②</w:t>
      </w:r>
      <w:r>
        <w:rPr>
          <w:rFonts w:hint="eastAsia" w:ascii="Times New Roman" w:hAnsi="Times New Roman" w:eastAsia="仿宋"/>
          <w:color w:val="auto"/>
          <w:kern w:val="0"/>
          <w:sz w:val="28"/>
          <w:szCs w:val="28"/>
        </w:rPr>
        <w:t>续建电站（湾则水电站），</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eastAsia="仿宋_GB2312"/>
          <w:color w:val="auto"/>
          <w:sz w:val="28"/>
        </w:rPr>
        <w:t>亿元</w:t>
      </w:r>
      <w:r>
        <w:rPr>
          <w:rFonts w:hint="eastAsia" w:eastAsia="仿宋_GB2312"/>
          <w:color w:val="auto"/>
          <w:sz w:val="28"/>
          <w:lang w:val="en-US" w:eastAsia="zh-CN"/>
        </w:rPr>
        <w:t>；⑷</w:t>
      </w:r>
      <w:r>
        <w:rPr>
          <w:rFonts w:hint="eastAsia" w:eastAsia="仿宋_GB2312"/>
          <w:color w:val="auto"/>
          <w:sz w:val="28"/>
        </w:rPr>
        <w:t>水土保持工程，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2.5</w:t>
      </w:r>
      <w:r>
        <w:rPr>
          <w:rFonts w:eastAsia="仿宋_GB2312"/>
          <w:color w:val="auto"/>
          <w:sz w:val="28"/>
        </w:rPr>
        <w:t>亿元；</w:t>
      </w:r>
      <w:r>
        <w:rPr>
          <w:rFonts w:hint="eastAsia" w:eastAsia="仿宋_GB2312"/>
          <w:color w:val="auto"/>
          <w:sz w:val="28"/>
        </w:rPr>
        <w:t>国家水土保持重点建设工程，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95</w:t>
      </w:r>
      <w:r>
        <w:rPr>
          <w:rFonts w:eastAsia="仿宋_GB2312"/>
          <w:color w:val="auto"/>
          <w:sz w:val="28"/>
        </w:rPr>
        <w:t>亿元</w:t>
      </w:r>
      <w:r>
        <w:rPr>
          <w:rFonts w:hint="eastAsia" w:eastAsia="仿宋_GB2312"/>
          <w:color w:val="auto"/>
          <w:sz w:val="28"/>
        </w:rPr>
        <w:t>；黄河流域坡耕地水土流失综合治理工程，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1.55</w:t>
      </w:r>
      <w:r>
        <w:rPr>
          <w:rFonts w:eastAsia="仿宋_GB2312"/>
          <w:color w:val="auto"/>
          <w:sz w:val="28"/>
        </w:rPr>
        <w:t>亿元</w:t>
      </w:r>
      <w:r>
        <w:rPr>
          <w:rFonts w:hint="eastAsia" w:eastAsia="仿宋_GB2312"/>
          <w:color w:val="auto"/>
          <w:sz w:val="28"/>
        </w:rPr>
        <w:t>。</w:t>
      </w:r>
    </w:p>
    <w:p w14:paraId="56A542A8">
      <w:pPr>
        <w:snapToGrid w:val="0"/>
        <w:spacing w:line="360" w:lineRule="auto"/>
        <w:ind w:firstLine="562" w:firstLineChars="200"/>
        <w:rPr>
          <w:rFonts w:eastAsia="仿宋_GB2312"/>
          <w:color w:val="auto"/>
          <w:sz w:val="28"/>
        </w:rPr>
      </w:pPr>
      <w:r>
        <w:rPr>
          <w:rFonts w:hint="eastAsia" w:eastAsia="仿宋_GB2312"/>
          <w:b/>
          <w:color w:val="auto"/>
          <w:sz w:val="28"/>
        </w:rPr>
        <w:t>水旱灾害防治</w:t>
      </w:r>
      <w:r>
        <w:rPr>
          <w:rFonts w:eastAsia="仿宋_GB2312"/>
          <w:b/>
          <w:color w:val="auto"/>
          <w:sz w:val="28"/>
        </w:rPr>
        <w:t>：</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hint="eastAsia" w:eastAsia="仿宋_GB2312"/>
          <w:color w:val="auto"/>
          <w:sz w:val="28"/>
          <w:lang w:val="en-US" w:eastAsia="zh-CN"/>
        </w:rPr>
        <w:t>主要包括：⑴主要包括固县里河山洪沟治理和梅河山洪沟治理，</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ascii="Times New Roman" w:hAnsi="Times New Roman" w:eastAsia="仿宋"/>
          <w:color w:val="auto"/>
          <w:kern w:val="0"/>
          <w:sz w:val="28"/>
          <w:szCs w:val="28"/>
          <w:lang w:val="en-US" w:eastAsia="zh-CN"/>
        </w:rPr>
        <w:t>；</w:t>
      </w:r>
      <w:r>
        <w:rPr>
          <w:rFonts w:hint="eastAsia" w:ascii="Times New Roman" w:hAnsi="Times New Roman" w:eastAsia="仿宋_GB2312"/>
          <w:b w:val="0"/>
          <w:bCs w:val="0"/>
          <w:snapToGrid w:val="0"/>
          <w:color w:val="auto"/>
          <w:kern w:val="0"/>
          <w:sz w:val="28"/>
          <w:szCs w:val="28"/>
        </w:rPr>
        <w:t>⑵河道防洪能力提升</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投资</w:t>
      </w:r>
      <w:r>
        <w:rPr>
          <w:rFonts w:hint="eastAsia" w:ascii="Times New Roman" w:hAnsi="Times New Roman" w:eastAsia="仿宋_GB2312" w:cs="仿宋_GB2312"/>
          <w:color w:val="auto"/>
          <w:sz w:val="28"/>
          <w:lang w:val="en-US" w:eastAsia="zh-CN"/>
        </w:rPr>
        <w:t>10.46</w:t>
      </w:r>
      <w:r>
        <w:rPr>
          <w:rFonts w:eastAsia="仿宋_GB2312"/>
          <w:color w:val="auto"/>
          <w:sz w:val="28"/>
        </w:rPr>
        <w:t>亿元。</w:t>
      </w:r>
    </w:p>
    <w:p w14:paraId="1FF7F950">
      <w:pPr>
        <w:tabs>
          <w:tab w:val="left" w:pos="720"/>
        </w:tabs>
        <w:snapToGrid w:val="0"/>
        <w:spacing w:line="360" w:lineRule="auto"/>
        <w:ind w:firstLine="562" w:firstLineChars="200"/>
        <w:rPr>
          <w:rFonts w:eastAsia="仿宋_GB2312"/>
          <w:color w:val="auto"/>
          <w:sz w:val="28"/>
        </w:rPr>
      </w:pPr>
      <w:r>
        <w:rPr>
          <w:rFonts w:hint="eastAsia" w:eastAsia="仿宋_GB2312"/>
          <w:b/>
          <w:color w:val="auto"/>
          <w:sz w:val="28"/>
        </w:rPr>
        <w:t>农田灌溉提升</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亿元。主要包括：</w:t>
      </w:r>
      <w:r>
        <w:rPr>
          <w:rFonts w:hint="eastAsia" w:eastAsia="仿宋_GB2312"/>
          <w:color w:val="auto"/>
          <w:sz w:val="28"/>
        </w:rPr>
        <w:t>中型灌区续建配套与节水改造（曲堤灌区续建配套与节水改造项目</w:t>
      </w:r>
      <w:r>
        <w:rPr>
          <w:rFonts w:hint="eastAsia" w:eastAsia="仿宋_GB2312"/>
          <w:color w:val="auto"/>
          <w:sz w:val="28"/>
          <w:lang w:eastAsia="zh-CN"/>
        </w:rPr>
        <w:t>、</w:t>
      </w:r>
      <w:r>
        <w:rPr>
          <w:rFonts w:hint="eastAsia" w:eastAsia="仿宋_GB2312"/>
          <w:color w:val="auto"/>
          <w:sz w:val="28"/>
        </w:rPr>
        <w:t>山泽灌区续建配套与节水改造项目</w:t>
      </w:r>
      <w:r>
        <w:rPr>
          <w:rFonts w:hint="eastAsia" w:eastAsia="仿宋_GB2312"/>
          <w:color w:val="auto"/>
          <w:sz w:val="28"/>
          <w:lang w:val="en-US" w:eastAsia="zh-CN"/>
        </w:rPr>
        <w:t>和下泊灌区续建配套与节水改造项目</w:t>
      </w:r>
      <w:r>
        <w:rPr>
          <w:rFonts w:hint="eastAsia" w:eastAsia="仿宋_GB2312"/>
          <w:color w:val="auto"/>
          <w:sz w:val="28"/>
        </w:rPr>
        <w:t>）。</w:t>
      </w:r>
    </w:p>
    <w:p w14:paraId="161B05F1">
      <w:pPr>
        <w:snapToGrid w:val="0"/>
        <w:spacing w:line="360" w:lineRule="auto"/>
        <w:ind w:firstLine="562" w:firstLineChars="200"/>
        <w:rPr>
          <w:rFonts w:eastAsia="仿宋_GB2312"/>
          <w:color w:val="auto"/>
          <w:sz w:val="28"/>
        </w:rPr>
      </w:pP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工业节水规划，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042</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城镇节水规划，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141</w:t>
      </w:r>
      <w:r>
        <w:rPr>
          <w:rFonts w:eastAsia="仿宋_GB2312"/>
          <w:color w:val="auto"/>
          <w:sz w:val="28"/>
        </w:rPr>
        <w:t>亿元</w:t>
      </w:r>
      <w:r>
        <w:rPr>
          <w:rFonts w:hint="eastAsia" w:eastAsia="仿宋_GB2312"/>
          <w:color w:val="auto"/>
          <w:sz w:val="28"/>
        </w:rPr>
        <w:t>。</w:t>
      </w:r>
    </w:p>
    <w:p w14:paraId="0EED3546">
      <w:pPr>
        <w:snapToGrid w:val="0"/>
        <w:spacing w:line="360" w:lineRule="auto"/>
        <w:ind w:firstLine="562" w:firstLineChars="200"/>
        <w:rPr>
          <w:rFonts w:eastAsia="仿宋_GB2312"/>
          <w:color w:val="auto"/>
          <w:sz w:val="28"/>
        </w:rPr>
      </w:pP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水库运行管理能力提升，</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智慧水利建设，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eastAsia="仿宋_GB2312"/>
          <w:color w:val="auto"/>
          <w:sz w:val="28"/>
        </w:rPr>
        <w:t>。</w:t>
      </w:r>
    </w:p>
    <w:p w14:paraId="7515C08E">
      <w:pPr>
        <w:pStyle w:val="2"/>
        <w:ind w:firstLine="1960" w:firstLineChars="700"/>
        <w:rPr>
          <w:rFonts w:eastAsia="仿宋_GB2312"/>
          <w:snapToGrid w:val="0"/>
          <w:color w:val="auto"/>
          <w:kern w:val="0"/>
          <w:sz w:val="28"/>
          <w:szCs w:val="28"/>
        </w:rPr>
      </w:pPr>
      <w:bookmarkStart w:id="437" w:name="_Toc19178"/>
      <w:bookmarkStart w:id="438" w:name="_Toc31481"/>
      <w:bookmarkStart w:id="439" w:name="_Toc15665"/>
      <w:bookmarkStart w:id="440" w:name="_Toc24198"/>
      <w:r>
        <w:rPr>
          <w:rFonts w:hint="eastAsia" w:eastAsia="仿宋_GB2312"/>
          <w:snapToGrid w:val="0"/>
          <w:color w:val="auto"/>
          <w:kern w:val="0"/>
          <w:sz w:val="28"/>
          <w:szCs w:val="28"/>
        </w:rPr>
        <w:t>表</w:t>
      </w:r>
      <w:r>
        <w:rPr>
          <w:rFonts w:hint="eastAsia" w:ascii="Times New Roman" w:hAnsi="Times New Roman" w:eastAsia="仿宋_GB2312" w:cs="仿宋_GB2312"/>
          <w:snapToGrid w:val="0"/>
          <w:color w:val="auto"/>
          <w:kern w:val="0"/>
          <w:sz w:val="28"/>
          <w:szCs w:val="28"/>
        </w:rPr>
        <w:t>13</w:t>
      </w:r>
      <w:r>
        <w:rPr>
          <w:rFonts w:hint="eastAsia"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 xml:space="preserve">    “十四五”新增项目投资表</w:t>
      </w:r>
    </w:p>
    <w:tbl>
      <w:tblPr>
        <w:tblStyle w:val="22"/>
        <w:tblW w:w="6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1829"/>
        <w:gridCol w:w="1992"/>
      </w:tblGrid>
      <w:tr w14:paraId="1E9C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575" w:type="dxa"/>
            <w:shd w:val="clear" w:color="auto" w:fill="auto"/>
            <w:noWrap/>
            <w:vAlign w:val="center"/>
          </w:tcPr>
          <w:p w14:paraId="08D778D6">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项    目</w:t>
            </w:r>
          </w:p>
        </w:tc>
        <w:tc>
          <w:tcPr>
            <w:tcW w:w="1829" w:type="dxa"/>
            <w:shd w:val="clear" w:color="auto" w:fill="auto"/>
            <w:noWrap/>
            <w:vAlign w:val="center"/>
          </w:tcPr>
          <w:p w14:paraId="644E75A3">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投资（亿元）</w:t>
            </w:r>
          </w:p>
        </w:tc>
        <w:tc>
          <w:tcPr>
            <w:tcW w:w="1992" w:type="dxa"/>
            <w:shd w:val="clear" w:color="auto" w:fill="auto"/>
            <w:noWrap/>
            <w:vAlign w:val="center"/>
          </w:tcPr>
          <w:p w14:paraId="639F210E">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占总投资比重（%）</w:t>
            </w:r>
          </w:p>
        </w:tc>
      </w:tr>
      <w:tr w14:paraId="70E8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536DFA82">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水资源节约集约利用</w:t>
            </w:r>
          </w:p>
        </w:tc>
        <w:tc>
          <w:tcPr>
            <w:tcW w:w="1829" w:type="dxa"/>
            <w:shd w:val="clear" w:color="auto" w:fill="auto"/>
            <w:noWrap/>
            <w:vAlign w:val="center"/>
          </w:tcPr>
          <w:p w14:paraId="1C68FC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12.176</w:t>
            </w:r>
          </w:p>
        </w:tc>
        <w:tc>
          <w:tcPr>
            <w:tcW w:w="1992" w:type="dxa"/>
            <w:shd w:val="clear" w:color="auto" w:fill="auto"/>
            <w:noWrap/>
            <w:vAlign w:val="center"/>
          </w:tcPr>
          <w:p w14:paraId="0E197E3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17.47 </w:t>
            </w:r>
          </w:p>
        </w:tc>
      </w:tr>
      <w:tr w14:paraId="62DF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D618C6C">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水生态修复与保护</w:t>
            </w:r>
          </w:p>
        </w:tc>
        <w:tc>
          <w:tcPr>
            <w:tcW w:w="1829" w:type="dxa"/>
            <w:shd w:val="clear" w:color="auto" w:fill="auto"/>
            <w:noWrap/>
            <w:vAlign w:val="center"/>
          </w:tcPr>
          <w:p w14:paraId="577DFE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22.828</w:t>
            </w:r>
          </w:p>
        </w:tc>
        <w:tc>
          <w:tcPr>
            <w:tcW w:w="1992" w:type="dxa"/>
            <w:shd w:val="clear" w:color="auto" w:fill="auto"/>
            <w:noWrap/>
            <w:vAlign w:val="center"/>
          </w:tcPr>
          <w:p w14:paraId="0A8D6ED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35.47 </w:t>
            </w:r>
          </w:p>
        </w:tc>
      </w:tr>
      <w:tr w14:paraId="67B7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2575" w:type="dxa"/>
            <w:shd w:val="clear" w:color="auto" w:fill="auto"/>
            <w:noWrap/>
            <w:vAlign w:val="center"/>
          </w:tcPr>
          <w:p w14:paraId="7953A8B8">
            <w:pPr>
              <w:widowControl/>
              <w:jc w:val="center"/>
              <w:textAlignment w:val="center"/>
              <w:rPr>
                <w:rFonts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乡村振兴水利保障能力建设</w:t>
            </w:r>
          </w:p>
        </w:tc>
        <w:tc>
          <w:tcPr>
            <w:tcW w:w="1829" w:type="dxa"/>
            <w:shd w:val="clear" w:color="auto" w:fill="auto"/>
            <w:noWrap/>
            <w:vAlign w:val="center"/>
          </w:tcPr>
          <w:p w14:paraId="37D8F3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19.983</w:t>
            </w:r>
          </w:p>
        </w:tc>
        <w:tc>
          <w:tcPr>
            <w:tcW w:w="1992" w:type="dxa"/>
            <w:shd w:val="clear" w:color="auto" w:fill="auto"/>
            <w:noWrap/>
            <w:vAlign w:val="center"/>
          </w:tcPr>
          <w:p w14:paraId="5BF3BF2C">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28.67 </w:t>
            </w:r>
          </w:p>
        </w:tc>
      </w:tr>
      <w:tr w14:paraId="22F0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521AECD">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水旱灾害防治</w:t>
            </w:r>
          </w:p>
        </w:tc>
        <w:tc>
          <w:tcPr>
            <w:tcW w:w="1829" w:type="dxa"/>
            <w:shd w:val="clear" w:color="auto" w:fill="auto"/>
            <w:noWrap/>
            <w:vAlign w:val="center"/>
          </w:tcPr>
          <w:p w14:paraId="2DC50A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10.96</w:t>
            </w:r>
          </w:p>
        </w:tc>
        <w:tc>
          <w:tcPr>
            <w:tcW w:w="1992" w:type="dxa"/>
            <w:shd w:val="clear" w:color="auto" w:fill="auto"/>
            <w:noWrap/>
            <w:vAlign w:val="center"/>
          </w:tcPr>
          <w:p w14:paraId="613B7B27">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15.72 </w:t>
            </w:r>
          </w:p>
        </w:tc>
      </w:tr>
      <w:tr w14:paraId="489B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696AD53">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农田灌溉提升</w:t>
            </w:r>
          </w:p>
        </w:tc>
        <w:tc>
          <w:tcPr>
            <w:tcW w:w="1829" w:type="dxa"/>
            <w:shd w:val="clear" w:color="auto" w:fill="auto"/>
            <w:noWrap/>
            <w:vAlign w:val="center"/>
          </w:tcPr>
          <w:p w14:paraId="2A66AE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992" w:type="dxa"/>
            <w:shd w:val="clear" w:color="auto" w:fill="auto"/>
            <w:noWrap/>
            <w:vAlign w:val="center"/>
          </w:tcPr>
          <w:p w14:paraId="7490260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1.43 </w:t>
            </w:r>
          </w:p>
        </w:tc>
      </w:tr>
      <w:tr w14:paraId="75B4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2CEEF577">
            <w:pPr>
              <w:widowControl/>
              <w:tabs>
                <w:tab w:val="left" w:pos="539"/>
              </w:tabs>
              <w:ind w:firstLine="480" w:firstLineChars="200"/>
              <w:jc w:val="left"/>
              <w:textAlignment w:val="center"/>
              <w:rPr>
                <w:rFonts w:hint="eastAsia" w:ascii="Times New Roman" w:hAnsi="Times New Roman" w:eastAsia="仿宋"/>
                <w:color w:val="auto"/>
                <w:sz w:val="24"/>
                <w:lang w:eastAsia="zh-CN"/>
              </w:rPr>
            </w:pPr>
            <w:r>
              <w:rPr>
                <w:rFonts w:hint="eastAsia" w:ascii="Times New Roman" w:hAnsi="Times New Roman" w:eastAsia="仿宋"/>
                <w:color w:val="auto"/>
                <w:sz w:val="24"/>
                <w:lang w:eastAsia="zh-CN"/>
              </w:rPr>
              <w:t>节水型社会提升</w:t>
            </w:r>
          </w:p>
        </w:tc>
        <w:tc>
          <w:tcPr>
            <w:tcW w:w="1829" w:type="dxa"/>
            <w:shd w:val="clear" w:color="auto" w:fill="auto"/>
            <w:noWrap/>
            <w:vAlign w:val="center"/>
          </w:tcPr>
          <w:p w14:paraId="7ACBBE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0.182</w:t>
            </w:r>
          </w:p>
        </w:tc>
        <w:tc>
          <w:tcPr>
            <w:tcW w:w="1992" w:type="dxa"/>
            <w:shd w:val="clear" w:color="auto" w:fill="auto"/>
            <w:noWrap/>
            <w:vAlign w:val="center"/>
          </w:tcPr>
          <w:p w14:paraId="7046530E">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0.26 </w:t>
            </w:r>
          </w:p>
        </w:tc>
      </w:tr>
      <w:tr w14:paraId="61B8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72ED2C60">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水利管理能力提升</w:t>
            </w:r>
          </w:p>
        </w:tc>
        <w:tc>
          <w:tcPr>
            <w:tcW w:w="1829" w:type="dxa"/>
            <w:shd w:val="clear" w:color="auto" w:fill="auto"/>
            <w:noWrap/>
            <w:vAlign w:val="center"/>
          </w:tcPr>
          <w:p w14:paraId="04E2B4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0.68</w:t>
            </w:r>
          </w:p>
        </w:tc>
        <w:tc>
          <w:tcPr>
            <w:tcW w:w="1992" w:type="dxa"/>
            <w:shd w:val="clear" w:color="auto" w:fill="auto"/>
            <w:noWrap/>
            <w:vAlign w:val="center"/>
          </w:tcPr>
          <w:p w14:paraId="701A7F5B">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0.98 </w:t>
            </w:r>
          </w:p>
        </w:tc>
      </w:tr>
    </w:tbl>
    <w:p w14:paraId="47E08D1B">
      <w:pPr>
        <w:tabs>
          <w:tab w:val="left" w:pos="720"/>
        </w:tabs>
        <w:snapToGrid w:val="0"/>
        <w:spacing w:line="360" w:lineRule="auto"/>
        <w:ind w:firstLine="560" w:firstLineChars="200"/>
        <w:rPr>
          <w:rFonts w:eastAsia="仿宋_GB2312"/>
          <w:snapToGrid w:val="0"/>
          <w:color w:val="auto"/>
          <w:kern w:val="0"/>
          <w:sz w:val="28"/>
          <w:szCs w:val="28"/>
        </w:rPr>
      </w:pPr>
    </w:p>
    <w:p w14:paraId="0A102A97">
      <w:pPr>
        <w:tabs>
          <w:tab w:val="left" w:pos="720"/>
        </w:tabs>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总投资</w:t>
      </w:r>
      <w:r>
        <w:rPr>
          <w:rFonts w:hint="eastAsia" w:ascii="Times New Roman" w:hAnsi="Times New Roman" w:eastAsia="仿宋_GB2312" w:cs="仿宋_GB2312"/>
          <w:snapToGrid w:val="0"/>
          <w:color w:val="auto"/>
          <w:kern w:val="0"/>
          <w:sz w:val="28"/>
          <w:szCs w:val="28"/>
          <w:lang w:val="en-US" w:eastAsia="zh-CN"/>
        </w:rPr>
        <w:t>60.709</w:t>
      </w:r>
      <w:r>
        <w:rPr>
          <w:rFonts w:hint="eastAsia" w:ascii="Times New Roman" w:hAnsi="Times New Roman" w:eastAsia="仿宋_GB2312"/>
          <w:color w:val="auto"/>
          <w:sz w:val="28"/>
        </w:rPr>
        <w:t>亿元</w:t>
      </w:r>
      <w:r>
        <w:rPr>
          <w:rFonts w:eastAsia="仿宋_GB2312"/>
          <w:snapToGrid w:val="0"/>
          <w:color w:val="auto"/>
          <w:kern w:val="0"/>
          <w:sz w:val="28"/>
          <w:szCs w:val="28"/>
        </w:rPr>
        <w:t>。其中：</w:t>
      </w:r>
      <w:r>
        <w:rPr>
          <w:rFonts w:hint="eastAsia" w:eastAsia="仿宋_GB2312"/>
          <w:b/>
          <w:color w:val="auto"/>
          <w:sz w:val="28"/>
        </w:rPr>
        <w:t>水资源节约集约利用规划</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17.47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24.728</w:t>
      </w:r>
      <w:r>
        <w:rPr>
          <w:rFonts w:hint="eastAsia" w:eastAsia="仿宋_GB2312"/>
          <w:snapToGrid w:val="0"/>
          <w:color w:val="auto"/>
          <w:kern w:val="0"/>
          <w:sz w:val="28"/>
          <w:szCs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35.47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bCs/>
          <w:snapToGrid w:val="0"/>
          <w:color w:val="auto"/>
          <w:kern w:val="0"/>
          <w:sz w:val="28"/>
          <w:szCs w:val="28"/>
          <w:lang w:val="en-US" w:eastAsia="zh-CN"/>
        </w:rPr>
        <w:t>乡村振兴水利保障能力建设</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28.67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水旱灾害防治</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15.72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农田灌溉提升</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1.43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lang w:val="en-US" w:eastAsia="zh-CN"/>
        </w:rPr>
        <w:t>26</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0.98</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p>
    <w:p w14:paraId="09CB4CD8">
      <w:pPr>
        <w:pStyle w:val="7"/>
        <w:snapToGrid w:val="0"/>
        <w:spacing w:before="120" w:after="120" w:line="360" w:lineRule="auto"/>
        <w:rPr>
          <w:color w:val="auto"/>
        </w:rPr>
      </w:pPr>
      <w:bookmarkStart w:id="441" w:name="_Toc2315"/>
      <w:bookmarkStart w:id="442" w:name="_Toc30483"/>
      <w:bookmarkStart w:id="443" w:name="_Toc22056"/>
      <w:bookmarkStart w:id="444" w:name="_Toc1696"/>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2</w:t>
      </w:r>
      <w:r>
        <w:rPr>
          <w:rFonts w:hint="eastAsia"/>
          <w:color w:val="auto"/>
        </w:rPr>
        <w:t xml:space="preserve">  </w:t>
      </w:r>
      <w:r>
        <w:rPr>
          <w:color w:val="auto"/>
        </w:rPr>
        <w:t>投资实施计划</w:t>
      </w:r>
      <w:bookmarkEnd w:id="437"/>
      <w:bookmarkEnd w:id="438"/>
      <w:bookmarkEnd w:id="439"/>
      <w:bookmarkEnd w:id="440"/>
      <w:bookmarkEnd w:id="441"/>
      <w:bookmarkEnd w:id="442"/>
      <w:bookmarkEnd w:id="443"/>
      <w:bookmarkEnd w:id="444"/>
    </w:p>
    <w:p w14:paraId="65E2B251">
      <w:pPr>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沁水县“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共规划投资</w:t>
      </w:r>
      <w:r>
        <w:rPr>
          <w:rFonts w:hint="eastAsia" w:ascii="Times New Roman" w:hAnsi="Times New Roman" w:eastAsia="仿宋_GB2312" w:cs="仿宋_GB2312"/>
          <w:snapToGrid w:val="0"/>
          <w:color w:val="auto"/>
          <w:kern w:val="0"/>
          <w:sz w:val="28"/>
          <w:szCs w:val="28"/>
          <w:lang w:val="en-US" w:eastAsia="zh-CN"/>
        </w:rPr>
        <w:t>60.709</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已完成投资</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建设项目期为</w:t>
      </w:r>
      <w:r>
        <w:rPr>
          <w:rFonts w:hint="eastAsia" w:ascii="Times New Roman" w:hAnsi="Times New Roman" w:eastAsia="仿宋_GB2312" w:cs="仿宋_GB2312"/>
          <w:snapToGrid w:val="0"/>
          <w:color w:val="auto"/>
          <w:kern w:val="0"/>
          <w:sz w:val="28"/>
          <w:szCs w:val="28"/>
        </w:rPr>
        <w:t>2021</w:t>
      </w:r>
      <w:r>
        <w:rPr>
          <w:rFonts w:hint="eastAsia"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期不能完成的工程结转到</w:t>
      </w:r>
      <w:r>
        <w:rPr>
          <w:rFonts w:ascii="Times New Roman" w:hAnsi="Times New Roman" w:eastAsia="仿宋_GB2312" w:cs="仿宋_GB2312"/>
          <w:snapToGrid w:val="0"/>
          <w:color w:val="auto"/>
          <w:kern w:val="0"/>
          <w:sz w:val="28"/>
          <w:szCs w:val="28"/>
        </w:rPr>
        <w:t>202</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年以后建设。</w:t>
      </w:r>
    </w:p>
    <w:p w14:paraId="6A14306C">
      <w:pPr>
        <w:pStyle w:val="7"/>
        <w:spacing w:before="120" w:after="120"/>
        <w:rPr>
          <w:color w:val="auto"/>
        </w:rPr>
      </w:pPr>
      <w:bookmarkStart w:id="445" w:name="_Toc279737606"/>
      <w:bookmarkStart w:id="446" w:name="_Toc274839893"/>
      <w:bookmarkStart w:id="447" w:name="_Toc2806"/>
      <w:bookmarkStart w:id="448" w:name="_Toc12449"/>
      <w:bookmarkStart w:id="449" w:name="_Toc7686"/>
      <w:bookmarkStart w:id="450" w:name="_Toc29858"/>
      <w:bookmarkStart w:id="451" w:name="_Toc6646"/>
      <w:bookmarkStart w:id="452" w:name="_Toc1039"/>
      <w:bookmarkStart w:id="453" w:name="_Toc9284"/>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3</w:t>
      </w:r>
      <w:r>
        <w:rPr>
          <w:color w:val="auto"/>
        </w:rPr>
        <w:t xml:space="preserve"> </w:t>
      </w:r>
      <w:bookmarkEnd w:id="445"/>
      <w:bookmarkEnd w:id="446"/>
      <w:r>
        <w:rPr>
          <w:color w:val="auto"/>
        </w:rPr>
        <w:t>资金</w:t>
      </w:r>
      <w:r>
        <w:rPr>
          <w:rFonts w:hint="eastAsia"/>
          <w:color w:val="auto"/>
        </w:rPr>
        <w:t>筹措及</w:t>
      </w:r>
      <w:r>
        <w:rPr>
          <w:color w:val="auto"/>
        </w:rPr>
        <w:t>保障</w:t>
      </w:r>
      <w:bookmarkEnd w:id="447"/>
      <w:bookmarkEnd w:id="448"/>
      <w:bookmarkEnd w:id="449"/>
      <w:bookmarkEnd w:id="450"/>
      <w:bookmarkEnd w:id="451"/>
      <w:bookmarkEnd w:id="452"/>
      <w:bookmarkEnd w:id="453"/>
    </w:p>
    <w:p w14:paraId="725294D0">
      <w:pPr>
        <w:pStyle w:val="37"/>
        <w:rPr>
          <w:rFonts w:ascii="仿宋" w:hAnsi="仿宋" w:eastAsia="仿宋" w:cs="仿宋"/>
          <w:color w:val="auto"/>
        </w:rPr>
      </w:pPr>
      <w:r>
        <w:rPr>
          <w:rFonts w:hint="eastAsia"/>
          <w:color w:val="auto"/>
        </w:rPr>
        <w:t>沁水县</w:t>
      </w:r>
      <w:r>
        <w:rPr>
          <w:rFonts w:hint="eastAsia" w:ascii="仿宋" w:hAnsi="仿宋" w:eastAsia="仿宋" w:cs="仿宋"/>
          <w:color w:val="auto"/>
        </w:rPr>
        <w:t>“十四五”共规划投资</w:t>
      </w:r>
      <w:r>
        <w:rPr>
          <w:rFonts w:hint="eastAsia" w:ascii="Times New Roman" w:hAnsi="Times New Roman" w:eastAsia="仿宋_GB2312" w:cs="仿宋_GB2312"/>
          <w:snapToGrid w:val="0"/>
          <w:color w:val="auto"/>
          <w:kern w:val="0"/>
          <w:sz w:val="28"/>
          <w:szCs w:val="28"/>
          <w:lang w:val="en-US" w:eastAsia="zh-CN"/>
        </w:rPr>
        <w:t>60.709</w:t>
      </w:r>
      <w:r>
        <w:rPr>
          <w:rFonts w:hint="eastAsia" w:ascii="仿宋" w:hAnsi="仿宋" w:eastAsia="仿宋" w:cs="仿宋"/>
          <w:color w:val="auto"/>
        </w:rPr>
        <w:t>亿元，续建投资按已批复投资，拟建项目投资除中央和省级从预算内资金、水利建设资金及其它用于水利建设的财政性资金中安排外，地方也对水利建设投入资金</w:t>
      </w:r>
      <w:r>
        <w:rPr>
          <w:rFonts w:hint="eastAsia"/>
          <w:color w:val="auto"/>
        </w:rPr>
        <w:t>，剩余投资将采取</w:t>
      </w:r>
      <w:r>
        <w:rPr>
          <w:rFonts w:hint="eastAsia"/>
          <w:bCs/>
          <w:color w:val="auto"/>
          <w:kern w:val="44"/>
          <w:szCs w:val="36"/>
        </w:rPr>
        <w:t>采用多渠道的筹资形式，既国家补助、地方为主，受益乡村自筹、社会资本入股等方式进行资金筹措</w:t>
      </w:r>
      <w:r>
        <w:rPr>
          <w:rFonts w:hint="eastAsia" w:ascii="仿宋" w:hAnsi="仿宋" w:eastAsia="仿宋" w:cs="仿宋"/>
          <w:color w:val="auto"/>
        </w:rPr>
        <w:t>，保证我县“十四五”建设的资金投入，加快我县水利事业的发展。</w:t>
      </w:r>
    </w:p>
    <w:p w14:paraId="1A5FB349">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资金筹措方式及保障措施有：</w:t>
      </w:r>
    </w:p>
    <w:p w14:paraId="1AB4DF92">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一是保证政府投入。充分发挥政府在水利建设中的主导作用，根据中央、省、市、县相关政策规定，按照预算编制管理要求予以充分保障；保证土地出让收益</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用于农田水利建设；保证从城市维护建设税中划出不低于</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的比例用于城市防洪排涝和水源工程建设；恢复建立地方水利建设基金。</w:t>
      </w:r>
    </w:p>
    <w:p w14:paraId="218EC45F">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二是创新完善融资模式。充分发挥市场机制作用，通过特许经营、代建、外包等多种形式，引导社会资本投入。综合运用财政和货币政策，积极争取金融机构对水利建设的支持。在充分评估风险的前提下，对已经成熟的水利项目，在上级管理部门的指导和监管下，积极作为，探索</w:t>
      </w:r>
      <w:r>
        <w:rPr>
          <w:rFonts w:hint="eastAsia" w:ascii="Times New Roman" w:hAnsi="Times New Roman" w:eastAsia="仿宋" w:cs="仿宋_GB2312"/>
          <w:snapToGrid w:val="0"/>
          <w:color w:val="auto"/>
          <w:kern w:val="0"/>
          <w:sz w:val="28"/>
          <w:szCs w:val="28"/>
        </w:rPr>
        <w:t>BT</w:t>
      </w:r>
      <w:r>
        <w:rPr>
          <w:rFonts w:hint="eastAsia" w:ascii="仿宋" w:hAnsi="仿宋" w:eastAsia="仿宋" w:cs="仿宋"/>
          <w:snapToGrid w:val="0"/>
          <w:color w:val="auto"/>
          <w:kern w:val="0"/>
          <w:sz w:val="28"/>
          <w:szCs w:val="28"/>
        </w:rPr>
        <w:t>模式、</w:t>
      </w:r>
      <w:r>
        <w:rPr>
          <w:rFonts w:hint="eastAsia" w:ascii="Times New Roman" w:hAnsi="Times New Roman" w:eastAsia="仿宋" w:cs="仿宋_GB2312"/>
          <w:snapToGrid w:val="0"/>
          <w:color w:val="auto"/>
          <w:kern w:val="0"/>
          <w:sz w:val="28"/>
          <w:szCs w:val="28"/>
        </w:rPr>
        <w:t>PPP</w:t>
      </w:r>
      <w:r>
        <w:rPr>
          <w:rFonts w:hint="eastAsia" w:ascii="仿宋" w:hAnsi="仿宋" w:eastAsia="仿宋" w:cs="仿宋"/>
          <w:snapToGrid w:val="0"/>
          <w:color w:val="auto"/>
          <w:kern w:val="0"/>
          <w:sz w:val="28"/>
          <w:szCs w:val="28"/>
        </w:rPr>
        <w:t>模式（</w:t>
      </w:r>
      <w:r>
        <w:rPr>
          <w:rFonts w:ascii="Times New Roman" w:hAnsi="Times New Roman" w:eastAsia="仿宋" w:cs="仿宋_GB2312"/>
          <w:snapToGrid w:val="0"/>
          <w:color w:val="auto"/>
          <w:kern w:val="0"/>
          <w:sz w:val="28"/>
          <w:szCs w:val="28"/>
        </w:rPr>
        <w:t>BOT</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TOT</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创新投融资机制,盘活民间资本投资水利，形成多元化水利投资建设机制。</w:t>
      </w:r>
    </w:p>
    <w:p w14:paraId="44FF4B80">
      <w:pPr>
        <w:pStyle w:val="7"/>
        <w:spacing w:before="120" w:after="120"/>
        <w:rPr>
          <w:color w:val="auto"/>
        </w:rPr>
      </w:pPr>
      <w:bookmarkStart w:id="454" w:name="_Toc12542"/>
      <w:bookmarkStart w:id="455" w:name="_Toc11628"/>
      <w:bookmarkStart w:id="456" w:name="_Toc29340"/>
      <w:bookmarkStart w:id="457" w:name="_Toc3091"/>
      <w:bookmarkStart w:id="458" w:name="_Toc22273"/>
      <w:bookmarkStart w:id="459" w:name="_Toc14738"/>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 xml:space="preserve"> 效益评估</w:t>
      </w:r>
      <w:bookmarkEnd w:id="454"/>
      <w:bookmarkEnd w:id="455"/>
      <w:bookmarkEnd w:id="456"/>
      <w:bookmarkEnd w:id="457"/>
      <w:bookmarkEnd w:id="458"/>
      <w:bookmarkEnd w:id="459"/>
    </w:p>
    <w:p w14:paraId="3A991436">
      <w:pPr>
        <w:pStyle w:val="8"/>
        <w:snapToGrid w:val="0"/>
        <w:spacing w:before="140" w:after="140" w:line="360" w:lineRule="auto"/>
        <w:rPr>
          <w:color w:val="auto"/>
        </w:rPr>
      </w:pPr>
      <w:bookmarkStart w:id="460" w:name="_Toc11904"/>
      <w:bookmarkStart w:id="461" w:name="_Toc7676"/>
      <w:bookmarkStart w:id="462" w:name="_Toc7150"/>
      <w:bookmarkStart w:id="463" w:name="_Toc22036"/>
      <w:bookmarkStart w:id="464" w:name="_Toc3498"/>
      <w:bookmarkStart w:id="465" w:name="_Toc17030"/>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经济效益分析</w:t>
      </w:r>
      <w:bookmarkEnd w:id="460"/>
      <w:bookmarkEnd w:id="461"/>
      <w:bookmarkEnd w:id="462"/>
      <w:bookmarkEnd w:id="463"/>
      <w:bookmarkEnd w:id="464"/>
      <w:bookmarkEnd w:id="465"/>
    </w:p>
    <w:p w14:paraId="2142068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供水效益：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期间通过提水工程的实施，可以增加供水</w:t>
      </w:r>
      <w:r>
        <w:rPr>
          <w:rFonts w:hint="eastAsia" w:ascii="Times New Roman" w:hAnsi="Times New Roman" w:eastAsia="仿宋_GB2312" w:cs="仿宋_GB2312"/>
          <w:snapToGrid w:val="0"/>
          <w:color w:val="auto"/>
          <w:kern w:val="0"/>
          <w:sz w:val="28"/>
          <w:szCs w:val="28"/>
        </w:rPr>
        <w:t>0.139</w:t>
      </w:r>
      <w:r>
        <w:rPr>
          <w:rFonts w:eastAsia="仿宋_GB2312"/>
          <w:snapToGrid w:val="0"/>
          <w:color w:val="auto"/>
          <w:kern w:val="0"/>
          <w:sz w:val="28"/>
          <w:szCs w:val="28"/>
        </w:rPr>
        <w:t>亿</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，其中</w:t>
      </w:r>
      <w:r>
        <w:rPr>
          <w:rFonts w:hint="eastAsia" w:eastAsia="仿宋_GB2312"/>
          <w:snapToGrid w:val="0"/>
          <w:color w:val="auto"/>
          <w:kern w:val="0"/>
          <w:sz w:val="28"/>
          <w:szCs w:val="28"/>
        </w:rPr>
        <w:t>都为</w:t>
      </w:r>
      <w:r>
        <w:rPr>
          <w:rFonts w:eastAsia="仿宋_GB2312"/>
          <w:snapToGrid w:val="0"/>
          <w:color w:val="auto"/>
          <w:kern w:val="0"/>
          <w:sz w:val="28"/>
          <w:szCs w:val="28"/>
        </w:rPr>
        <w:t>生活</w:t>
      </w:r>
      <w:r>
        <w:rPr>
          <w:rFonts w:hint="eastAsia" w:eastAsia="仿宋_GB2312"/>
          <w:snapToGrid w:val="0"/>
          <w:color w:val="auto"/>
          <w:kern w:val="0"/>
          <w:sz w:val="28"/>
          <w:szCs w:val="28"/>
        </w:rPr>
        <w:t>用水。</w:t>
      </w:r>
      <w:r>
        <w:rPr>
          <w:rFonts w:eastAsia="仿宋_GB2312"/>
          <w:snapToGrid w:val="0"/>
          <w:color w:val="auto"/>
          <w:kern w:val="0"/>
          <w:sz w:val="28"/>
          <w:szCs w:val="28"/>
        </w:rPr>
        <w:t>本次供水部分经济效益计算仅考虑生活供水量，农业供水在农业灌溉中进行计算。供水效益等于供水量乘以水价，生活用水水价按照</w:t>
      </w:r>
      <w:r>
        <w:rPr>
          <w:rFonts w:ascii="Times New Roman" w:hAnsi="Times New Roman" w:eastAsia="仿宋_GB2312" w:cs="仿宋_GB2312"/>
          <w:snapToGrid w:val="0"/>
          <w:color w:val="auto"/>
          <w:kern w:val="0"/>
          <w:sz w:val="28"/>
          <w:szCs w:val="28"/>
        </w:rPr>
        <w:t>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计算，总的供水效益为</w:t>
      </w:r>
      <w:r>
        <w:rPr>
          <w:rFonts w:hint="eastAsia" w:ascii="Times New Roman" w:hAnsi="Times New Roman" w:eastAsia="仿宋_GB2312" w:cs="仿宋_GB2312"/>
          <w:snapToGrid w:val="0"/>
          <w:color w:val="auto"/>
          <w:kern w:val="0"/>
          <w:sz w:val="28"/>
          <w:szCs w:val="28"/>
        </w:rPr>
        <w:t>4587</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w:t>
      </w:r>
    </w:p>
    <w:p w14:paraId="7625518E">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农业灌溉：</w:t>
      </w:r>
      <w:r>
        <w:rPr>
          <w:rFonts w:hint="eastAsia" w:eastAsia="仿宋_GB2312"/>
          <w:snapToGrid w:val="0"/>
          <w:color w:val="auto"/>
          <w:kern w:val="0"/>
          <w:sz w:val="28"/>
          <w:szCs w:val="28"/>
        </w:rPr>
        <w:t>我县</w:t>
      </w:r>
      <w:r>
        <w:rPr>
          <w:rFonts w:eastAsia="仿宋_GB2312"/>
          <w:snapToGrid w:val="0"/>
          <w:color w:val="auto"/>
          <w:kern w:val="0"/>
          <w:sz w:val="28"/>
          <w:szCs w:val="28"/>
        </w:rPr>
        <w:t>自然条件优越，水土资源丰富，灌区的建设特别是节水园区和特色农业的发展将对农业生产起到积极的推动作用。</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期间，新增灌溉面积</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68</w:t>
      </w:r>
      <w:r>
        <w:rPr>
          <w:rFonts w:eastAsia="仿宋_GB2312"/>
          <w:snapToGrid w:val="0"/>
          <w:color w:val="auto"/>
          <w:kern w:val="0"/>
          <w:sz w:val="28"/>
          <w:szCs w:val="28"/>
        </w:rPr>
        <w:t>万亩，农田灌溉水有效利用系数达到</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60</w:t>
      </w:r>
      <w:r>
        <w:rPr>
          <w:rFonts w:eastAsia="仿宋_GB2312"/>
          <w:snapToGrid w:val="0"/>
          <w:color w:val="auto"/>
          <w:kern w:val="0"/>
          <w:sz w:val="28"/>
          <w:szCs w:val="28"/>
        </w:rPr>
        <w:t>。经测算水浇地比旱地每年增加收入</w:t>
      </w:r>
      <w:r>
        <w:rPr>
          <w:rFonts w:ascii="Times New Roman" w:hAnsi="Times New Roman" w:eastAsia="仿宋_GB2312" w:cs="仿宋_GB2312"/>
          <w:snapToGrid w:val="0"/>
          <w:color w:val="auto"/>
          <w:kern w:val="0"/>
          <w:sz w:val="28"/>
          <w:szCs w:val="28"/>
        </w:rPr>
        <w:t>600</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亩，采用分摊系数法计算灌溉效益，水利分摊系数取</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eastAsia="仿宋_GB2312"/>
          <w:snapToGrid w:val="0"/>
          <w:color w:val="auto"/>
          <w:kern w:val="0"/>
          <w:sz w:val="28"/>
          <w:szCs w:val="28"/>
        </w:rPr>
        <w:t>，经计算得出农业灌溉年增效益为</w:t>
      </w:r>
      <w:r>
        <w:rPr>
          <w:rFonts w:hint="eastAsia" w:ascii="Times New Roman" w:hAnsi="Times New Roman" w:eastAsia="仿宋_GB2312" w:cs="仿宋_GB2312"/>
          <w:snapToGrid w:val="0"/>
          <w:color w:val="auto"/>
          <w:kern w:val="0"/>
          <w:sz w:val="28"/>
          <w:szCs w:val="28"/>
        </w:rPr>
        <w:t>163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w:t>
      </w:r>
      <w:r>
        <w:rPr>
          <w:rFonts w:eastAsia="仿宋_GB2312"/>
          <w:snapToGrid w:val="0"/>
          <w:color w:val="auto"/>
          <w:kern w:val="0"/>
          <w:sz w:val="28"/>
          <w:szCs w:val="28"/>
        </w:rPr>
        <w:t>万元。</w:t>
      </w:r>
    </w:p>
    <w:p w14:paraId="06AC822D">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水力发电：</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”计划续建电站</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座，装机</w:t>
      </w:r>
      <w:r>
        <w:rPr>
          <w:rFonts w:hint="eastAsia" w:ascii="Times New Roman" w:hAnsi="Times New Roman" w:eastAsia="仿宋_GB2312" w:cs="仿宋_GB2312"/>
          <w:snapToGrid w:val="0"/>
          <w:color w:val="auto"/>
          <w:kern w:val="0"/>
          <w:sz w:val="28"/>
          <w:szCs w:val="28"/>
        </w:rPr>
        <w:t>1000kW</w:t>
      </w:r>
      <w:r>
        <w:rPr>
          <w:rFonts w:hint="eastAsia" w:eastAsia="仿宋_GB2312"/>
          <w:snapToGrid w:val="0"/>
          <w:color w:val="auto"/>
          <w:kern w:val="0"/>
          <w:sz w:val="28"/>
          <w:szCs w:val="28"/>
        </w:rPr>
        <w:t>。</w:t>
      </w:r>
      <w:r>
        <w:rPr>
          <w:rFonts w:hint="eastAsia" w:ascii="仿宋" w:hAnsi="仿宋" w:eastAsia="仿宋" w:cs="仿宋"/>
          <w:color w:val="auto"/>
          <w:kern w:val="0"/>
          <w:sz w:val="28"/>
          <w:szCs w:val="28"/>
        </w:rPr>
        <w:t>“十四五”</w:t>
      </w:r>
      <w:r>
        <w:rPr>
          <w:rFonts w:hint="eastAsia" w:eastAsia="仿宋_GB2312"/>
          <w:snapToGrid w:val="0"/>
          <w:color w:val="auto"/>
          <w:kern w:val="0"/>
          <w:sz w:val="28"/>
          <w:szCs w:val="28"/>
        </w:rPr>
        <w:t>期间完成发电任务</w:t>
      </w:r>
      <w:r>
        <w:rPr>
          <w:rFonts w:hint="eastAsia" w:ascii="Times New Roman" w:hAnsi="Times New Roman" w:eastAsia="仿宋_GB2312" w:cs="仿宋_GB2312"/>
          <w:snapToGrid w:val="0"/>
          <w:color w:val="auto"/>
          <w:kern w:val="0"/>
          <w:sz w:val="28"/>
          <w:szCs w:val="28"/>
        </w:rPr>
        <w:t>1000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度</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年，按照上网电价</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27</w:t>
      </w:r>
      <w:r>
        <w:rPr>
          <w:rFonts w:hint="eastAsia" w:ascii="Times New Roman" w:hAnsi="Times New Roman" w:eastAsia="仿宋_GB2312"/>
          <w:snapToGrid w:val="0"/>
          <w:color w:val="auto"/>
          <w:kern w:val="0"/>
          <w:sz w:val="28"/>
          <w:szCs w:val="28"/>
        </w:rPr>
        <w:t>元/度</w:t>
      </w:r>
      <w:r>
        <w:rPr>
          <w:rFonts w:hint="eastAsia" w:eastAsia="仿宋_GB2312"/>
          <w:snapToGrid w:val="0"/>
          <w:color w:val="auto"/>
          <w:kern w:val="0"/>
          <w:sz w:val="28"/>
          <w:szCs w:val="28"/>
        </w:rPr>
        <w:t>计算，年发电效益</w:t>
      </w:r>
      <w:r>
        <w:rPr>
          <w:rFonts w:hint="eastAsia" w:ascii="Times New Roman" w:hAnsi="Times New Roman" w:eastAsia="仿宋_GB2312" w:cs="仿宋_GB2312"/>
          <w:snapToGrid w:val="0"/>
          <w:color w:val="auto"/>
          <w:kern w:val="0"/>
          <w:sz w:val="28"/>
          <w:szCs w:val="28"/>
        </w:rPr>
        <w:t>270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元。</w:t>
      </w:r>
    </w:p>
    <w:p w14:paraId="234F1DB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综上所述，水利</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期年总效益为</w:t>
      </w:r>
      <w:r>
        <w:rPr>
          <w:rFonts w:hint="eastAsia" w:ascii="Times New Roman" w:hAnsi="Times New Roman" w:eastAsia="仿宋_GB2312" w:cs="仿宋_GB2312"/>
          <w:snapToGrid w:val="0"/>
          <w:color w:val="auto"/>
          <w:kern w:val="0"/>
          <w:sz w:val="28"/>
          <w:szCs w:val="28"/>
        </w:rPr>
        <w:t>5020.2</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元。此外，水利建设还有拉动国家或区域的经济社会发展，并提供新的就业机会，有利于社会稳定，有利于经济繁荣、社会安定等后向效益，此次不作计算。</w:t>
      </w:r>
    </w:p>
    <w:p w14:paraId="507EA66E">
      <w:pPr>
        <w:pStyle w:val="8"/>
        <w:snapToGrid w:val="0"/>
        <w:spacing w:before="140" w:after="140" w:line="360" w:lineRule="auto"/>
        <w:rPr>
          <w:color w:val="auto"/>
        </w:rPr>
      </w:pPr>
      <w:bookmarkStart w:id="466" w:name="_Toc8917"/>
      <w:bookmarkStart w:id="467" w:name="_Toc24228"/>
      <w:bookmarkStart w:id="468" w:name="_Toc21599"/>
      <w:bookmarkStart w:id="469" w:name="_Toc8272"/>
      <w:bookmarkStart w:id="470" w:name="_Toc16523"/>
      <w:bookmarkStart w:id="471" w:name="_Toc22375"/>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2</w:t>
      </w:r>
      <w:r>
        <w:rPr>
          <w:color w:val="auto"/>
        </w:rPr>
        <w:t xml:space="preserve"> 社会效益分析</w:t>
      </w:r>
      <w:bookmarkEnd w:id="466"/>
      <w:bookmarkEnd w:id="467"/>
      <w:bookmarkEnd w:id="468"/>
      <w:bookmarkEnd w:id="469"/>
      <w:bookmarkEnd w:id="470"/>
      <w:bookmarkEnd w:id="471"/>
    </w:p>
    <w:p w14:paraId="682DA2AF">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洪涝灾害频繁是</w:t>
      </w:r>
      <w:r>
        <w:rPr>
          <w:rFonts w:hint="eastAsia" w:eastAsia="仿宋_GB2312"/>
          <w:snapToGrid w:val="0"/>
          <w:color w:val="auto"/>
          <w:kern w:val="0"/>
          <w:sz w:val="28"/>
          <w:szCs w:val="28"/>
        </w:rPr>
        <w:t>我县</w:t>
      </w:r>
      <w:r>
        <w:rPr>
          <w:rFonts w:eastAsia="仿宋_GB2312"/>
          <w:snapToGrid w:val="0"/>
          <w:color w:val="auto"/>
          <w:kern w:val="0"/>
          <w:sz w:val="28"/>
          <w:szCs w:val="28"/>
        </w:rPr>
        <w:t>经济社会发展面临的三大水利问题之一，一旦发生洪灾，其对国民经济的损失是巨大的，历次洪水都给人民带来了巨大损失，仅</w:t>
      </w:r>
      <w:r>
        <w:rPr>
          <w:rFonts w:ascii="Times New Roman" w:hAnsi="Times New Roman" w:eastAsia="仿宋_GB2312" w:cs="仿宋_GB2312"/>
          <w:snapToGrid w:val="0"/>
          <w:color w:val="auto"/>
          <w:kern w:val="0"/>
          <w:sz w:val="28"/>
          <w:szCs w:val="28"/>
        </w:rPr>
        <w:t>1982</w:t>
      </w:r>
      <w:r>
        <w:rPr>
          <w:rFonts w:eastAsia="仿宋_GB2312"/>
          <w:snapToGrid w:val="0"/>
          <w:color w:val="auto"/>
          <w:kern w:val="0"/>
          <w:sz w:val="28"/>
          <w:szCs w:val="28"/>
        </w:rPr>
        <w:t>年特大洪水</w:t>
      </w:r>
      <w:r>
        <w:rPr>
          <w:rFonts w:hint="eastAsia" w:eastAsia="仿宋_GB2312"/>
          <w:snapToGrid w:val="0"/>
          <w:color w:val="auto"/>
          <w:kern w:val="0"/>
          <w:sz w:val="28"/>
          <w:szCs w:val="28"/>
        </w:rPr>
        <w:t>就对</w:t>
      </w:r>
      <w:r>
        <w:rPr>
          <w:rFonts w:eastAsia="仿宋_GB2312"/>
          <w:snapToGrid w:val="0"/>
          <w:color w:val="auto"/>
          <w:kern w:val="0"/>
          <w:sz w:val="28"/>
          <w:szCs w:val="28"/>
        </w:rPr>
        <w:t>沁水县造成</w:t>
      </w:r>
      <w:r>
        <w:rPr>
          <w:rFonts w:hint="eastAsia" w:eastAsia="仿宋_GB2312"/>
          <w:snapToGrid w:val="0"/>
          <w:color w:val="auto"/>
          <w:kern w:val="0"/>
          <w:sz w:val="28"/>
          <w:szCs w:val="28"/>
        </w:rPr>
        <w:t>了严重的</w:t>
      </w:r>
      <w:r>
        <w:rPr>
          <w:rFonts w:eastAsia="仿宋_GB2312"/>
          <w:snapToGrid w:val="0"/>
          <w:color w:val="auto"/>
          <w:kern w:val="0"/>
          <w:sz w:val="28"/>
          <w:szCs w:val="28"/>
        </w:rPr>
        <w:t>经济损失，防洪形势较为严峻。防洪建设工程的实施可有效减免洪水造成的城市内涝灾害，避免因此而引发的社会不稳定问题，同时，防洪治理与环境整治、道路、排污、绿化、美化相结合，为居民创造优美舒适的生产、生活环境，适应构建和谐社会的发展要求。</w:t>
      </w:r>
    </w:p>
    <w:p w14:paraId="3644AA5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饮水安全设施建设可从根本上改善农村居民的生产、生活饮用水卫生条件，使项目区群众能够饮用清洁卫生的安全水，放心水，可以让老百姓真正得到实惠，改善了群众生活卫生条件，提高农村居民的健康状况和生活水平，减少疾病发生。另一方面为农户大力发展种养殖业和农副产品加工及乡镇企业发展起到促进和保障作用，从而加速脱贫致富和农业农村经济发展，为全面建成小康社会奠定了坚实基础。</w:t>
      </w:r>
    </w:p>
    <w:p w14:paraId="00719B59">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节水型社会建设可以加速产业结构调整，使得有限的水资源分配更加合理，有力促进经济社会可持续发展。随着节水机制的逐渐形成、节水制度不断健全，水价会日趋合理，节水工程体系和技术体系会逐步完善，可以实现以水资源的可持续利用，保障社会经济的可持续发展。</w:t>
      </w:r>
    </w:p>
    <w:p w14:paraId="7796753C">
      <w:pPr>
        <w:pStyle w:val="8"/>
        <w:snapToGrid w:val="0"/>
        <w:spacing w:before="140" w:after="140" w:line="360" w:lineRule="auto"/>
        <w:rPr>
          <w:color w:val="auto"/>
        </w:rPr>
      </w:pPr>
      <w:bookmarkStart w:id="472" w:name="_Toc13220"/>
      <w:bookmarkStart w:id="473" w:name="_Toc5038"/>
      <w:bookmarkStart w:id="474" w:name="_Toc8812"/>
      <w:bookmarkStart w:id="475" w:name="_Toc25249"/>
      <w:bookmarkStart w:id="476" w:name="_Toc32260"/>
      <w:bookmarkStart w:id="477" w:name="_Toc16121"/>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3</w:t>
      </w:r>
      <w:r>
        <w:rPr>
          <w:color w:val="auto"/>
        </w:rPr>
        <w:t xml:space="preserve"> 生态环境效益分析</w:t>
      </w:r>
      <w:bookmarkEnd w:id="472"/>
      <w:bookmarkEnd w:id="473"/>
      <w:bookmarkEnd w:id="474"/>
      <w:bookmarkEnd w:id="475"/>
      <w:bookmarkEnd w:id="476"/>
      <w:bookmarkEnd w:id="477"/>
    </w:p>
    <w:p w14:paraId="42CAF87C">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水是自然界最重要的生态环境要素，随着环境污染和生态破坏现象的日益严重，水利建设的生态环境建设和保护作用日益强大。</w:t>
      </w:r>
    </w:p>
    <w:p w14:paraId="6EEF9ED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 xml:space="preserve">实施大水网供水体系配套工程，为提高区域水资源配置能力、促进区域协调发展打下基础，可有效提高城乡供水安全保障程度和抗旱应急能力。加快重要河流及主要支流治理，全面提升防洪减灾能力，保障重点地区防洪安全。实施病险水闸水库除险加固和山洪灾害防治工程建设，为保障人民群众生命财产安全提供基础支撑。 </w:t>
      </w:r>
    </w:p>
    <w:p w14:paraId="02F74505">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通过节水型社会建设和水资源管理及保护，可</w:t>
      </w:r>
      <w:r>
        <w:rPr>
          <w:rFonts w:hint="eastAsia" w:eastAsia="仿宋_GB2312"/>
          <w:snapToGrid w:val="0"/>
          <w:color w:val="auto"/>
          <w:kern w:val="0"/>
          <w:sz w:val="28"/>
          <w:szCs w:val="28"/>
        </w:rPr>
        <w:t>使</w:t>
      </w:r>
      <w:r>
        <w:rPr>
          <w:rFonts w:eastAsia="仿宋_GB2312"/>
          <w:snapToGrid w:val="0"/>
          <w:color w:val="auto"/>
          <w:kern w:val="0"/>
          <w:sz w:val="28"/>
          <w:szCs w:val="28"/>
        </w:rPr>
        <w:t>水资源高效利用，使地表水水生态环境明显改善，水功能区水质达标率不断提高；使地下水超采量明显减少，使得地下水止降回升，逐步实现采补平衡。对生态与经济的同步协调、可持续发展起到积极的促进作用。</w:t>
      </w:r>
    </w:p>
    <w:p w14:paraId="5AB7F02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水利设施工程建设可以巩固水利脱贫攻坚成果，进一步提高农村供水保障程度，进一步改善农村供水条件，提高农村饮水水源稳定性，改善供水水质，提升农村供水安全监管水平。推进抗旱应急水源建设，有力提升区域抗旱应急供水能力。</w:t>
      </w:r>
    </w:p>
    <w:p w14:paraId="1E44CFEA">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土保持生态环境建设可以增加森林覆盖率，增强本区域蓄水、保水、保土量，减少蒸腾、减轻洪水及泥沙危害，保护天然生态。通过充分利用水土资源，使天然生态向良性循环发展，对改善生态环境，减轻水土流失危害，维护国家生态安全有重要的作用。</w:t>
      </w:r>
    </w:p>
    <w:p w14:paraId="710D6566">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开发农村水电和实施小水电代燃料，可解决农民燃料和农村能源问题，增加地表植被的覆盖度，调节空气温、湿度，改善局部地区气候环境，减少温室气体排放。对保证退耕还林还草、提高森林覆盖率，促进天然林保护，保护环境，巩固生态建设成就起着十分重要的作用。</w:t>
      </w:r>
    </w:p>
    <w:p w14:paraId="46DEC568">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蓄水工程的建设能够增加当地的空气湿度，改善库区小气候，改善当地环境。</w:t>
      </w:r>
    </w:p>
    <w:p w14:paraId="0CA93F29">
      <w:pPr>
        <w:pStyle w:val="2"/>
        <w:ind w:firstLine="480"/>
        <w:rPr>
          <w:color w:val="auto"/>
        </w:rPr>
      </w:pPr>
    </w:p>
    <w:p w14:paraId="3287606E">
      <w:pPr>
        <w:pStyle w:val="6"/>
        <w:spacing w:line="360" w:lineRule="auto"/>
        <w:jc w:val="center"/>
        <w:rPr>
          <w:color w:val="auto"/>
        </w:rPr>
      </w:pPr>
      <w:r>
        <w:rPr>
          <w:rFonts w:hint="eastAsia" w:ascii="黑体" w:hAnsi="黑体" w:eastAsia="黑体" w:cs="黑体"/>
          <w:color w:val="auto"/>
          <w:sz w:val="32"/>
          <w:szCs w:val="32"/>
        </w:rPr>
        <w:br w:type="page"/>
      </w:r>
      <w:bookmarkStart w:id="478" w:name="_Toc5040"/>
      <w:bookmarkStart w:id="479" w:name="_Toc14089"/>
      <w:bookmarkStart w:id="480" w:name="_Toc27517"/>
      <w:bookmarkStart w:id="481" w:name="_Toc16093"/>
      <w:r>
        <w:rPr>
          <w:rFonts w:hint="eastAsia"/>
          <w:color w:val="auto"/>
        </w:rPr>
        <w:t>第十</w:t>
      </w:r>
      <w:r>
        <w:rPr>
          <w:rFonts w:hint="eastAsia"/>
          <w:color w:val="auto"/>
          <w:lang w:val="en-US" w:eastAsia="zh-CN"/>
        </w:rPr>
        <w:t>二</w:t>
      </w:r>
      <w:r>
        <w:rPr>
          <w:rFonts w:hint="eastAsia"/>
          <w:color w:val="auto"/>
        </w:rPr>
        <w:t>章  保障措施</w:t>
      </w:r>
      <w:bookmarkEnd w:id="478"/>
      <w:bookmarkEnd w:id="479"/>
      <w:bookmarkEnd w:id="480"/>
      <w:bookmarkEnd w:id="481"/>
    </w:p>
    <w:p w14:paraId="042B36B1">
      <w:pPr>
        <w:pStyle w:val="7"/>
        <w:snapToGrid w:val="0"/>
        <w:spacing w:line="360" w:lineRule="auto"/>
        <w:rPr>
          <w:color w:val="auto"/>
          <w:sz w:val="28"/>
          <w:szCs w:val="28"/>
        </w:rPr>
      </w:pPr>
      <w:bookmarkStart w:id="482" w:name="_Toc706"/>
      <w:bookmarkStart w:id="483" w:name="_Toc5346"/>
      <w:bookmarkStart w:id="484" w:name="_Toc3982"/>
      <w:bookmarkStart w:id="485" w:name="_Toc27098"/>
      <w:bookmarkStart w:id="486" w:name="_Toc447792947"/>
      <w:bookmarkStart w:id="487" w:name="_Toc12439"/>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1</w:t>
      </w:r>
      <w:r>
        <w:rPr>
          <w:rFonts w:hint="eastAsia"/>
          <w:color w:val="auto"/>
          <w:sz w:val="28"/>
          <w:szCs w:val="28"/>
        </w:rPr>
        <w:t xml:space="preserve"> 前期保障</w:t>
      </w:r>
      <w:bookmarkEnd w:id="482"/>
      <w:bookmarkEnd w:id="483"/>
      <w:bookmarkEnd w:id="484"/>
      <w:bookmarkEnd w:id="485"/>
      <w:bookmarkEnd w:id="486"/>
      <w:bookmarkEnd w:id="487"/>
    </w:p>
    <w:p w14:paraId="635C5D00">
      <w:pPr>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我县“十四五”水利改革发展规划应围绕“人民日益增长的美好生活需要和不平衡不充分的发展之间的矛盾”展开，立足水利可持续发展，着力改善民生，适应社会经济发展需求，科学合理实施水利项目前期工作，保证其规划报告编制的科学性、合理性；优化水利技术工作团队，合理配置资源，根据不同技术人员特长及任务特征，配置专业技术力量，强化水利项目编制、执行力度；落实项目前期经费，制定前期经费落实制度，保障前期工作顺利开展；精简优化水利项目审批程序，全面提高审批规范化和服务标准水平，加快审批时效，为水利项目的实施争取时间，抢得先机。</w:t>
      </w:r>
    </w:p>
    <w:p w14:paraId="5745D662">
      <w:pPr>
        <w:pStyle w:val="7"/>
        <w:snapToGrid w:val="0"/>
        <w:spacing w:line="360" w:lineRule="auto"/>
        <w:rPr>
          <w:color w:val="auto"/>
          <w:sz w:val="28"/>
          <w:szCs w:val="28"/>
        </w:rPr>
      </w:pPr>
      <w:bookmarkStart w:id="488" w:name="_Toc447792948"/>
      <w:bookmarkStart w:id="489" w:name="_Toc18109"/>
      <w:bookmarkStart w:id="490" w:name="_Toc662"/>
      <w:bookmarkStart w:id="491" w:name="_Toc3923"/>
      <w:bookmarkStart w:id="492" w:name="_Toc13868"/>
      <w:bookmarkStart w:id="493" w:name="_Toc18762"/>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2</w:t>
      </w:r>
      <w:r>
        <w:rPr>
          <w:rFonts w:hint="eastAsia"/>
          <w:color w:val="auto"/>
          <w:sz w:val="28"/>
          <w:szCs w:val="28"/>
        </w:rPr>
        <w:t xml:space="preserve"> 制度保障</w:t>
      </w:r>
      <w:bookmarkEnd w:id="488"/>
      <w:bookmarkEnd w:id="489"/>
      <w:bookmarkEnd w:id="490"/>
      <w:bookmarkEnd w:id="491"/>
      <w:bookmarkEnd w:id="492"/>
      <w:bookmarkEnd w:id="493"/>
    </w:p>
    <w:p w14:paraId="39494C3B">
      <w:pPr>
        <w:snapToGrid w:val="0"/>
        <w:spacing w:line="360" w:lineRule="auto"/>
        <w:ind w:firstLine="560" w:firstLineChars="200"/>
        <w:rPr>
          <w:rFonts w:eastAsia="仿宋"/>
          <w:snapToGrid w:val="0"/>
          <w:color w:val="auto"/>
          <w:kern w:val="0"/>
          <w:sz w:val="28"/>
          <w:szCs w:val="28"/>
        </w:rPr>
      </w:pPr>
      <w:r>
        <w:rPr>
          <w:rFonts w:hint="eastAsia" w:eastAsia="仿宋"/>
          <w:snapToGrid w:val="0"/>
          <w:color w:val="auto"/>
          <w:sz w:val="28"/>
          <w:szCs w:val="28"/>
        </w:rPr>
        <w:t>建立有效的水资源管理保护监测评估制度，建立适应性管理为原则的动态机制，及时发现实施过程中出现的新问题，提出解决对策，保证规划目标的实现。加强地下水功能区的划分与实施，以集中水源地与重点地区控制方案为管理重点，建立监测监督有效体系,对每个地下水水源地的总量、水位、水质动态管理，甚至对重要地区的地下含水层的管理，充分发挥广大用水户的节水管水自觉性，大幅度提高我县地下水综合管理水平。</w:t>
      </w:r>
    </w:p>
    <w:p w14:paraId="352E4E66">
      <w:pPr>
        <w:pStyle w:val="7"/>
        <w:snapToGrid w:val="0"/>
        <w:spacing w:line="360" w:lineRule="auto"/>
        <w:rPr>
          <w:color w:val="auto"/>
          <w:sz w:val="28"/>
          <w:szCs w:val="28"/>
        </w:rPr>
      </w:pPr>
      <w:bookmarkStart w:id="494" w:name="_Toc30382"/>
      <w:bookmarkStart w:id="495" w:name="_Toc20710"/>
      <w:bookmarkStart w:id="496" w:name="_Toc15278"/>
      <w:bookmarkStart w:id="497" w:name="_Toc11297"/>
      <w:bookmarkStart w:id="498" w:name="_Toc447792949"/>
      <w:bookmarkStart w:id="499" w:name="_Toc3519"/>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3</w:t>
      </w:r>
      <w:r>
        <w:rPr>
          <w:rFonts w:hint="eastAsia"/>
          <w:color w:val="auto"/>
          <w:sz w:val="28"/>
          <w:szCs w:val="28"/>
        </w:rPr>
        <w:t xml:space="preserve"> 科技保障</w:t>
      </w:r>
      <w:bookmarkEnd w:id="494"/>
      <w:bookmarkEnd w:id="495"/>
      <w:bookmarkEnd w:id="496"/>
      <w:bookmarkEnd w:id="497"/>
      <w:bookmarkEnd w:id="498"/>
      <w:bookmarkEnd w:id="499"/>
    </w:p>
    <w:p w14:paraId="233BF427">
      <w:pPr>
        <w:snapToGrid w:val="0"/>
        <w:spacing w:line="360" w:lineRule="auto"/>
        <w:ind w:firstLine="560" w:firstLineChars="200"/>
        <w:rPr>
          <w:rFonts w:eastAsia="仿宋"/>
          <w:snapToGrid w:val="0"/>
          <w:color w:val="auto"/>
          <w:sz w:val="28"/>
          <w:szCs w:val="28"/>
        </w:rPr>
      </w:pPr>
      <w:r>
        <w:rPr>
          <w:rFonts w:eastAsia="仿宋"/>
          <w:snapToGrid w:val="0"/>
          <w:color w:val="auto"/>
          <w:sz w:val="28"/>
          <w:szCs w:val="28"/>
        </w:rPr>
        <w:t>紧密结</w:t>
      </w:r>
      <w:r>
        <w:rPr>
          <w:rFonts w:hint="eastAsia" w:eastAsia="仿宋"/>
          <w:snapToGrid w:val="0"/>
          <w:color w:val="auto"/>
          <w:sz w:val="28"/>
          <w:szCs w:val="28"/>
        </w:rPr>
        <w:t>合节水治水管水兴水新思路</w:t>
      </w:r>
      <w:r>
        <w:rPr>
          <w:rFonts w:eastAsia="仿宋"/>
          <w:snapToGrid w:val="0"/>
          <w:color w:val="auto"/>
          <w:sz w:val="28"/>
          <w:szCs w:val="28"/>
        </w:rPr>
        <w:t>，大力</w:t>
      </w:r>
      <w:r>
        <w:rPr>
          <w:rFonts w:hint="eastAsia" w:eastAsia="仿宋"/>
          <w:snapToGrid w:val="0"/>
          <w:color w:val="auto"/>
          <w:sz w:val="28"/>
          <w:szCs w:val="28"/>
        </w:rPr>
        <w:t>推进</w:t>
      </w:r>
      <w:r>
        <w:rPr>
          <w:rFonts w:eastAsia="仿宋"/>
          <w:snapToGrid w:val="0"/>
          <w:color w:val="auto"/>
          <w:sz w:val="28"/>
          <w:szCs w:val="28"/>
        </w:rPr>
        <w:t>科技创新，</w:t>
      </w:r>
      <w:r>
        <w:rPr>
          <w:rFonts w:hint="eastAsia" w:eastAsia="仿宋"/>
          <w:snapToGrid w:val="0"/>
          <w:color w:val="auto"/>
          <w:sz w:val="28"/>
          <w:szCs w:val="28"/>
        </w:rPr>
        <w:t>充分</w:t>
      </w:r>
      <w:r>
        <w:rPr>
          <w:rFonts w:eastAsia="仿宋"/>
          <w:snapToGrid w:val="0"/>
          <w:color w:val="auto"/>
          <w:sz w:val="28"/>
          <w:szCs w:val="28"/>
        </w:rPr>
        <w:t>利用</w:t>
      </w:r>
      <w:r>
        <w:rPr>
          <w:rFonts w:ascii="Times New Roman" w:hAnsi="Times New Roman" w:eastAsia="仿宋" w:cs="仿宋_GB2312"/>
          <w:snapToGrid w:val="0"/>
          <w:color w:val="auto"/>
          <w:sz w:val="28"/>
          <w:szCs w:val="28"/>
        </w:rPr>
        <w:t>5G</w:t>
      </w:r>
      <w:r>
        <w:rPr>
          <w:rFonts w:hint="eastAsia" w:eastAsia="仿宋"/>
          <w:snapToGrid w:val="0"/>
          <w:color w:val="auto"/>
          <w:sz w:val="28"/>
          <w:szCs w:val="28"/>
        </w:rPr>
        <w:t>、大数据、云平台</w:t>
      </w:r>
      <w:r>
        <w:rPr>
          <w:rFonts w:eastAsia="仿宋"/>
          <w:snapToGrid w:val="0"/>
          <w:color w:val="auto"/>
          <w:sz w:val="28"/>
          <w:szCs w:val="28"/>
        </w:rPr>
        <w:t>改造传统水利，</w:t>
      </w:r>
      <w:r>
        <w:rPr>
          <w:rFonts w:hint="eastAsia" w:eastAsia="仿宋"/>
          <w:snapToGrid w:val="0"/>
          <w:color w:val="auto"/>
          <w:sz w:val="28"/>
          <w:szCs w:val="28"/>
        </w:rPr>
        <w:t>利用科技能力提高</w:t>
      </w:r>
      <w:r>
        <w:rPr>
          <w:rFonts w:eastAsia="仿宋"/>
          <w:snapToGrid w:val="0"/>
          <w:color w:val="auto"/>
          <w:sz w:val="28"/>
          <w:szCs w:val="28"/>
        </w:rPr>
        <w:t>建设与管理</w:t>
      </w:r>
      <w:r>
        <w:rPr>
          <w:rFonts w:hint="eastAsia" w:eastAsia="仿宋"/>
          <w:snapToGrid w:val="0"/>
          <w:color w:val="auto"/>
          <w:sz w:val="28"/>
          <w:szCs w:val="28"/>
        </w:rPr>
        <w:t>水平</w:t>
      </w:r>
      <w:r>
        <w:rPr>
          <w:rFonts w:eastAsia="仿宋"/>
          <w:snapToGrid w:val="0"/>
          <w:color w:val="auto"/>
          <w:sz w:val="28"/>
          <w:szCs w:val="28"/>
        </w:rPr>
        <w:t>。在防汛抗旱减灾方面，从预测预报预警、信息采集，到指挥调度、防汛抢险，广泛采用先进科学技术</w:t>
      </w:r>
      <w:r>
        <w:rPr>
          <w:rFonts w:hint="eastAsia" w:eastAsia="仿宋"/>
          <w:snapToGrid w:val="0"/>
          <w:color w:val="auto"/>
          <w:sz w:val="28"/>
          <w:szCs w:val="28"/>
        </w:rPr>
        <w:t>；</w:t>
      </w:r>
      <w:r>
        <w:rPr>
          <w:rFonts w:eastAsia="仿宋"/>
          <w:snapToGrid w:val="0"/>
          <w:color w:val="auto"/>
          <w:sz w:val="28"/>
          <w:szCs w:val="28"/>
        </w:rPr>
        <w:t>在</w:t>
      </w:r>
      <w:r>
        <w:rPr>
          <w:rFonts w:hint="eastAsia" w:eastAsia="仿宋"/>
          <w:snapToGrid w:val="0"/>
          <w:color w:val="auto"/>
          <w:sz w:val="28"/>
          <w:szCs w:val="28"/>
        </w:rPr>
        <w:t>河道</w:t>
      </w:r>
      <w:r>
        <w:rPr>
          <w:rFonts w:eastAsia="仿宋"/>
          <w:snapToGrid w:val="0"/>
          <w:color w:val="auto"/>
          <w:sz w:val="28"/>
          <w:szCs w:val="28"/>
        </w:rPr>
        <w:t>综合治理方面，加强科学实验，积极推广使用新技术、新材料、新工艺；在水资源</w:t>
      </w:r>
      <w:r>
        <w:rPr>
          <w:rFonts w:hint="eastAsia" w:eastAsia="仿宋"/>
          <w:snapToGrid w:val="0"/>
          <w:color w:val="auto"/>
          <w:sz w:val="28"/>
          <w:szCs w:val="28"/>
        </w:rPr>
        <w:t>管理</w:t>
      </w:r>
      <w:r>
        <w:rPr>
          <w:rFonts w:eastAsia="仿宋"/>
          <w:snapToGrid w:val="0"/>
          <w:color w:val="auto"/>
          <w:sz w:val="28"/>
          <w:szCs w:val="28"/>
        </w:rPr>
        <w:t>和保护方面，</w:t>
      </w:r>
      <w:r>
        <w:rPr>
          <w:rFonts w:hint="eastAsia" w:eastAsia="仿宋"/>
          <w:snapToGrid w:val="0"/>
          <w:color w:val="auto"/>
          <w:sz w:val="28"/>
          <w:szCs w:val="28"/>
        </w:rPr>
        <w:t>加大</w:t>
      </w:r>
      <w:r>
        <w:rPr>
          <w:rFonts w:eastAsia="仿宋"/>
          <w:snapToGrid w:val="0"/>
          <w:color w:val="auto"/>
          <w:sz w:val="28"/>
          <w:szCs w:val="28"/>
        </w:rPr>
        <w:t>新型节水技术及设备</w:t>
      </w:r>
      <w:r>
        <w:rPr>
          <w:rFonts w:hint="eastAsia" w:eastAsia="仿宋"/>
          <w:snapToGrid w:val="0"/>
          <w:color w:val="auto"/>
          <w:sz w:val="28"/>
          <w:szCs w:val="28"/>
        </w:rPr>
        <w:t>使用</w:t>
      </w:r>
      <w:r>
        <w:rPr>
          <w:rFonts w:eastAsia="仿宋"/>
          <w:snapToGrid w:val="0"/>
          <w:color w:val="auto"/>
          <w:sz w:val="28"/>
          <w:szCs w:val="28"/>
        </w:rPr>
        <w:t>，推动</w:t>
      </w:r>
      <w:r>
        <w:rPr>
          <w:rFonts w:hint="eastAsia" w:eastAsia="仿宋"/>
          <w:snapToGrid w:val="0"/>
          <w:color w:val="auto"/>
          <w:sz w:val="28"/>
          <w:szCs w:val="28"/>
        </w:rPr>
        <w:t>全面建成</w:t>
      </w:r>
      <w:r>
        <w:rPr>
          <w:rFonts w:eastAsia="仿宋"/>
          <w:snapToGrid w:val="0"/>
          <w:color w:val="auto"/>
          <w:sz w:val="28"/>
          <w:szCs w:val="28"/>
        </w:rPr>
        <w:t>节水型社会建设</w:t>
      </w:r>
      <w:r>
        <w:rPr>
          <w:rFonts w:hint="eastAsia" w:eastAsia="仿宋"/>
          <w:snapToGrid w:val="0"/>
          <w:color w:val="auto"/>
          <w:sz w:val="28"/>
          <w:szCs w:val="28"/>
        </w:rPr>
        <w:t>；</w:t>
      </w:r>
      <w:r>
        <w:rPr>
          <w:rFonts w:eastAsia="仿宋"/>
          <w:snapToGrid w:val="0"/>
          <w:color w:val="auto"/>
          <w:sz w:val="28"/>
          <w:szCs w:val="28"/>
        </w:rPr>
        <w:t>在农村水利方面，改造传统灌溉技术和设备，优化灌区水资源配置，开展水土保持监测网络和信息系统建设，推广应用农村水电新技术、新产品，加快农村水利的现代化进程</w:t>
      </w:r>
      <w:r>
        <w:rPr>
          <w:rFonts w:hint="eastAsia" w:eastAsia="仿宋"/>
          <w:snapToGrid w:val="0"/>
          <w:color w:val="auto"/>
          <w:sz w:val="28"/>
          <w:szCs w:val="28"/>
        </w:rPr>
        <w:t>；</w:t>
      </w:r>
      <w:r>
        <w:rPr>
          <w:rFonts w:eastAsia="仿宋"/>
          <w:snapToGrid w:val="0"/>
          <w:color w:val="auto"/>
          <w:sz w:val="28"/>
          <w:szCs w:val="28"/>
        </w:rPr>
        <w:t>在水利信息化建设方面，</w:t>
      </w:r>
      <w:r>
        <w:rPr>
          <w:rFonts w:hint="eastAsia" w:eastAsia="仿宋"/>
          <w:snapToGrid w:val="0"/>
          <w:color w:val="auto"/>
          <w:sz w:val="28"/>
          <w:szCs w:val="28"/>
        </w:rPr>
        <w:t>建设智慧水利平台，</w:t>
      </w:r>
      <w:r>
        <w:rPr>
          <w:rFonts w:eastAsia="仿宋"/>
          <w:snapToGrid w:val="0"/>
          <w:color w:val="auto"/>
          <w:sz w:val="28"/>
          <w:szCs w:val="28"/>
        </w:rPr>
        <w:t xml:space="preserve">实现基础数据的实时获取、传输、存储和处理，加快建设水文基础数据库，水利信息公众服务能力明显增强。 </w:t>
      </w:r>
    </w:p>
    <w:p w14:paraId="3CB0876C">
      <w:pPr>
        <w:pStyle w:val="7"/>
        <w:snapToGrid w:val="0"/>
        <w:spacing w:line="360" w:lineRule="auto"/>
        <w:rPr>
          <w:color w:val="auto"/>
          <w:sz w:val="28"/>
          <w:szCs w:val="28"/>
        </w:rPr>
      </w:pPr>
      <w:bookmarkStart w:id="500" w:name="_Toc24455"/>
      <w:bookmarkStart w:id="501" w:name="_Toc8071"/>
      <w:bookmarkStart w:id="502" w:name="_Toc9442"/>
      <w:bookmarkStart w:id="503" w:name="_Toc31035"/>
      <w:bookmarkStart w:id="504" w:name="_Toc447792950"/>
      <w:bookmarkStart w:id="505" w:name="_Toc17603"/>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4</w:t>
      </w:r>
      <w:r>
        <w:rPr>
          <w:rFonts w:hint="eastAsia"/>
          <w:color w:val="auto"/>
          <w:sz w:val="28"/>
          <w:szCs w:val="28"/>
        </w:rPr>
        <w:t xml:space="preserve"> 人才保障</w:t>
      </w:r>
      <w:bookmarkEnd w:id="500"/>
      <w:bookmarkEnd w:id="501"/>
      <w:bookmarkEnd w:id="502"/>
      <w:bookmarkEnd w:id="503"/>
      <w:bookmarkEnd w:id="504"/>
      <w:bookmarkEnd w:id="505"/>
    </w:p>
    <w:p w14:paraId="084D86AF">
      <w:pPr>
        <w:adjustRightInd w:val="0"/>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目前，全县水利系统工作人员共</w:t>
      </w:r>
      <w:r>
        <w:rPr>
          <w:rFonts w:hint="eastAsia" w:ascii="Times New Roman" w:hAnsi="Times New Roman" w:eastAsia="仿宋" w:cs="仿宋_GB2312"/>
          <w:snapToGrid w:val="0"/>
          <w:color w:val="auto"/>
          <w:sz w:val="28"/>
          <w:szCs w:val="28"/>
        </w:rPr>
        <w:t>111</w:t>
      </w:r>
      <w:r>
        <w:rPr>
          <w:rFonts w:hint="eastAsia" w:eastAsia="仿宋"/>
          <w:snapToGrid w:val="0"/>
          <w:color w:val="auto"/>
          <w:sz w:val="28"/>
          <w:szCs w:val="28"/>
        </w:rPr>
        <w:t>人，其中行政人员</w:t>
      </w:r>
      <w:r>
        <w:rPr>
          <w:rFonts w:hint="eastAsia" w:ascii="Times New Roman" w:hAnsi="Times New Roman" w:eastAsia="仿宋" w:cs="仿宋_GB2312"/>
          <w:snapToGrid w:val="0"/>
          <w:color w:val="auto"/>
          <w:sz w:val="28"/>
          <w:szCs w:val="28"/>
        </w:rPr>
        <w:t>6</w:t>
      </w:r>
      <w:r>
        <w:rPr>
          <w:rFonts w:hint="eastAsia" w:eastAsia="仿宋"/>
          <w:snapToGrid w:val="0"/>
          <w:color w:val="auto"/>
          <w:sz w:val="28"/>
          <w:szCs w:val="28"/>
        </w:rPr>
        <w:t>人，专业技术人员</w:t>
      </w:r>
      <w:r>
        <w:rPr>
          <w:rFonts w:hint="eastAsia" w:ascii="Times New Roman" w:hAnsi="Times New Roman" w:eastAsia="仿宋" w:cs="仿宋_GB2312"/>
          <w:snapToGrid w:val="0"/>
          <w:color w:val="auto"/>
          <w:sz w:val="28"/>
          <w:szCs w:val="28"/>
        </w:rPr>
        <w:t>26</w:t>
      </w:r>
      <w:r>
        <w:rPr>
          <w:rFonts w:hint="eastAsia" w:eastAsia="仿宋"/>
          <w:snapToGrid w:val="0"/>
          <w:color w:val="auto"/>
          <w:sz w:val="28"/>
          <w:szCs w:val="28"/>
        </w:rPr>
        <w:t>人，管理人员</w:t>
      </w:r>
      <w:r>
        <w:rPr>
          <w:rFonts w:hint="eastAsia" w:ascii="Times New Roman" w:hAnsi="Times New Roman" w:eastAsia="仿宋" w:cs="仿宋_GB2312"/>
          <w:snapToGrid w:val="0"/>
          <w:color w:val="auto"/>
          <w:sz w:val="28"/>
          <w:szCs w:val="28"/>
        </w:rPr>
        <w:t>10</w:t>
      </w:r>
      <w:r>
        <w:rPr>
          <w:rFonts w:hint="eastAsia" w:eastAsia="仿宋"/>
          <w:snapToGrid w:val="0"/>
          <w:color w:val="auto"/>
          <w:sz w:val="28"/>
          <w:szCs w:val="28"/>
        </w:rPr>
        <w:t>人，工勤技能人员</w:t>
      </w:r>
      <w:r>
        <w:rPr>
          <w:rFonts w:hint="eastAsia" w:ascii="Times New Roman" w:hAnsi="Times New Roman" w:eastAsia="仿宋" w:cs="仿宋_GB2312"/>
          <w:snapToGrid w:val="0"/>
          <w:color w:val="auto"/>
          <w:sz w:val="28"/>
          <w:szCs w:val="28"/>
        </w:rPr>
        <w:t>69</w:t>
      </w:r>
      <w:r>
        <w:rPr>
          <w:rFonts w:hint="eastAsia" w:eastAsia="仿宋"/>
          <w:snapToGrid w:val="0"/>
          <w:color w:val="auto"/>
          <w:sz w:val="28"/>
          <w:szCs w:val="28"/>
        </w:rPr>
        <w:t>人。为了全面实现水利现代化，首先要建立健全人才培养与发展机制。加快工作人员的培训步伐，通过参加培训、专业技能考试、学历提升等方法增强专业技术素养，提高高素质人才比例。组织开展各类教育培训，加快建设人才</w:t>
      </w:r>
      <w:r>
        <w:rPr>
          <w:rFonts w:hint="eastAsia" w:eastAsia="仿宋"/>
          <w:snapToGrid w:val="0"/>
          <w:color w:val="auto"/>
          <w:sz w:val="28"/>
          <w:szCs w:val="28"/>
          <w:lang w:eastAsia="zh-CN"/>
        </w:rPr>
        <w:t>选拔</w:t>
      </w:r>
      <w:r>
        <w:rPr>
          <w:rFonts w:hint="eastAsia" w:eastAsia="仿宋"/>
          <w:snapToGrid w:val="0"/>
          <w:color w:val="auto"/>
          <w:sz w:val="28"/>
          <w:szCs w:val="28"/>
        </w:rPr>
        <w:t>任用机制，强化公平。合理的规范水利系统内部机构及各岗位设置要求，细化每一个岗位的职责及晋升渠道，健全考察制度，紧紧围绕公平、公正的原则，鼓励本单位、局属单位协同参与，实行公开透明、民主监督，公开选拔和任用人才，保证为人才提供一个公平公正的成长平台；再次要加快建设留住人才的人性化环境，保持长效。理顺各个单位的体制机制，特别是编制、待遇等方面，积极解决新进职工的住宿、交通等问题，关心外地职工生活，形成尊才、重才、惜才的环境。要加大人才引进力度，畅通毕业生招聘、社会招聘等多种渠道，引进各类管理人才、专业技术人才，逐渐形成一支管理水平高、技术能力强、支撑水利现代化发展的高素质专业人才队伍。</w:t>
      </w:r>
    </w:p>
    <w:p w14:paraId="4CE75F0A">
      <w:pPr>
        <w:pStyle w:val="7"/>
        <w:snapToGrid w:val="0"/>
        <w:spacing w:line="360" w:lineRule="auto"/>
        <w:rPr>
          <w:color w:val="auto"/>
          <w:sz w:val="28"/>
          <w:szCs w:val="28"/>
        </w:rPr>
      </w:pPr>
      <w:bookmarkStart w:id="506" w:name="_Toc17008"/>
      <w:bookmarkStart w:id="507" w:name="_Toc12584"/>
      <w:bookmarkStart w:id="508" w:name="_Toc18297"/>
      <w:bookmarkStart w:id="509" w:name="_Toc1480"/>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5</w:t>
      </w:r>
      <w:r>
        <w:rPr>
          <w:rFonts w:hint="eastAsia"/>
          <w:color w:val="auto"/>
          <w:sz w:val="28"/>
          <w:szCs w:val="28"/>
        </w:rPr>
        <w:t xml:space="preserve"> 资金保障</w:t>
      </w:r>
      <w:bookmarkEnd w:id="506"/>
      <w:bookmarkEnd w:id="507"/>
      <w:bookmarkEnd w:id="508"/>
      <w:bookmarkEnd w:id="509"/>
    </w:p>
    <w:p w14:paraId="200B7E30">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四五”水利改革发展资金以争取中央、省及市用于各重点水利工程建设的资金为主。通过科学的管理和使用水利专项资金，在加强水利基础设施建设和一些利民的水利建设上发挥其重要的作用，一切以人民群众的更好生活作为指导，才能更好地为人民服务，切实地解决人民群众的困难。在水利资金的投入力度还是相关水利资金的管理和使用上都要做到科学、合理、规范。我国大多数水利建设项目的资金都是政府的投入，而实际上一些地方政府的财政往往也存在着一定的困境，导致了对于申报项目的资金没有得到充分地方落实。由于资金筹集渠道的单一性导致了在水利建设时往往会出现资金不位的现象的发生从而使得一些建设项目不能及时地展开，制约水利建设的进一步发展，从而影响了人民的生活，多渠道筹资，克服水利投资渠道单一的局面。</w:t>
      </w:r>
    </w:p>
    <w:p w14:paraId="03091302">
      <w:pPr>
        <w:pStyle w:val="2"/>
        <w:ind w:firstLine="480"/>
        <w:rPr>
          <w:color w:val="auto"/>
        </w:rPr>
      </w:pPr>
    </w:p>
    <w:p w14:paraId="1FAF014A">
      <w:pPr>
        <w:pStyle w:val="2"/>
        <w:ind w:firstLine="480"/>
        <w:rPr>
          <w:color w:val="auto"/>
        </w:rPr>
      </w:pPr>
    </w:p>
    <w:p w14:paraId="596121E1">
      <w:pPr>
        <w:rPr>
          <w:color w:val="auto"/>
        </w:rPr>
      </w:pPr>
    </w:p>
    <w:p w14:paraId="72C654FD">
      <w:pPr>
        <w:snapToGrid w:val="0"/>
        <w:spacing w:line="360" w:lineRule="auto"/>
        <w:ind w:firstLine="420" w:firstLineChars="200"/>
        <w:rPr>
          <w:color w:val="auto"/>
        </w:rPr>
      </w:pPr>
    </w:p>
    <w:p w14:paraId="64EBC4C1">
      <w:pPr>
        <w:snapToGrid w:val="0"/>
        <w:spacing w:line="560" w:lineRule="exact"/>
        <w:jc w:val="center"/>
        <w:rPr>
          <w:rFonts w:eastAsia="仿宋_GB2312"/>
          <w:b/>
          <w:snapToGrid w:val="0"/>
          <w:color w:val="auto"/>
          <w:kern w:val="0"/>
          <w:sz w:val="28"/>
        </w:rPr>
        <w:sectPr>
          <w:type w:val="continuous"/>
          <w:pgSz w:w="11907" w:h="16840"/>
          <w:pgMar w:top="1418" w:right="1418" w:bottom="1361" w:left="1531" w:header="964" w:footer="964" w:gutter="0"/>
          <w:pgNumType w:fmt="numberInDash"/>
          <w:cols w:space="720" w:num="1"/>
          <w:docGrid w:linePitch="312" w:charSpace="0"/>
        </w:sectPr>
      </w:pPr>
    </w:p>
    <w:p w14:paraId="5D616331">
      <w:pPr>
        <w:pStyle w:val="2"/>
        <w:ind w:firstLine="200"/>
        <w:jc w:val="center"/>
        <w:rPr>
          <w:rFonts w:ascii="仿宋" w:hAnsi="仿宋" w:eastAsia="仿宋" w:cs="仿宋"/>
          <w:color w:val="auto"/>
          <w:sz w:val="10"/>
          <w:szCs w:val="10"/>
        </w:rPr>
      </w:pPr>
    </w:p>
    <w:p w14:paraId="02ABFF50">
      <w:pPr>
        <w:pStyle w:val="2"/>
        <w:ind w:firstLine="560"/>
        <w:jc w:val="center"/>
        <w:rPr>
          <w:color w:val="auto"/>
        </w:rPr>
      </w:pPr>
      <w:r>
        <w:rPr>
          <w:rFonts w:hint="eastAsia" w:ascii="仿宋" w:hAnsi="仿宋" w:eastAsia="仿宋" w:cs="仿宋"/>
          <w:color w:val="auto"/>
          <w:sz w:val="28"/>
          <w:szCs w:val="28"/>
        </w:rPr>
        <w:t>水利发展“十三五”主要目标完成情况表</w:t>
      </w:r>
    </w:p>
    <w:p w14:paraId="5F77582E">
      <w:pPr>
        <w:snapToGrid w:val="0"/>
        <w:spacing w:line="360" w:lineRule="auto"/>
        <w:jc w:val="left"/>
        <w:outlineLvl w:val="0"/>
        <w:rPr>
          <w:rFonts w:eastAsia="仿宋_GB2312"/>
          <w:bCs/>
          <w:snapToGrid w:val="0"/>
          <w:color w:val="auto"/>
          <w:kern w:val="0"/>
          <w:sz w:val="28"/>
        </w:rPr>
      </w:pPr>
      <w:bookmarkStart w:id="510" w:name="_Toc20165"/>
      <w:bookmarkStart w:id="511" w:name="_Toc386"/>
      <w:r>
        <w:rPr>
          <w:rFonts w:hint="eastAsia" w:eastAsia="仿宋_GB2312"/>
          <w:bCs/>
          <w:snapToGrid w:val="0"/>
          <w:color w:val="auto"/>
          <w:kern w:val="0"/>
          <w:sz w:val="28"/>
        </w:rPr>
        <w:t>附表</w:t>
      </w:r>
      <w:r>
        <w:rPr>
          <w:rFonts w:ascii="Times New Roman" w:hAnsi="Times New Roman" w:eastAsia="仿宋_GB2312" w:cs="仿宋_GB2312"/>
          <w:bCs/>
          <w:snapToGrid w:val="0"/>
          <w:color w:val="auto"/>
          <w:kern w:val="0"/>
          <w:sz w:val="28"/>
        </w:rPr>
        <w:t>1</w:t>
      </w:r>
      <w:bookmarkEnd w:id="510"/>
      <w:bookmarkEnd w:id="511"/>
    </w:p>
    <w:tbl>
      <w:tblPr>
        <w:tblStyle w:val="22"/>
        <w:tblW w:w="9174" w:type="dxa"/>
        <w:tblInd w:w="0" w:type="dxa"/>
        <w:tblLayout w:type="fixed"/>
        <w:tblCellMar>
          <w:top w:w="0" w:type="dxa"/>
          <w:left w:w="108" w:type="dxa"/>
          <w:bottom w:w="0" w:type="dxa"/>
          <w:right w:w="108" w:type="dxa"/>
        </w:tblCellMar>
      </w:tblPr>
      <w:tblGrid>
        <w:gridCol w:w="737"/>
        <w:gridCol w:w="2932"/>
        <w:gridCol w:w="1101"/>
        <w:gridCol w:w="2446"/>
        <w:gridCol w:w="1958"/>
      </w:tblGrid>
      <w:tr w14:paraId="64BA6B0A">
        <w:tblPrEx>
          <w:tblCellMar>
            <w:top w:w="0" w:type="dxa"/>
            <w:left w:w="108" w:type="dxa"/>
            <w:bottom w:w="0" w:type="dxa"/>
            <w:right w:w="108" w:type="dxa"/>
          </w:tblCellMar>
        </w:tblPrEx>
        <w:trPr>
          <w:trHeight w:val="482" w:hRule="atLeast"/>
        </w:trPr>
        <w:tc>
          <w:tcPr>
            <w:tcW w:w="737" w:type="dxa"/>
            <w:tcBorders>
              <w:top w:val="single" w:color="auto" w:sz="4" w:space="0"/>
              <w:left w:val="single" w:color="auto" w:sz="4" w:space="0"/>
              <w:bottom w:val="single" w:color="auto" w:sz="4" w:space="0"/>
              <w:right w:val="single" w:color="auto" w:sz="4" w:space="0"/>
            </w:tcBorders>
            <w:vAlign w:val="center"/>
          </w:tcPr>
          <w:p w14:paraId="1185C080">
            <w:pPr>
              <w:widowControl/>
              <w:jc w:val="center"/>
              <w:rPr>
                <w:rFonts w:eastAsia="仿宋_GB2312"/>
                <w:color w:val="auto"/>
                <w:kern w:val="0"/>
                <w:sz w:val="24"/>
              </w:rPr>
            </w:pPr>
            <w:r>
              <w:rPr>
                <w:rFonts w:eastAsia="仿宋_GB2312"/>
                <w:color w:val="auto"/>
                <w:kern w:val="0"/>
                <w:sz w:val="24"/>
              </w:rPr>
              <w:t>序号</w:t>
            </w:r>
          </w:p>
        </w:tc>
        <w:tc>
          <w:tcPr>
            <w:tcW w:w="2932" w:type="dxa"/>
            <w:tcBorders>
              <w:top w:val="single" w:color="auto" w:sz="4" w:space="0"/>
              <w:left w:val="nil"/>
              <w:bottom w:val="single" w:color="auto" w:sz="4" w:space="0"/>
              <w:right w:val="single" w:color="auto" w:sz="4" w:space="0"/>
            </w:tcBorders>
            <w:vAlign w:val="center"/>
          </w:tcPr>
          <w:p w14:paraId="7B714A6D">
            <w:pPr>
              <w:widowControl/>
              <w:jc w:val="center"/>
              <w:rPr>
                <w:rFonts w:eastAsia="仿宋_GB2312"/>
                <w:color w:val="auto"/>
                <w:kern w:val="0"/>
                <w:sz w:val="24"/>
              </w:rPr>
            </w:pPr>
            <w:r>
              <w:rPr>
                <w:rFonts w:eastAsia="仿宋_GB2312"/>
                <w:color w:val="auto"/>
                <w:kern w:val="0"/>
                <w:sz w:val="24"/>
              </w:rPr>
              <w:t>项   目</w:t>
            </w:r>
          </w:p>
        </w:tc>
        <w:tc>
          <w:tcPr>
            <w:tcW w:w="1101" w:type="dxa"/>
            <w:tcBorders>
              <w:top w:val="single" w:color="auto" w:sz="4" w:space="0"/>
              <w:left w:val="nil"/>
              <w:bottom w:val="single" w:color="auto" w:sz="4" w:space="0"/>
              <w:right w:val="single" w:color="auto" w:sz="4" w:space="0"/>
            </w:tcBorders>
            <w:vAlign w:val="center"/>
          </w:tcPr>
          <w:p w14:paraId="384F9909">
            <w:pPr>
              <w:widowControl/>
              <w:jc w:val="center"/>
              <w:rPr>
                <w:rFonts w:eastAsia="仿宋_GB2312"/>
                <w:color w:val="auto"/>
                <w:kern w:val="0"/>
                <w:sz w:val="24"/>
              </w:rPr>
            </w:pPr>
            <w:r>
              <w:rPr>
                <w:rFonts w:eastAsia="仿宋_GB2312"/>
                <w:color w:val="auto"/>
                <w:kern w:val="0"/>
                <w:sz w:val="24"/>
              </w:rPr>
              <w:t>单位</w:t>
            </w:r>
          </w:p>
        </w:tc>
        <w:tc>
          <w:tcPr>
            <w:tcW w:w="2446" w:type="dxa"/>
            <w:tcBorders>
              <w:top w:val="single" w:color="auto" w:sz="4" w:space="0"/>
              <w:left w:val="nil"/>
              <w:bottom w:val="single" w:color="auto" w:sz="4" w:space="0"/>
              <w:right w:val="single" w:color="auto" w:sz="4" w:space="0"/>
            </w:tcBorders>
            <w:vAlign w:val="center"/>
          </w:tcPr>
          <w:p w14:paraId="6CAEEAB9">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hint="eastAsia" w:eastAsia="仿宋_GB2312"/>
                <w:color w:val="auto"/>
                <w:kern w:val="0"/>
                <w:sz w:val="24"/>
                <w:lang w:val="en-US" w:eastAsia="zh-CN"/>
              </w:rPr>
              <w:t>规划</w:t>
            </w:r>
            <w:r>
              <w:rPr>
                <w:rFonts w:eastAsia="仿宋_GB2312"/>
                <w:color w:val="auto"/>
                <w:kern w:val="0"/>
                <w:sz w:val="24"/>
              </w:rPr>
              <w:t>目标</w:t>
            </w:r>
          </w:p>
        </w:tc>
        <w:tc>
          <w:tcPr>
            <w:tcW w:w="1958" w:type="dxa"/>
            <w:tcBorders>
              <w:top w:val="single" w:color="auto" w:sz="4" w:space="0"/>
              <w:left w:val="nil"/>
              <w:bottom w:val="single" w:color="auto" w:sz="4" w:space="0"/>
              <w:right w:val="single" w:color="auto" w:sz="4" w:space="0"/>
            </w:tcBorders>
            <w:vAlign w:val="center"/>
          </w:tcPr>
          <w:p w14:paraId="70CED33E">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eastAsia="仿宋_GB2312"/>
                <w:color w:val="auto"/>
                <w:kern w:val="0"/>
                <w:sz w:val="24"/>
              </w:rPr>
              <w:t>完成</w:t>
            </w:r>
          </w:p>
        </w:tc>
      </w:tr>
      <w:tr w14:paraId="01F4A238">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057DA400">
            <w:pPr>
              <w:widowControl/>
              <w:jc w:val="center"/>
              <w:rPr>
                <w:rFonts w:eastAsia="仿宋_GB2312"/>
                <w:b/>
                <w:bCs/>
                <w:color w:val="auto"/>
                <w:kern w:val="0"/>
                <w:sz w:val="24"/>
              </w:rPr>
            </w:pPr>
            <w:r>
              <w:rPr>
                <w:rFonts w:eastAsia="仿宋_GB2312"/>
                <w:b/>
                <w:bCs/>
                <w:color w:val="auto"/>
                <w:kern w:val="0"/>
                <w:sz w:val="24"/>
              </w:rPr>
              <w:t>一</w:t>
            </w:r>
          </w:p>
        </w:tc>
        <w:tc>
          <w:tcPr>
            <w:tcW w:w="2932" w:type="dxa"/>
            <w:tcBorders>
              <w:top w:val="nil"/>
              <w:left w:val="nil"/>
              <w:bottom w:val="single" w:color="auto" w:sz="4" w:space="0"/>
              <w:right w:val="single" w:color="auto" w:sz="4" w:space="0"/>
            </w:tcBorders>
            <w:vAlign w:val="center"/>
          </w:tcPr>
          <w:p w14:paraId="62FF4B3A">
            <w:pPr>
              <w:widowControl/>
              <w:rPr>
                <w:rFonts w:eastAsia="仿宋_GB2312"/>
                <w:b/>
                <w:bCs/>
                <w:color w:val="auto"/>
                <w:kern w:val="0"/>
                <w:sz w:val="24"/>
              </w:rPr>
            </w:pPr>
            <w:r>
              <w:rPr>
                <w:rFonts w:eastAsia="仿宋_GB2312"/>
                <w:b/>
                <w:bCs/>
                <w:color w:val="auto"/>
                <w:kern w:val="0"/>
                <w:sz w:val="24"/>
              </w:rPr>
              <w:t>水资源开发利用</w:t>
            </w:r>
          </w:p>
        </w:tc>
        <w:tc>
          <w:tcPr>
            <w:tcW w:w="1101" w:type="dxa"/>
            <w:tcBorders>
              <w:top w:val="nil"/>
              <w:left w:val="nil"/>
              <w:bottom w:val="single" w:color="auto" w:sz="4" w:space="0"/>
              <w:right w:val="single" w:color="auto" w:sz="4" w:space="0"/>
            </w:tcBorders>
            <w:vAlign w:val="center"/>
          </w:tcPr>
          <w:p w14:paraId="14577F73">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5342BFB5">
            <w:pPr>
              <w:widowControl/>
              <w:jc w:val="left"/>
              <w:rPr>
                <w:color w:val="auto"/>
                <w:kern w:val="0"/>
                <w:sz w:val="24"/>
              </w:rPr>
            </w:pPr>
            <w:r>
              <w:rPr>
                <w:color w:val="auto"/>
                <w:kern w:val="0"/>
                <w:sz w:val="24"/>
              </w:rPr>
              <w:t>　</w:t>
            </w:r>
          </w:p>
        </w:tc>
        <w:tc>
          <w:tcPr>
            <w:tcW w:w="1958" w:type="dxa"/>
            <w:tcBorders>
              <w:top w:val="nil"/>
              <w:left w:val="nil"/>
              <w:bottom w:val="single" w:color="auto" w:sz="4" w:space="0"/>
              <w:right w:val="single" w:color="auto" w:sz="4" w:space="0"/>
            </w:tcBorders>
            <w:vAlign w:val="center"/>
          </w:tcPr>
          <w:p w14:paraId="315B791F">
            <w:pPr>
              <w:widowControl/>
              <w:jc w:val="left"/>
              <w:rPr>
                <w:color w:val="auto"/>
                <w:kern w:val="0"/>
                <w:sz w:val="24"/>
              </w:rPr>
            </w:pPr>
            <w:r>
              <w:rPr>
                <w:color w:val="auto"/>
                <w:kern w:val="0"/>
                <w:sz w:val="24"/>
              </w:rPr>
              <w:t>　</w:t>
            </w:r>
          </w:p>
        </w:tc>
      </w:tr>
      <w:tr w14:paraId="104925A9">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DA0271B">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14:paraId="39F7D741">
            <w:pPr>
              <w:widowControl/>
              <w:rPr>
                <w:rFonts w:eastAsia="仿宋_GB2312"/>
                <w:color w:val="auto"/>
                <w:kern w:val="0"/>
                <w:sz w:val="24"/>
              </w:rPr>
            </w:pPr>
            <w:r>
              <w:rPr>
                <w:rFonts w:eastAsia="仿宋_GB2312"/>
                <w:color w:val="auto"/>
                <w:kern w:val="0"/>
                <w:sz w:val="24"/>
              </w:rPr>
              <w:t>总供水能力</w:t>
            </w:r>
          </w:p>
        </w:tc>
        <w:tc>
          <w:tcPr>
            <w:tcW w:w="1101" w:type="dxa"/>
            <w:tcBorders>
              <w:top w:val="nil"/>
              <w:left w:val="nil"/>
              <w:bottom w:val="single" w:color="auto" w:sz="4" w:space="0"/>
              <w:right w:val="single" w:color="auto" w:sz="4" w:space="0"/>
            </w:tcBorders>
            <w:vAlign w:val="center"/>
          </w:tcPr>
          <w:p w14:paraId="40C7DACD">
            <w:pPr>
              <w:widowControl/>
              <w:jc w:val="center"/>
              <w:rPr>
                <w:rFonts w:eastAsia="仿宋_GB2312"/>
                <w:color w:val="auto"/>
                <w:kern w:val="0"/>
                <w:sz w:val="24"/>
              </w:rPr>
            </w:pPr>
            <w:r>
              <w:rPr>
                <w:rFonts w:hint="eastAsia"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56009EF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93</w:t>
            </w:r>
          </w:p>
        </w:tc>
        <w:tc>
          <w:tcPr>
            <w:tcW w:w="1958" w:type="dxa"/>
            <w:tcBorders>
              <w:top w:val="nil"/>
              <w:left w:val="nil"/>
              <w:bottom w:val="single" w:color="auto" w:sz="4" w:space="0"/>
              <w:right w:val="single" w:color="auto" w:sz="4" w:space="0"/>
            </w:tcBorders>
            <w:vAlign w:val="center"/>
          </w:tcPr>
          <w:p w14:paraId="5C4C650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76</w:t>
            </w:r>
          </w:p>
        </w:tc>
      </w:tr>
      <w:tr w14:paraId="28FAC7F9">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448B8D4">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14:paraId="4DA20E9C">
            <w:pPr>
              <w:widowControl/>
              <w:rPr>
                <w:rFonts w:eastAsia="仿宋_GB2312"/>
                <w:color w:val="auto"/>
                <w:kern w:val="0"/>
                <w:sz w:val="24"/>
              </w:rPr>
            </w:pPr>
            <w:r>
              <w:rPr>
                <w:rFonts w:eastAsia="仿宋_GB2312"/>
                <w:color w:val="auto"/>
                <w:kern w:val="0"/>
                <w:sz w:val="24"/>
              </w:rPr>
              <w:t>城市供水能力</w:t>
            </w:r>
          </w:p>
        </w:tc>
        <w:tc>
          <w:tcPr>
            <w:tcW w:w="1101" w:type="dxa"/>
            <w:tcBorders>
              <w:top w:val="nil"/>
              <w:left w:val="nil"/>
              <w:bottom w:val="single" w:color="auto" w:sz="4" w:space="0"/>
              <w:right w:val="single" w:color="auto" w:sz="4" w:space="0"/>
            </w:tcBorders>
            <w:vAlign w:val="center"/>
          </w:tcPr>
          <w:p w14:paraId="21BDE165">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2D04B92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62</w:t>
            </w:r>
          </w:p>
        </w:tc>
        <w:tc>
          <w:tcPr>
            <w:tcW w:w="1958" w:type="dxa"/>
            <w:tcBorders>
              <w:top w:val="nil"/>
              <w:left w:val="nil"/>
              <w:bottom w:val="single" w:color="auto" w:sz="4" w:space="0"/>
              <w:right w:val="single" w:color="auto" w:sz="4" w:space="0"/>
            </w:tcBorders>
            <w:vAlign w:val="center"/>
          </w:tcPr>
          <w:p w14:paraId="3B1FEF7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14:paraId="67BF1C6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23715EF">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3</w:t>
            </w:r>
          </w:p>
        </w:tc>
        <w:tc>
          <w:tcPr>
            <w:tcW w:w="2932" w:type="dxa"/>
            <w:tcBorders>
              <w:top w:val="nil"/>
              <w:left w:val="nil"/>
              <w:bottom w:val="single" w:color="auto" w:sz="4" w:space="0"/>
              <w:right w:val="single" w:color="auto" w:sz="4" w:space="0"/>
            </w:tcBorders>
            <w:vAlign w:val="center"/>
          </w:tcPr>
          <w:p w14:paraId="7DE3C221">
            <w:pPr>
              <w:widowControl/>
              <w:rPr>
                <w:rFonts w:eastAsia="仿宋_GB2312"/>
                <w:color w:val="auto"/>
                <w:kern w:val="0"/>
                <w:sz w:val="24"/>
              </w:rPr>
            </w:pPr>
            <w:r>
              <w:rPr>
                <w:rFonts w:eastAsia="仿宋_GB2312"/>
                <w:color w:val="auto"/>
                <w:kern w:val="0"/>
                <w:sz w:val="24"/>
              </w:rPr>
              <w:t>乡镇供水能力</w:t>
            </w:r>
          </w:p>
        </w:tc>
        <w:tc>
          <w:tcPr>
            <w:tcW w:w="1101" w:type="dxa"/>
            <w:tcBorders>
              <w:top w:val="nil"/>
              <w:left w:val="nil"/>
              <w:bottom w:val="single" w:color="auto" w:sz="4" w:space="0"/>
              <w:right w:val="single" w:color="auto" w:sz="4" w:space="0"/>
            </w:tcBorders>
            <w:vAlign w:val="center"/>
          </w:tcPr>
          <w:p w14:paraId="03258D7B">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0381E0E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w:t>
            </w:r>
          </w:p>
        </w:tc>
        <w:tc>
          <w:tcPr>
            <w:tcW w:w="1958" w:type="dxa"/>
            <w:tcBorders>
              <w:top w:val="nil"/>
              <w:left w:val="nil"/>
              <w:bottom w:val="single" w:color="auto" w:sz="4" w:space="0"/>
              <w:right w:val="single" w:color="auto" w:sz="4" w:space="0"/>
            </w:tcBorders>
            <w:vAlign w:val="center"/>
          </w:tcPr>
          <w:p w14:paraId="79AA797D">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14:paraId="17D54241">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016D6925">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二</w:t>
            </w:r>
          </w:p>
        </w:tc>
        <w:tc>
          <w:tcPr>
            <w:tcW w:w="2932" w:type="dxa"/>
            <w:tcBorders>
              <w:top w:val="nil"/>
              <w:left w:val="nil"/>
              <w:bottom w:val="single" w:color="auto" w:sz="4" w:space="0"/>
              <w:right w:val="single" w:color="auto" w:sz="4" w:space="0"/>
            </w:tcBorders>
            <w:vAlign w:val="center"/>
          </w:tcPr>
          <w:p w14:paraId="30708E71">
            <w:pPr>
              <w:widowControl/>
              <w:rPr>
                <w:rFonts w:eastAsia="仿宋_GB2312"/>
                <w:b/>
                <w:bCs/>
                <w:color w:val="auto"/>
                <w:kern w:val="0"/>
                <w:sz w:val="24"/>
              </w:rPr>
            </w:pPr>
            <w:r>
              <w:rPr>
                <w:rFonts w:eastAsia="仿宋_GB2312"/>
                <w:b/>
                <w:bCs/>
                <w:color w:val="auto"/>
                <w:kern w:val="0"/>
                <w:sz w:val="24"/>
              </w:rPr>
              <w:t>农村</w:t>
            </w:r>
            <w:r>
              <w:rPr>
                <w:rFonts w:hint="eastAsia" w:eastAsia="仿宋_GB2312"/>
                <w:b/>
                <w:bCs/>
                <w:color w:val="auto"/>
                <w:kern w:val="0"/>
                <w:sz w:val="24"/>
              </w:rPr>
              <w:t>水利</w:t>
            </w:r>
          </w:p>
        </w:tc>
        <w:tc>
          <w:tcPr>
            <w:tcW w:w="1101" w:type="dxa"/>
            <w:tcBorders>
              <w:top w:val="nil"/>
              <w:left w:val="nil"/>
              <w:bottom w:val="single" w:color="auto" w:sz="4" w:space="0"/>
              <w:right w:val="single" w:color="auto" w:sz="4" w:space="0"/>
            </w:tcBorders>
            <w:vAlign w:val="center"/>
          </w:tcPr>
          <w:p w14:paraId="4F57C805">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1A53FBCE">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15723CB1">
            <w:pPr>
              <w:widowControl/>
              <w:jc w:val="left"/>
              <w:rPr>
                <w:rFonts w:ascii="Times New Roman" w:hAnsi="Times New Roman"/>
                <w:color w:val="auto"/>
                <w:kern w:val="0"/>
                <w:sz w:val="24"/>
              </w:rPr>
            </w:pPr>
          </w:p>
        </w:tc>
      </w:tr>
      <w:tr w14:paraId="1E5BC53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73F85BE">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4</w:t>
            </w:r>
          </w:p>
        </w:tc>
        <w:tc>
          <w:tcPr>
            <w:tcW w:w="2932" w:type="dxa"/>
            <w:tcBorders>
              <w:top w:val="nil"/>
              <w:left w:val="nil"/>
              <w:bottom w:val="single" w:color="auto" w:sz="4" w:space="0"/>
              <w:right w:val="single" w:color="auto" w:sz="4" w:space="0"/>
            </w:tcBorders>
            <w:vAlign w:val="center"/>
          </w:tcPr>
          <w:p w14:paraId="136A8D6C">
            <w:pPr>
              <w:widowControl/>
              <w:rPr>
                <w:rFonts w:eastAsia="仿宋_GB2312"/>
                <w:color w:val="auto"/>
                <w:kern w:val="0"/>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101" w:type="dxa"/>
            <w:tcBorders>
              <w:top w:val="nil"/>
              <w:left w:val="nil"/>
              <w:bottom w:val="single" w:color="auto" w:sz="4" w:space="0"/>
              <w:right w:val="single" w:color="auto" w:sz="4" w:space="0"/>
            </w:tcBorders>
            <w:vAlign w:val="center"/>
          </w:tcPr>
          <w:p w14:paraId="484433B9">
            <w:pPr>
              <w:widowControl/>
              <w:jc w:val="center"/>
              <w:rPr>
                <w:rFonts w:eastAsia="仿宋_GB2312"/>
                <w:color w:val="auto"/>
                <w:kern w:val="0"/>
                <w:sz w:val="24"/>
              </w:rPr>
            </w:pPr>
            <w:r>
              <w:rPr>
                <w:rFonts w:eastAsia="仿宋_GB2312"/>
                <w:color w:val="auto"/>
                <w:kern w:val="0"/>
                <w:sz w:val="24"/>
              </w:rPr>
              <w:t>万人</w:t>
            </w:r>
          </w:p>
        </w:tc>
        <w:tc>
          <w:tcPr>
            <w:tcW w:w="2446" w:type="dxa"/>
            <w:tcBorders>
              <w:top w:val="nil"/>
              <w:left w:val="nil"/>
              <w:bottom w:val="single" w:color="auto" w:sz="4" w:space="0"/>
              <w:right w:val="single" w:color="auto" w:sz="4" w:space="0"/>
            </w:tcBorders>
            <w:vAlign w:val="center"/>
          </w:tcPr>
          <w:p w14:paraId="26A6AF75">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035</w:t>
            </w:r>
          </w:p>
        </w:tc>
        <w:tc>
          <w:tcPr>
            <w:tcW w:w="1958" w:type="dxa"/>
            <w:tcBorders>
              <w:top w:val="nil"/>
              <w:left w:val="nil"/>
              <w:bottom w:val="single" w:color="auto" w:sz="4" w:space="0"/>
              <w:right w:val="single" w:color="auto" w:sz="4" w:space="0"/>
            </w:tcBorders>
            <w:vAlign w:val="center"/>
          </w:tcPr>
          <w:p w14:paraId="3E2751C8">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14:paraId="441791DB">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133BA28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w:t>
            </w:r>
          </w:p>
        </w:tc>
        <w:tc>
          <w:tcPr>
            <w:tcW w:w="2932" w:type="dxa"/>
            <w:tcBorders>
              <w:top w:val="nil"/>
              <w:left w:val="nil"/>
              <w:bottom w:val="single" w:color="auto" w:sz="4" w:space="0"/>
              <w:right w:val="single" w:color="auto" w:sz="4" w:space="0"/>
            </w:tcBorders>
            <w:vAlign w:val="center"/>
          </w:tcPr>
          <w:p w14:paraId="00AC6CAC">
            <w:pPr>
              <w:widowControl/>
              <w:rPr>
                <w:rFonts w:eastAsia="仿宋_GB2312"/>
                <w:color w:val="auto"/>
                <w:kern w:val="0"/>
                <w:sz w:val="24"/>
              </w:rPr>
            </w:pPr>
            <w:r>
              <w:rPr>
                <w:rFonts w:eastAsia="仿宋_GB2312"/>
                <w:color w:val="auto"/>
                <w:kern w:val="0"/>
                <w:sz w:val="24"/>
              </w:rPr>
              <w:t>饮水</w:t>
            </w:r>
            <w:r>
              <w:rPr>
                <w:rFonts w:hint="eastAsia" w:eastAsia="仿宋_GB2312"/>
                <w:color w:val="auto"/>
                <w:kern w:val="0"/>
                <w:sz w:val="24"/>
              </w:rPr>
              <w:t>安全工程</w:t>
            </w:r>
          </w:p>
        </w:tc>
        <w:tc>
          <w:tcPr>
            <w:tcW w:w="1101" w:type="dxa"/>
            <w:tcBorders>
              <w:top w:val="nil"/>
              <w:left w:val="nil"/>
              <w:bottom w:val="single" w:color="auto" w:sz="4" w:space="0"/>
              <w:right w:val="single" w:color="auto" w:sz="4" w:space="0"/>
            </w:tcBorders>
            <w:vAlign w:val="center"/>
          </w:tcPr>
          <w:p w14:paraId="3110753E">
            <w:pPr>
              <w:widowControl/>
              <w:jc w:val="center"/>
              <w:rPr>
                <w:rFonts w:eastAsia="仿宋_GB2312"/>
                <w:color w:val="auto"/>
                <w:kern w:val="0"/>
                <w:sz w:val="24"/>
              </w:rPr>
            </w:pPr>
            <w:r>
              <w:rPr>
                <w:rFonts w:hint="eastAsia" w:ascii="仿宋_GB2312" w:hAnsi="仿宋_GB2312" w:eastAsia="仿宋_GB2312"/>
                <w:color w:val="auto"/>
                <w:sz w:val="24"/>
              </w:rPr>
              <w:t>处</w:t>
            </w:r>
          </w:p>
        </w:tc>
        <w:tc>
          <w:tcPr>
            <w:tcW w:w="2446" w:type="dxa"/>
            <w:tcBorders>
              <w:top w:val="nil"/>
              <w:left w:val="nil"/>
              <w:bottom w:val="single" w:color="auto" w:sz="4" w:space="0"/>
              <w:right w:val="single" w:color="auto" w:sz="4" w:space="0"/>
            </w:tcBorders>
            <w:vAlign w:val="center"/>
          </w:tcPr>
          <w:p w14:paraId="7B69BF58">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66</w:t>
            </w:r>
          </w:p>
        </w:tc>
        <w:tc>
          <w:tcPr>
            <w:tcW w:w="1958" w:type="dxa"/>
            <w:tcBorders>
              <w:top w:val="nil"/>
              <w:left w:val="nil"/>
              <w:bottom w:val="single" w:color="auto" w:sz="4" w:space="0"/>
              <w:right w:val="single" w:color="auto" w:sz="4" w:space="0"/>
            </w:tcBorders>
            <w:vAlign w:val="center"/>
          </w:tcPr>
          <w:p w14:paraId="5D1BE213">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280</w:t>
            </w:r>
          </w:p>
        </w:tc>
      </w:tr>
      <w:tr w14:paraId="25663514">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8CD031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w:t>
            </w:r>
          </w:p>
        </w:tc>
        <w:tc>
          <w:tcPr>
            <w:tcW w:w="2932" w:type="dxa"/>
            <w:tcBorders>
              <w:top w:val="nil"/>
              <w:left w:val="nil"/>
              <w:bottom w:val="single" w:color="auto" w:sz="4" w:space="0"/>
              <w:right w:val="single" w:color="auto" w:sz="4" w:space="0"/>
            </w:tcBorders>
            <w:vAlign w:val="center"/>
          </w:tcPr>
          <w:p w14:paraId="4FBFA86D">
            <w:pPr>
              <w:widowControl/>
              <w:rPr>
                <w:rFonts w:eastAsia="仿宋_GB2312"/>
                <w:color w:val="auto"/>
                <w:kern w:val="0"/>
                <w:sz w:val="24"/>
              </w:rPr>
            </w:pPr>
            <w:r>
              <w:rPr>
                <w:rFonts w:eastAsia="仿宋_GB2312"/>
                <w:color w:val="auto"/>
                <w:kern w:val="0"/>
                <w:sz w:val="24"/>
              </w:rPr>
              <w:t>重要江河湖泊水功能区水质达标率</w:t>
            </w:r>
          </w:p>
        </w:tc>
        <w:tc>
          <w:tcPr>
            <w:tcW w:w="1101" w:type="dxa"/>
            <w:tcBorders>
              <w:top w:val="nil"/>
              <w:left w:val="nil"/>
              <w:bottom w:val="single" w:color="auto" w:sz="4" w:space="0"/>
              <w:right w:val="single" w:color="auto" w:sz="4" w:space="0"/>
            </w:tcBorders>
            <w:vAlign w:val="center"/>
          </w:tcPr>
          <w:p w14:paraId="62D6F700">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4637C14C">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14:paraId="76D65DDD">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3C2386A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6178085">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7</w:t>
            </w:r>
          </w:p>
        </w:tc>
        <w:tc>
          <w:tcPr>
            <w:tcW w:w="2932" w:type="dxa"/>
            <w:tcBorders>
              <w:top w:val="nil"/>
              <w:left w:val="nil"/>
              <w:bottom w:val="single" w:color="auto" w:sz="4" w:space="0"/>
              <w:right w:val="single" w:color="auto" w:sz="4" w:space="0"/>
            </w:tcBorders>
            <w:vAlign w:val="center"/>
          </w:tcPr>
          <w:p w14:paraId="06CC2587">
            <w:pPr>
              <w:widowControl/>
              <w:rPr>
                <w:rFonts w:eastAsia="仿宋_GB2312"/>
                <w:color w:val="auto"/>
                <w:kern w:val="0"/>
                <w:sz w:val="24"/>
              </w:rPr>
            </w:pPr>
            <w:r>
              <w:rPr>
                <w:rFonts w:hint="eastAsia" w:eastAsia="仿宋_GB2312"/>
                <w:color w:val="auto"/>
                <w:kern w:val="0"/>
                <w:sz w:val="24"/>
              </w:rPr>
              <w:t>农田</w:t>
            </w:r>
            <w:r>
              <w:rPr>
                <w:rFonts w:eastAsia="仿宋_GB2312"/>
                <w:color w:val="auto"/>
                <w:kern w:val="0"/>
                <w:sz w:val="24"/>
              </w:rPr>
              <w:t>灌溉面积</w:t>
            </w:r>
          </w:p>
        </w:tc>
        <w:tc>
          <w:tcPr>
            <w:tcW w:w="1101" w:type="dxa"/>
            <w:tcBorders>
              <w:top w:val="nil"/>
              <w:left w:val="nil"/>
              <w:bottom w:val="single" w:color="auto" w:sz="4" w:space="0"/>
              <w:right w:val="single" w:color="auto" w:sz="4" w:space="0"/>
            </w:tcBorders>
            <w:vAlign w:val="center"/>
          </w:tcPr>
          <w:p w14:paraId="47C91039">
            <w:pPr>
              <w:widowControl/>
              <w:jc w:val="center"/>
              <w:rPr>
                <w:rFonts w:eastAsia="仿宋_GB2312"/>
                <w:color w:val="auto"/>
                <w:kern w:val="0"/>
                <w:sz w:val="24"/>
              </w:rPr>
            </w:pPr>
            <w:r>
              <w:rPr>
                <w:rFonts w:eastAsia="仿宋_GB2312"/>
                <w:color w:val="auto"/>
                <w:kern w:val="0"/>
                <w:sz w:val="24"/>
              </w:rPr>
              <w:t>万亩</w:t>
            </w:r>
          </w:p>
        </w:tc>
        <w:tc>
          <w:tcPr>
            <w:tcW w:w="2446" w:type="dxa"/>
            <w:tcBorders>
              <w:top w:val="nil"/>
              <w:left w:val="nil"/>
              <w:bottom w:val="single" w:color="auto" w:sz="4" w:space="0"/>
              <w:right w:val="single" w:color="auto" w:sz="4" w:space="0"/>
            </w:tcBorders>
            <w:vAlign w:val="center"/>
          </w:tcPr>
          <w:p w14:paraId="1B9932D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w:t>
            </w:r>
          </w:p>
        </w:tc>
        <w:tc>
          <w:tcPr>
            <w:tcW w:w="1958" w:type="dxa"/>
            <w:tcBorders>
              <w:top w:val="nil"/>
              <w:left w:val="nil"/>
              <w:bottom w:val="single" w:color="auto" w:sz="4" w:space="0"/>
              <w:right w:val="single" w:color="auto" w:sz="4" w:space="0"/>
            </w:tcBorders>
            <w:vAlign w:val="center"/>
          </w:tcPr>
          <w:p w14:paraId="180BB0C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95</w:t>
            </w:r>
          </w:p>
        </w:tc>
      </w:tr>
      <w:tr w14:paraId="1A41A7E6">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B46E74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w:t>
            </w:r>
          </w:p>
        </w:tc>
        <w:tc>
          <w:tcPr>
            <w:tcW w:w="2932" w:type="dxa"/>
            <w:tcBorders>
              <w:top w:val="nil"/>
              <w:left w:val="single" w:color="auto" w:sz="4" w:space="0"/>
              <w:bottom w:val="single" w:color="auto" w:sz="4" w:space="0"/>
              <w:right w:val="single" w:color="auto" w:sz="4" w:space="0"/>
            </w:tcBorders>
            <w:vAlign w:val="center"/>
          </w:tcPr>
          <w:p w14:paraId="66480801">
            <w:pPr>
              <w:widowControl/>
              <w:rPr>
                <w:rFonts w:eastAsia="仿宋_GB2312"/>
                <w:color w:val="auto"/>
                <w:kern w:val="0"/>
                <w:sz w:val="24"/>
              </w:rPr>
            </w:pPr>
            <w:r>
              <w:rPr>
                <w:rFonts w:eastAsia="仿宋_GB2312"/>
                <w:color w:val="auto"/>
                <w:kern w:val="0"/>
                <w:sz w:val="24"/>
              </w:rPr>
              <w:t>新增装机容量</w:t>
            </w:r>
          </w:p>
        </w:tc>
        <w:tc>
          <w:tcPr>
            <w:tcW w:w="1101" w:type="dxa"/>
            <w:tcBorders>
              <w:top w:val="nil"/>
              <w:left w:val="single" w:color="auto" w:sz="4" w:space="0"/>
              <w:bottom w:val="single" w:color="auto" w:sz="4" w:space="0"/>
              <w:right w:val="single" w:color="auto" w:sz="4" w:space="0"/>
            </w:tcBorders>
            <w:vAlign w:val="center"/>
          </w:tcPr>
          <w:p w14:paraId="6A2E9517">
            <w:pPr>
              <w:widowControl/>
              <w:jc w:val="center"/>
              <w:rPr>
                <w:rFonts w:eastAsia="仿宋_GB2312"/>
                <w:color w:val="auto"/>
                <w:kern w:val="0"/>
                <w:sz w:val="24"/>
              </w:rPr>
            </w:pPr>
            <w:r>
              <w:rPr>
                <w:rFonts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14:paraId="07996C1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1820</w:t>
            </w:r>
          </w:p>
        </w:tc>
        <w:tc>
          <w:tcPr>
            <w:tcW w:w="1958" w:type="dxa"/>
            <w:tcBorders>
              <w:top w:val="single" w:color="auto" w:sz="4" w:space="0"/>
              <w:left w:val="nil"/>
              <w:bottom w:val="single" w:color="auto" w:sz="4" w:space="0"/>
              <w:right w:val="single" w:color="auto" w:sz="4" w:space="0"/>
            </w:tcBorders>
            <w:vAlign w:val="center"/>
          </w:tcPr>
          <w:p w14:paraId="45B3ED80">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p>
        </w:tc>
      </w:tr>
      <w:tr w14:paraId="5DD0361C">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C5361F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p>
        </w:tc>
        <w:tc>
          <w:tcPr>
            <w:tcW w:w="2932" w:type="dxa"/>
            <w:tcBorders>
              <w:top w:val="nil"/>
              <w:left w:val="nil"/>
              <w:bottom w:val="single" w:color="auto" w:sz="4" w:space="0"/>
              <w:right w:val="single" w:color="auto" w:sz="4" w:space="0"/>
            </w:tcBorders>
            <w:vAlign w:val="center"/>
          </w:tcPr>
          <w:p w14:paraId="016C470F">
            <w:pPr>
              <w:widowControl/>
              <w:rPr>
                <w:rFonts w:eastAsia="仿宋_GB2312"/>
                <w:color w:val="auto"/>
                <w:kern w:val="0"/>
                <w:sz w:val="24"/>
              </w:rPr>
            </w:pPr>
            <w:r>
              <w:rPr>
                <w:rFonts w:eastAsia="仿宋_GB2312"/>
                <w:color w:val="auto"/>
                <w:kern w:val="0"/>
                <w:sz w:val="24"/>
              </w:rPr>
              <w:t>水电总装机容量</w:t>
            </w:r>
          </w:p>
        </w:tc>
        <w:tc>
          <w:tcPr>
            <w:tcW w:w="1101" w:type="dxa"/>
            <w:tcBorders>
              <w:top w:val="nil"/>
              <w:left w:val="nil"/>
              <w:bottom w:val="single" w:color="auto" w:sz="4" w:space="0"/>
              <w:right w:val="single" w:color="auto" w:sz="4" w:space="0"/>
            </w:tcBorders>
            <w:vAlign w:val="center"/>
          </w:tcPr>
          <w:p w14:paraId="38F97DC2">
            <w:pPr>
              <w:widowControl/>
              <w:jc w:val="center"/>
              <w:rPr>
                <w:rFonts w:eastAsia="仿宋_GB2312"/>
                <w:color w:val="auto"/>
                <w:kern w:val="0"/>
                <w:sz w:val="24"/>
              </w:rPr>
            </w:pPr>
            <w:r>
              <w:rPr>
                <w:rFonts w:eastAsia="仿宋_GB2312"/>
                <w:color w:val="auto"/>
                <w:kern w:val="0"/>
                <w:sz w:val="24"/>
              </w:rPr>
              <w:t>万</w:t>
            </w:r>
            <w:r>
              <w:rPr>
                <w:rFonts w:hint="eastAsia"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14:paraId="1F890EE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503</w:t>
            </w:r>
          </w:p>
        </w:tc>
        <w:tc>
          <w:tcPr>
            <w:tcW w:w="1958" w:type="dxa"/>
            <w:tcBorders>
              <w:top w:val="single" w:color="auto" w:sz="4" w:space="0"/>
              <w:left w:val="nil"/>
              <w:bottom w:val="single" w:color="auto" w:sz="4" w:space="0"/>
              <w:right w:val="single" w:color="auto" w:sz="4" w:space="0"/>
            </w:tcBorders>
            <w:vAlign w:val="center"/>
          </w:tcPr>
          <w:p w14:paraId="5E35EF89">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321</w:t>
            </w:r>
          </w:p>
        </w:tc>
      </w:tr>
      <w:tr w14:paraId="0418E5C4">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539240E">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三</w:t>
            </w:r>
          </w:p>
        </w:tc>
        <w:tc>
          <w:tcPr>
            <w:tcW w:w="2932" w:type="dxa"/>
            <w:tcBorders>
              <w:top w:val="nil"/>
              <w:left w:val="nil"/>
              <w:bottom w:val="single" w:color="auto" w:sz="4" w:space="0"/>
              <w:right w:val="single" w:color="auto" w:sz="4" w:space="0"/>
            </w:tcBorders>
            <w:vAlign w:val="center"/>
          </w:tcPr>
          <w:p w14:paraId="4634A5E5">
            <w:pPr>
              <w:widowControl/>
              <w:rPr>
                <w:rFonts w:eastAsia="仿宋_GB2312"/>
                <w:b/>
                <w:bCs/>
                <w:color w:val="auto"/>
                <w:kern w:val="0"/>
                <w:sz w:val="24"/>
              </w:rPr>
            </w:pPr>
            <w:r>
              <w:rPr>
                <w:rFonts w:eastAsia="仿宋_GB2312"/>
                <w:b/>
                <w:bCs/>
                <w:color w:val="auto"/>
                <w:kern w:val="0"/>
                <w:sz w:val="24"/>
              </w:rPr>
              <w:t>水生态</w:t>
            </w:r>
          </w:p>
        </w:tc>
        <w:tc>
          <w:tcPr>
            <w:tcW w:w="1101" w:type="dxa"/>
            <w:tcBorders>
              <w:top w:val="nil"/>
              <w:left w:val="nil"/>
              <w:bottom w:val="single" w:color="auto" w:sz="4" w:space="0"/>
              <w:right w:val="single" w:color="auto" w:sz="4" w:space="0"/>
            </w:tcBorders>
            <w:vAlign w:val="center"/>
          </w:tcPr>
          <w:p w14:paraId="09918FC5">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01DEB7A7">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4BC70CC9">
            <w:pPr>
              <w:widowControl/>
              <w:jc w:val="left"/>
              <w:rPr>
                <w:rFonts w:ascii="Times New Roman" w:hAnsi="Times New Roman"/>
                <w:color w:val="auto"/>
                <w:kern w:val="0"/>
                <w:sz w:val="24"/>
              </w:rPr>
            </w:pPr>
          </w:p>
        </w:tc>
      </w:tr>
      <w:tr w14:paraId="0A11A3EA">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66B7DDF">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0</w:t>
            </w:r>
          </w:p>
        </w:tc>
        <w:tc>
          <w:tcPr>
            <w:tcW w:w="2932" w:type="dxa"/>
            <w:tcBorders>
              <w:top w:val="nil"/>
              <w:left w:val="nil"/>
              <w:bottom w:val="single" w:color="auto" w:sz="4" w:space="0"/>
              <w:right w:val="single" w:color="auto" w:sz="4" w:space="0"/>
            </w:tcBorders>
            <w:vAlign w:val="center"/>
          </w:tcPr>
          <w:p w14:paraId="5125E7F7">
            <w:pPr>
              <w:widowControl/>
              <w:rPr>
                <w:rFonts w:eastAsia="仿宋_GB2312"/>
                <w:color w:val="auto"/>
                <w:kern w:val="0"/>
                <w:sz w:val="24"/>
              </w:rPr>
            </w:pPr>
            <w:r>
              <w:rPr>
                <w:rFonts w:eastAsia="仿宋_GB2312"/>
                <w:color w:val="auto"/>
                <w:kern w:val="0"/>
                <w:sz w:val="24"/>
              </w:rPr>
              <w:t>供水水源地水质达标率</w:t>
            </w:r>
          </w:p>
        </w:tc>
        <w:tc>
          <w:tcPr>
            <w:tcW w:w="1101" w:type="dxa"/>
            <w:tcBorders>
              <w:top w:val="nil"/>
              <w:left w:val="nil"/>
              <w:bottom w:val="single" w:color="auto" w:sz="4" w:space="0"/>
              <w:right w:val="single" w:color="auto" w:sz="4" w:space="0"/>
            </w:tcBorders>
            <w:vAlign w:val="center"/>
          </w:tcPr>
          <w:p w14:paraId="3DE0CFD9">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38FB88C0">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14:paraId="73E4EEB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2022A402">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97709F2">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14:paraId="7269B70C">
            <w:pPr>
              <w:widowControl/>
              <w:rPr>
                <w:rFonts w:eastAsia="仿宋_GB2312"/>
                <w:color w:val="auto"/>
                <w:kern w:val="0"/>
                <w:sz w:val="24"/>
              </w:rPr>
            </w:pPr>
            <w:r>
              <w:rPr>
                <w:rFonts w:eastAsia="仿宋_GB2312"/>
                <w:color w:val="auto"/>
                <w:kern w:val="0"/>
                <w:sz w:val="24"/>
              </w:rPr>
              <w:t>水功能区水质达标率</w:t>
            </w:r>
          </w:p>
        </w:tc>
        <w:tc>
          <w:tcPr>
            <w:tcW w:w="1101" w:type="dxa"/>
            <w:tcBorders>
              <w:top w:val="nil"/>
              <w:left w:val="nil"/>
              <w:bottom w:val="single" w:color="auto" w:sz="4" w:space="0"/>
              <w:right w:val="single" w:color="auto" w:sz="4" w:space="0"/>
            </w:tcBorders>
            <w:vAlign w:val="center"/>
          </w:tcPr>
          <w:p w14:paraId="2DC68807">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4F2FEA7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80</w:t>
            </w:r>
          </w:p>
        </w:tc>
        <w:tc>
          <w:tcPr>
            <w:tcW w:w="1958" w:type="dxa"/>
            <w:tcBorders>
              <w:top w:val="nil"/>
              <w:left w:val="nil"/>
              <w:bottom w:val="single" w:color="auto" w:sz="4" w:space="0"/>
              <w:right w:val="single" w:color="auto" w:sz="4" w:space="0"/>
            </w:tcBorders>
            <w:vAlign w:val="center"/>
          </w:tcPr>
          <w:p w14:paraId="3BB36BC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425CA64F">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A635BF5">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14:paraId="01DDB3AC">
            <w:pPr>
              <w:widowControl/>
              <w:rPr>
                <w:rFonts w:eastAsia="仿宋_GB2312"/>
                <w:color w:val="auto"/>
                <w:kern w:val="0"/>
                <w:sz w:val="24"/>
              </w:rPr>
            </w:pPr>
            <w:r>
              <w:rPr>
                <w:rFonts w:eastAsia="仿宋_GB2312"/>
                <w:color w:val="auto"/>
                <w:kern w:val="0"/>
                <w:sz w:val="24"/>
              </w:rPr>
              <w:t>河道综合治理长度</w:t>
            </w:r>
          </w:p>
        </w:tc>
        <w:tc>
          <w:tcPr>
            <w:tcW w:w="1101" w:type="dxa"/>
            <w:tcBorders>
              <w:top w:val="nil"/>
              <w:left w:val="nil"/>
              <w:bottom w:val="single" w:color="auto" w:sz="4" w:space="0"/>
              <w:right w:val="single" w:color="auto" w:sz="4" w:space="0"/>
            </w:tcBorders>
            <w:vAlign w:val="center"/>
          </w:tcPr>
          <w:p w14:paraId="1384A51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14:paraId="2FB1176F">
            <w:pPr>
              <w:widowControl/>
              <w:jc w:val="center"/>
              <w:rPr>
                <w:rFonts w:ascii="Times New Roman" w:hAnsi="Times New Roman"/>
                <w:color w:val="auto"/>
                <w:kern w:val="0"/>
                <w:sz w:val="24"/>
              </w:rPr>
            </w:pPr>
            <w:r>
              <w:rPr>
                <w:rFonts w:hint="eastAsia" w:ascii="Times New Roman" w:hAnsi="Times New Roman" w:cs="仿宋_GB2312"/>
                <w:color w:val="auto"/>
                <w:kern w:val="0"/>
                <w:sz w:val="24"/>
              </w:rPr>
              <w:t>90</w:t>
            </w:r>
          </w:p>
        </w:tc>
        <w:tc>
          <w:tcPr>
            <w:tcW w:w="1958" w:type="dxa"/>
            <w:tcBorders>
              <w:top w:val="nil"/>
              <w:left w:val="nil"/>
              <w:bottom w:val="single" w:color="auto" w:sz="4" w:space="0"/>
              <w:right w:val="single" w:color="auto" w:sz="4" w:space="0"/>
            </w:tcBorders>
            <w:vAlign w:val="center"/>
          </w:tcPr>
          <w:p w14:paraId="553845EC">
            <w:pPr>
              <w:widowControl/>
              <w:jc w:val="center"/>
              <w:rPr>
                <w:rFonts w:ascii="Times New Roman" w:hAnsi="Times New Roman"/>
                <w:color w:val="auto"/>
                <w:kern w:val="0"/>
                <w:sz w:val="24"/>
              </w:rPr>
            </w:pPr>
            <w:r>
              <w:rPr>
                <w:rFonts w:hint="eastAsia" w:ascii="Times New Roman" w:hAnsi="Times New Roman" w:cs="仿宋_GB2312"/>
                <w:color w:val="auto"/>
                <w:kern w:val="0"/>
                <w:sz w:val="24"/>
              </w:rPr>
              <w:t>28</w:t>
            </w:r>
            <w:r>
              <w:rPr>
                <w:rFonts w:hint="eastAsia" w:ascii="Times New Roman" w:hAnsi="Times New Roman"/>
                <w:color w:val="auto"/>
                <w:kern w:val="0"/>
                <w:sz w:val="24"/>
              </w:rPr>
              <w:t>.</w:t>
            </w:r>
            <w:r>
              <w:rPr>
                <w:rFonts w:hint="eastAsia" w:ascii="Times New Roman" w:hAnsi="Times New Roman" w:cs="仿宋_GB2312"/>
                <w:color w:val="auto"/>
                <w:kern w:val="0"/>
                <w:sz w:val="24"/>
              </w:rPr>
              <w:t>2</w:t>
            </w:r>
          </w:p>
        </w:tc>
      </w:tr>
      <w:tr w14:paraId="5F9C171B">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493664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13</w:t>
            </w:r>
          </w:p>
        </w:tc>
        <w:tc>
          <w:tcPr>
            <w:tcW w:w="2932" w:type="dxa"/>
            <w:tcBorders>
              <w:top w:val="nil"/>
              <w:left w:val="nil"/>
              <w:bottom w:val="single" w:color="auto" w:sz="4" w:space="0"/>
              <w:right w:val="single" w:color="auto" w:sz="4" w:space="0"/>
            </w:tcBorders>
            <w:vAlign w:val="center"/>
          </w:tcPr>
          <w:p w14:paraId="3A03F5D6">
            <w:pPr>
              <w:widowControl/>
              <w:rPr>
                <w:rFonts w:eastAsia="仿宋_GB2312"/>
                <w:color w:val="auto"/>
                <w:kern w:val="0"/>
                <w:sz w:val="24"/>
              </w:rPr>
            </w:pPr>
            <w:r>
              <w:rPr>
                <w:rFonts w:eastAsia="仿宋_GB2312"/>
                <w:color w:val="auto"/>
                <w:kern w:val="0"/>
                <w:sz w:val="24"/>
              </w:rPr>
              <w:t>综合治理水土流失面积</w:t>
            </w:r>
          </w:p>
        </w:tc>
        <w:tc>
          <w:tcPr>
            <w:tcW w:w="1101" w:type="dxa"/>
            <w:tcBorders>
              <w:top w:val="nil"/>
              <w:left w:val="nil"/>
              <w:bottom w:val="single" w:color="auto" w:sz="4" w:space="0"/>
              <w:right w:val="single" w:color="auto" w:sz="4" w:space="0"/>
            </w:tcBorders>
            <w:vAlign w:val="center"/>
          </w:tcPr>
          <w:p w14:paraId="342BF54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r>
              <w:rPr>
                <w:rFonts w:hint="eastAsia" w:ascii="Times New Roman" w:hAnsi="Times New Roman" w:eastAsia="仿宋_GB2312" w:cs="仿宋_GB2312"/>
                <w:color w:val="auto"/>
                <w:kern w:val="0"/>
                <w:sz w:val="24"/>
                <w:vertAlign w:val="superscript"/>
              </w:rPr>
              <w:t>2</w:t>
            </w:r>
          </w:p>
        </w:tc>
        <w:tc>
          <w:tcPr>
            <w:tcW w:w="2446" w:type="dxa"/>
            <w:tcBorders>
              <w:top w:val="nil"/>
              <w:left w:val="nil"/>
              <w:bottom w:val="single" w:color="auto" w:sz="4" w:space="0"/>
              <w:right w:val="single" w:color="auto" w:sz="4" w:space="0"/>
            </w:tcBorders>
            <w:vAlign w:val="center"/>
          </w:tcPr>
          <w:p w14:paraId="351BEC7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260</w:t>
            </w:r>
          </w:p>
        </w:tc>
        <w:tc>
          <w:tcPr>
            <w:tcW w:w="1958" w:type="dxa"/>
            <w:tcBorders>
              <w:top w:val="nil"/>
              <w:left w:val="nil"/>
              <w:bottom w:val="single" w:color="auto" w:sz="4" w:space="0"/>
              <w:right w:val="single" w:color="auto" w:sz="4" w:space="0"/>
            </w:tcBorders>
            <w:vAlign w:val="center"/>
          </w:tcPr>
          <w:p w14:paraId="6ECEEBB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1295</w:t>
            </w:r>
          </w:p>
        </w:tc>
      </w:tr>
      <w:tr w14:paraId="02C977D1">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4C1A9B7C">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四</w:t>
            </w:r>
          </w:p>
        </w:tc>
        <w:tc>
          <w:tcPr>
            <w:tcW w:w="2932" w:type="dxa"/>
            <w:tcBorders>
              <w:top w:val="nil"/>
              <w:left w:val="nil"/>
              <w:bottom w:val="single" w:color="auto" w:sz="4" w:space="0"/>
              <w:right w:val="single" w:color="auto" w:sz="4" w:space="0"/>
            </w:tcBorders>
            <w:vAlign w:val="center"/>
          </w:tcPr>
          <w:p w14:paraId="706854EC">
            <w:pPr>
              <w:spacing w:line="240" w:lineRule="exact"/>
              <w:rPr>
                <w:rFonts w:eastAsia="仿宋_GB2312"/>
                <w:b/>
                <w:bCs/>
                <w:color w:val="auto"/>
                <w:kern w:val="0"/>
                <w:sz w:val="24"/>
              </w:rPr>
            </w:pPr>
            <w:r>
              <w:rPr>
                <w:rFonts w:hint="eastAsia" w:ascii="仿宋_GB2312" w:hAnsi="仿宋_GB2312" w:eastAsia="仿宋_GB2312"/>
                <w:b/>
                <w:color w:val="auto"/>
                <w:sz w:val="24"/>
              </w:rPr>
              <w:t>防洪安全</w:t>
            </w:r>
          </w:p>
        </w:tc>
        <w:tc>
          <w:tcPr>
            <w:tcW w:w="1101" w:type="dxa"/>
            <w:tcBorders>
              <w:top w:val="nil"/>
              <w:left w:val="nil"/>
              <w:bottom w:val="single" w:color="auto" w:sz="4" w:space="0"/>
              <w:right w:val="single" w:color="auto" w:sz="4" w:space="0"/>
            </w:tcBorders>
            <w:vAlign w:val="center"/>
          </w:tcPr>
          <w:p w14:paraId="2E73CC94">
            <w:pPr>
              <w:spacing w:line="240" w:lineRule="exact"/>
              <w:jc w:val="center"/>
              <w:rPr>
                <w:rFonts w:ascii="Times New Roman" w:hAnsi="Times New Roman" w:eastAsia="仿宋_GB2312"/>
                <w:color w:val="auto"/>
                <w:kern w:val="0"/>
                <w:sz w:val="24"/>
              </w:rPr>
            </w:pPr>
          </w:p>
        </w:tc>
        <w:tc>
          <w:tcPr>
            <w:tcW w:w="2446" w:type="dxa"/>
            <w:tcBorders>
              <w:top w:val="nil"/>
              <w:left w:val="nil"/>
              <w:bottom w:val="single" w:color="auto" w:sz="4" w:space="0"/>
              <w:right w:val="single" w:color="auto" w:sz="4" w:space="0"/>
            </w:tcBorders>
            <w:vAlign w:val="center"/>
          </w:tcPr>
          <w:p w14:paraId="4129D0C0">
            <w:pPr>
              <w:spacing w:line="240" w:lineRule="exact"/>
              <w:jc w:val="center"/>
              <w:rPr>
                <w:rFonts w:ascii="Times New Roman" w:hAnsi="Times New Roman" w:eastAsia="仿宋_GB2312"/>
                <w:color w:val="auto"/>
                <w:kern w:val="0"/>
                <w:sz w:val="24"/>
              </w:rPr>
            </w:pPr>
          </w:p>
        </w:tc>
        <w:tc>
          <w:tcPr>
            <w:tcW w:w="1958" w:type="dxa"/>
            <w:tcBorders>
              <w:top w:val="nil"/>
              <w:left w:val="nil"/>
              <w:bottom w:val="single" w:color="auto" w:sz="4" w:space="0"/>
              <w:right w:val="single" w:color="auto" w:sz="4" w:space="0"/>
            </w:tcBorders>
            <w:vAlign w:val="center"/>
          </w:tcPr>
          <w:p w14:paraId="29A5A84E">
            <w:pPr>
              <w:spacing w:line="240" w:lineRule="exact"/>
              <w:jc w:val="center"/>
              <w:rPr>
                <w:rFonts w:ascii="Times New Roman" w:hAnsi="Times New Roman" w:eastAsia="仿宋_GB2312"/>
                <w:color w:val="auto"/>
                <w:kern w:val="0"/>
                <w:sz w:val="24"/>
              </w:rPr>
            </w:pPr>
          </w:p>
        </w:tc>
      </w:tr>
      <w:tr w14:paraId="594D1B08">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85B7406">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cs="仿宋_GB2312"/>
                <w:color w:val="auto"/>
                <w:kern w:val="0"/>
                <w:sz w:val="24"/>
              </w:rPr>
              <w:t>14</w:t>
            </w:r>
          </w:p>
        </w:tc>
        <w:tc>
          <w:tcPr>
            <w:tcW w:w="2932" w:type="dxa"/>
            <w:tcBorders>
              <w:top w:val="nil"/>
              <w:left w:val="nil"/>
              <w:bottom w:val="single" w:color="auto" w:sz="4" w:space="0"/>
              <w:right w:val="single" w:color="auto" w:sz="4" w:space="0"/>
            </w:tcBorders>
            <w:vAlign w:val="center"/>
          </w:tcPr>
          <w:p w14:paraId="45587325">
            <w:pPr>
              <w:spacing w:line="240" w:lineRule="exact"/>
              <w:rPr>
                <w:rFonts w:eastAsia="仿宋_GB2312"/>
                <w:b/>
                <w:bCs/>
                <w:color w:val="auto"/>
                <w:kern w:val="0"/>
                <w:sz w:val="24"/>
              </w:rPr>
            </w:pPr>
            <w:r>
              <w:rPr>
                <w:rFonts w:hint="eastAsia" w:ascii="仿宋_GB2312" w:hAnsi="仿宋_GB2312" w:eastAsia="仿宋_GB2312"/>
                <w:color w:val="auto"/>
                <w:sz w:val="24"/>
              </w:rPr>
              <w:t>堤防建设长度</w:t>
            </w:r>
          </w:p>
        </w:tc>
        <w:tc>
          <w:tcPr>
            <w:tcW w:w="1101" w:type="dxa"/>
            <w:tcBorders>
              <w:top w:val="nil"/>
              <w:left w:val="nil"/>
              <w:bottom w:val="single" w:color="auto" w:sz="4" w:space="0"/>
              <w:right w:val="single" w:color="auto" w:sz="4" w:space="0"/>
            </w:tcBorders>
            <w:vAlign w:val="center"/>
          </w:tcPr>
          <w:p w14:paraId="36B66F1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14:paraId="245F79E8">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30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c>
          <w:tcPr>
            <w:tcW w:w="1958" w:type="dxa"/>
            <w:tcBorders>
              <w:top w:val="nil"/>
              <w:left w:val="nil"/>
              <w:bottom w:val="single" w:color="auto" w:sz="4" w:space="0"/>
              <w:right w:val="single" w:color="auto" w:sz="4" w:space="0"/>
            </w:tcBorders>
            <w:vAlign w:val="center"/>
          </w:tcPr>
          <w:p w14:paraId="3934271D">
            <w:pPr>
              <w:spacing w:line="240" w:lineRule="exact"/>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w:t>
            </w:r>
          </w:p>
        </w:tc>
      </w:tr>
      <w:tr w14:paraId="67E7227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C11B611">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五</w:t>
            </w:r>
          </w:p>
        </w:tc>
        <w:tc>
          <w:tcPr>
            <w:tcW w:w="2932" w:type="dxa"/>
            <w:tcBorders>
              <w:top w:val="nil"/>
              <w:left w:val="nil"/>
              <w:bottom w:val="single" w:color="auto" w:sz="4" w:space="0"/>
              <w:right w:val="single" w:color="auto" w:sz="4" w:space="0"/>
            </w:tcBorders>
            <w:vAlign w:val="center"/>
          </w:tcPr>
          <w:p w14:paraId="5E4DFC17">
            <w:pPr>
              <w:widowControl/>
              <w:rPr>
                <w:rFonts w:eastAsia="仿宋_GB2312"/>
                <w:b/>
                <w:bCs/>
                <w:color w:val="auto"/>
                <w:kern w:val="0"/>
                <w:sz w:val="24"/>
              </w:rPr>
            </w:pPr>
            <w:r>
              <w:rPr>
                <w:rFonts w:eastAsia="仿宋_GB2312"/>
                <w:b/>
                <w:bCs/>
                <w:color w:val="auto"/>
                <w:kern w:val="0"/>
                <w:sz w:val="24"/>
              </w:rPr>
              <w:t>节水型社会</w:t>
            </w:r>
          </w:p>
        </w:tc>
        <w:tc>
          <w:tcPr>
            <w:tcW w:w="1101" w:type="dxa"/>
            <w:tcBorders>
              <w:top w:val="nil"/>
              <w:left w:val="nil"/>
              <w:bottom w:val="single" w:color="auto" w:sz="4" w:space="0"/>
              <w:right w:val="single" w:color="auto" w:sz="4" w:space="0"/>
            </w:tcBorders>
            <w:vAlign w:val="center"/>
          </w:tcPr>
          <w:p w14:paraId="47D76A65">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13D6A4FC">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0F58ACCB">
            <w:pPr>
              <w:widowControl/>
              <w:jc w:val="left"/>
              <w:rPr>
                <w:rFonts w:ascii="Times New Roman" w:hAnsi="Times New Roman"/>
                <w:color w:val="auto"/>
                <w:kern w:val="0"/>
                <w:sz w:val="24"/>
              </w:rPr>
            </w:pPr>
          </w:p>
        </w:tc>
      </w:tr>
      <w:tr w14:paraId="72D8D0B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6278D5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p>
        </w:tc>
        <w:tc>
          <w:tcPr>
            <w:tcW w:w="2932" w:type="dxa"/>
            <w:tcBorders>
              <w:top w:val="nil"/>
              <w:left w:val="nil"/>
              <w:bottom w:val="single" w:color="auto" w:sz="4" w:space="0"/>
              <w:right w:val="single" w:color="auto" w:sz="4" w:space="0"/>
            </w:tcBorders>
            <w:vAlign w:val="center"/>
          </w:tcPr>
          <w:p w14:paraId="6766E892">
            <w:pPr>
              <w:widowControl/>
              <w:rPr>
                <w:rFonts w:eastAsia="仿宋_GB2312"/>
                <w:color w:val="auto"/>
                <w:kern w:val="0"/>
                <w:sz w:val="24"/>
              </w:rPr>
            </w:pPr>
            <w:r>
              <w:rPr>
                <w:rFonts w:hint="eastAsia" w:eastAsia="仿宋_GB2312"/>
                <w:color w:val="auto"/>
                <w:kern w:val="0"/>
                <w:sz w:val="24"/>
              </w:rPr>
              <w:t>万元地区</w:t>
            </w:r>
            <w:r>
              <w:rPr>
                <w:rFonts w:ascii="Times New Roman" w:hAnsi="Times New Roman" w:eastAsia="仿宋_GB2312" w:cs="仿宋_GB2312"/>
                <w:color w:val="auto"/>
                <w:kern w:val="0"/>
                <w:sz w:val="24"/>
              </w:rPr>
              <w:t>GDP</w:t>
            </w:r>
            <w:r>
              <w:rPr>
                <w:rFonts w:hint="eastAsia" w:eastAsia="仿宋_GB2312"/>
                <w:color w:val="auto"/>
                <w:kern w:val="0"/>
                <w:sz w:val="24"/>
              </w:rPr>
              <w:t>用水量</w:t>
            </w:r>
          </w:p>
        </w:tc>
        <w:tc>
          <w:tcPr>
            <w:tcW w:w="1101" w:type="dxa"/>
            <w:tcBorders>
              <w:top w:val="nil"/>
              <w:left w:val="nil"/>
              <w:bottom w:val="single" w:color="auto" w:sz="4" w:space="0"/>
              <w:right w:val="single" w:color="auto" w:sz="4" w:space="0"/>
            </w:tcBorders>
            <w:vAlign w:val="center"/>
          </w:tcPr>
          <w:p w14:paraId="705F401B">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1CF04C3F">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p>
        </w:tc>
        <w:tc>
          <w:tcPr>
            <w:tcW w:w="1958" w:type="dxa"/>
            <w:tcBorders>
              <w:top w:val="nil"/>
              <w:left w:val="nil"/>
              <w:bottom w:val="single" w:color="auto" w:sz="4" w:space="0"/>
              <w:right w:val="single" w:color="auto" w:sz="4" w:space="0"/>
            </w:tcBorders>
            <w:vAlign w:val="center"/>
          </w:tcPr>
          <w:p w14:paraId="1FE112A5">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w:t>
            </w:r>
          </w:p>
        </w:tc>
      </w:tr>
      <w:tr w14:paraId="47109BB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5B6545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16</w:t>
            </w:r>
          </w:p>
        </w:tc>
        <w:tc>
          <w:tcPr>
            <w:tcW w:w="2932" w:type="dxa"/>
            <w:tcBorders>
              <w:top w:val="nil"/>
              <w:left w:val="nil"/>
              <w:bottom w:val="single" w:color="auto" w:sz="4" w:space="0"/>
              <w:right w:val="single" w:color="auto" w:sz="4" w:space="0"/>
            </w:tcBorders>
            <w:vAlign w:val="center"/>
          </w:tcPr>
          <w:p w14:paraId="1C0861AB">
            <w:pPr>
              <w:widowControl/>
              <w:rPr>
                <w:rFonts w:eastAsia="仿宋_GB2312"/>
                <w:color w:val="auto"/>
                <w:kern w:val="0"/>
                <w:sz w:val="24"/>
              </w:rPr>
            </w:pPr>
            <w:r>
              <w:rPr>
                <w:rFonts w:hint="eastAsia" w:eastAsia="仿宋_GB2312"/>
                <w:color w:val="auto"/>
                <w:kern w:val="0"/>
                <w:sz w:val="24"/>
              </w:rPr>
              <w:t>万元工业增加值用水量</w:t>
            </w:r>
          </w:p>
        </w:tc>
        <w:tc>
          <w:tcPr>
            <w:tcW w:w="1101" w:type="dxa"/>
            <w:tcBorders>
              <w:top w:val="nil"/>
              <w:left w:val="nil"/>
              <w:bottom w:val="single" w:color="auto" w:sz="4" w:space="0"/>
              <w:right w:val="single" w:color="auto" w:sz="4" w:space="0"/>
            </w:tcBorders>
            <w:vAlign w:val="center"/>
          </w:tcPr>
          <w:p w14:paraId="355ACED4">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121F28A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p>
        </w:tc>
        <w:tc>
          <w:tcPr>
            <w:tcW w:w="1958" w:type="dxa"/>
            <w:tcBorders>
              <w:top w:val="nil"/>
              <w:left w:val="nil"/>
              <w:bottom w:val="single" w:color="auto" w:sz="4" w:space="0"/>
              <w:right w:val="single" w:color="auto" w:sz="4" w:space="0"/>
            </w:tcBorders>
            <w:vAlign w:val="center"/>
          </w:tcPr>
          <w:p w14:paraId="475ABEA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14:paraId="7AD0DA9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D7A92F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17</w:t>
            </w:r>
          </w:p>
        </w:tc>
        <w:tc>
          <w:tcPr>
            <w:tcW w:w="2932" w:type="dxa"/>
            <w:tcBorders>
              <w:top w:val="nil"/>
              <w:left w:val="nil"/>
              <w:bottom w:val="single" w:color="auto" w:sz="4" w:space="0"/>
              <w:right w:val="single" w:color="auto" w:sz="4" w:space="0"/>
            </w:tcBorders>
            <w:vAlign w:val="center"/>
          </w:tcPr>
          <w:p w14:paraId="27540914">
            <w:pPr>
              <w:widowControl/>
              <w:rPr>
                <w:rFonts w:eastAsia="仿宋_GB2312"/>
                <w:color w:val="auto"/>
                <w:kern w:val="0"/>
                <w:sz w:val="24"/>
              </w:rPr>
            </w:pPr>
            <w:r>
              <w:rPr>
                <w:rFonts w:eastAsia="仿宋_GB2312"/>
                <w:color w:val="auto"/>
                <w:kern w:val="0"/>
                <w:sz w:val="24"/>
              </w:rPr>
              <w:t>农业灌溉水有效利用系数</w:t>
            </w:r>
          </w:p>
        </w:tc>
        <w:tc>
          <w:tcPr>
            <w:tcW w:w="1101" w:type="dxa"/>
            <w:tcBorders>
              <w:top w:val="nil"/>
              <w:left w:val="nil"/>
              <w:bottom w:val="single" w:color="auto" w:sz="4" w:space="0"/>
              <w:right w:val="single" w:color="auto" w:sz="4" w:space="0"/>
            </w:tcBorders>
            <w:vAlign w:val="center"/>
          </w:tcPr>
          <w:p w14:paraId="5E8BFD14">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5643FBE8">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57</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1</w:t>
            </w:r>
          </w:p>
        </w:tc>
        <w:tc>
          <w:tcPr>
            <w:tcW w:w="1958" w:type="dxa"/>
            <w:tcBorders>
              <w:top w:val="nil"/>
              <w:left w:val="nil"/>
              <w:bottom w:val="single" w:color="auto" w:sz="4" w:space="0"/>
              <w:right w:val="single" w:color="auto" w:sz="4" w:space="0"/>
            </w:tcBorders>
            <w:vAlign w:val="center"/>
          </w:tcPr>
          <w:p w14:paraId="2A8E0A6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r>
      <w:tr w14:paraId="2CD26910">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726743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w:t>
            </w:r>
          </w:p>
        </w:tc>
        <w:tc>
          <w:tcPr>
            <w:tcW w:w="2932" w:type="dxa"/>
            <w:tcBorders>
              <w:top w:val="nil"/>
              <w:left w:val="nil"/>
              <w:bottom w:val="single" w:color="auto" w:sz="4" w:space="0"/>
              <w:right w:val="single" w:color="auto" w:sz="4" w:space="0"/>
            </w:tcBorders>
            <w:vAlign w:val="center"/>
          </w:tcPr>
          <w:p w14:paraId="32F59D4A">
            <w:pPr>
              <w:widowControl/>
              <w:rPr>
                <w:rFonts w:eastAsia="仿宋_GB2312"/>
                <w:color w:val="auto"/>
                <w:kern w:val="0"/>
                <w:sz w:val="24"/>
              </w:rPr>
            </w:pPr>
            <w:r>
              <w:rPr>
                <w:rFonts w:eastAsia="仿宋_GB2312"/>
                <w:color w:val="auto"/>
                <w:kern w:val="0"/>
                <w:sz w:val="24"/>
              </w:rPr>
              <w:t>综合亩均毛灌溉用水量</w:t>
            </w:r>
          </w:p>
        </w:tc>
        <w:tc>
          <w:tcPr>
            <w:tcW w:w="1101" w:type="dxa"/>
            <w:tcBorders>
              <w:top w:val="nil"/>
              <w:left w:val="nil"/>
              <w:bottom w:val="single" w:color="auto" w:sz="4" w:space="0"/>
              <w:right w:val="single" w:color="auto" w:sz="4" w:space="0"/>
            </w:tcBorders>
            <w:vAlign w:val="center"/>
          </w:tcPr>
          <w:p w14:paraId="55CB524D">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r>
              <w:rPr>
                <w:rFonts w:ascii="Times New Roman" w:hAnsi="Times New Roman" w:eastAsia="仿宋_GB2312"/>
                <w:color w:val="auto"/>
                <w:kern w:val="0"/>
                <w:sz w:val="24"/>
              </w:rPr>
              <w:t>/亩</w:t>
            </w:r>
          </w:p>
        </w:tc>
        <w:tc>
          <w:tcPr>
            <w:tcW w:w="2446" w:type="dxa"/>
            <w:tcBorders>
              <w:top w:val="nil"/>
              <w:left w:val="nil"/>
              <w:bottom w:val="single" w:color="auto" w:sz="4" w:space="0"/>
              <w:right w:val="single" w:color="auto" w:sz="4" w:space="0"/>
            </w:tcBorders>
            <w:vAlign w:val="center"/>
          </w:tcPr>
          <w:p w14:paraId="6F1C9BB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c>
          <w:tcPr>
            <w:tcW w:w="1958" w:type="dxa"/>
            <w:tcBorders>
              <w:top w:val="nil"/>
              <w:left w:val="nil"/>
              <w:bottom w:val="single" w:color="auto" w:sz="4" w:space="0"/>
              <w:right w:val="single" w:color="auto" w:sz="4" w:space="0"/>
            </w:tcBorders>
            <w:vAlign w:val="center"/>
          </w:tcPr>
          <w:p w14:paraId="5AF4EBC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r>
    </w:tbl>
    <w:p w14:paraId="52E61CE5">
      <w:pPr>
        <w:jc w:val="center"/>
        <w:rPr>
          <w:color w:val="auto"/>
        </w:rPr>
      </w:pPr>
    </w:p>
    <w:p w14:paraId="41F04F00">
      <w:pPr>
        <w:rPr>
          <w:rFonts w:ascii="仿宋" w:hAnsi="仿宋" w:eastAsia="仿宋" w:cs="仿宋"/>
          <w:color w:val="auto"/>
          <w:sz w:val="10"/>
          <w:szCs w:val="10"/>
        </w:rPr>
      </w:pPr>
      <w:r>
        <w:rPr>
          <w:rFonts w:ascii="仿宋" w:hAnsi="仿宋" w:eastAsia="仿宋" w:cs="仿宋"/>
          <w:color w:val="auto"/>
          <w:sz w:val="10"/>
          <w:szCs w:val="10"/>
        </w:rPr>
        <w:br w:type="page"/>
      </w:r>
    </w:p>
    <w:p w14:paraId="6B83DAF0">
      <w:pPr>
        <w:pStyle w:val="4"/>
        <w:rPr>
          <w:color w:val="auto"/>
        </w:rPr>
      </w:pPr>
    </w:p>
    <w:p w14:paraId="5867EE94">
      <w:pPr>
        <w:jc w:val="center"/>
        <w:rPr>
          <w:rFonts w:ascii="仿宋" w:hAnsi="仿宋" w:eastAsia="仿宋" w:cs="仿宋"/>
          <w:color w:val="auto"/>
          <w:sz w:val="28"/>
          <w:szCs w:val="28"/>
        </w:rPr>
      </w:pPr>
      <w:bookmarkStart w:id="512" w:name="_Toc7344"/>
      <w:bookmarkStart w:id="513" w:name="_Toc15522"/>
      <w:r>
        <w:rPr>
          <w:rFonts w:hint="eastAsia" w:ascii="仿宋" w:hAnsi="仿宋" w:eastAsia="仿宋" w:cs="仿宋"/>
          <w:color w:val="auto"/>
          <w:sz w:val="28"/>
          <w:szCs w:val="28"/>
        </w:rPr>
        <w:t>水利发展“十四五”规划主要目标指标表</w:t>
      </w:r>
      <w:bookmarkEnd w:id="512"/>
      <w:bookmarkEnd w:id="513"/>
    </w:p>
    <w:p w14:paraId="573EE0E8">
      <w:pPr>
        <w:snapToGrid w:val="0"/>
        <w:spacing w:line="360" w:lineRule="auto"/>
        <w:jc w:val="left"/>
        <w:outlineLvl w:val="0"/>
        <w:rPr>
          <w:rFonts w:eastAsia="仿宋_GB2312"/>
          <w:bCs/>
          <w:snapToGrid w:val="0"/>
          <w:color w:val="auto"/>
          <w:kern w:val="0"/>
          <w:sz w:val="28"/>
        </w:rPr>
      </w:pPr>
      <w:bookmarkStart w:id="514" w:name="_Toc1937"/>
      <w:bookmarkStart w:id="515" w:name="_Toc12672"/>
      <w:bookmarkStart w:id="516" w:name="_Toc28136"/>
      <w:bookmarkStart w:id="517" w:name="_Toc29539"/>
      <w:r>
        <w:rPr>
          <w:rFonts w:hint="eastAsia" w:eastAsia="仿宋_GB2312"/>
          <w:bCs/>
          <w:snapToGrid w:val="0"/>
          <w:color w:val="auto"/>
          <w:kern w:val="0"/>
          <w:sz w:val="28"/>
        </w:rPr>
        <w:t>附表</w:t>
      </w:r>
      <w:bookmarkEnd w:id="514"/>
      <w:bookmarkEnd w:id="515"/>
      <w:bookmarkEnd w:id="516"/>
      <w:r>
        <w:rPr>
          <w:rFonts w:hint="eastAsia" w:ascii="Times New Roman" w:hAnsi="Times New Roman" w:eastAsia="仿宋_GB2312" w:cs="仿宋_GB2312"/>
          <w:bCs/>
          <w:snapToGrid w:val="0"/>
          <w:color w:val="auto"/>
          <w:kern w:val="0"/>
          <w:sz w:val="28"/>
        </w:rPr>
        <w:t>2</w:t>
      </w:r>
      <w:bookmarkEnd w:id="517"/>
    </w:p>
    <w:tbl>
      <w:tblPr>
        <w:tblStyle w:val="22"/>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829"/>
        <w:gridCol w:w="1000"/>
        <w:gridCol w:w="1921"/>
        <w:gridCol w:w="1591"/>
      </w:tblGrid>
      <w:tr w14:paraId="5663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A1AAA3B">
            <w:pPr>
              <w:spacing w:line="240" w:lineRule="exact"/>
              <w:jc w:val="center"/>
              <w:rPr>
                <w:rFonts w:eastAsia="仿宋_GB2312"/>
                <w:color w:val="auto"/>
                <w:sz w:val="24"/>
              </w:rPr>
            </w:pPr>
            <w:r>
              <w:rPr>
                <w:rFonts w:eastAsia="仿宋_GB2312"/>
                <w:color w:val="auto"/>
                <w:sz w:val="24"/>
              </w:rPr>
              <w:t>序号</w:t>
            </w:r>
          </w:p>
        </w:tc>
        <w:tc>
          <w:tcPr>
            <w:tcW w:w="3829" w:type="dxa"/>
            <w:vAlign w:val="center"/>
          </w:tcPr>
          <w:p w14:paraId="4192307C">
            <w:pPr>
              <w:spacing w:line="240" w:lineRule="exact"/>
              <w:jc w:val="center"/>
              <w:rPr>
                <w:color w:val="auto"/>
                <w:sz w:val="24"/>
              </w:rPr>
            </w:pPr>
            <w:r>
              <w:rPr>
                <w:rFonts w:eastAsia="仿宋_GB2312"/>
                <w:color w:val="auto"/>
                <w:sz w:val="24"/>
              </w:rPr>
              <w:t>项   目</w:t>
            </w:r>
          </w:p>
        </w:tc>
        <w:tc>
          <w:tcPr>
            <w:tcW w:w="1000" w:type="dxa"/>
            <w:vAlign w:val="center"/>
          </w:tcPr>
          <w:p w14:paraId="5A6D036B">
            <w:pPr>
              <w:spacing w:line="240" w:lineRule="exact"/>
              <w:jc w:val="center"/>
              <w:rPr>
                <w:rFonts w:eastAsia="仿宋_GB2312"/>
                <w:color w:val="auto"/>
                <w:sz w:val="24"/>
              </w:rPr>
            </w:pPr>
            <w:r>
              <w:rPr>
                <w:rFonts w:eastAsia="仿宋_GB2312"/>
                <w:color w:val="auto"/>
                <w:sz w:val="24"/>
              </w:rPr>
              <w:t>单位</w:t>
            </w:r>
          </w:p>
        </w:tc>
        <w:tc>
          <w:tcPr>
            <w:tcW w:w="1921" w:type="dxa"/>
            <w:vAlign w:val="center"/>
          </w:tcPr>
          <w:p w14:paraId="4D3B1B71">
            <w:pPr>
              <w:spacing w:line="240" w:lineRule="exact"/>
              <w:jc w:val="center"/>
              <w:rPr>
                <w:rFonts w:eastAsia="仿宋_GB2312"/>
                <w:color w:val="auto"/>
                <w:sz w:val="24"/>
              </w:rPr>
            </w:pPr>
            <w:r>
              <w:rPr>
                <w:rFonts w:ascii="Times New Roman" w:hAnsi="Times New Roman" w:eastAsia="仿宋_GB2312" w:cs="仿宋_GB2312"/>
                <w:color w:val="auto"/>
                <w:sz w:val="24"/>
              </w:rPr>
              <w:t>202</w:t>
            </w:r>
            <w:r>
              <w:rPr>
                <w:rFonts w:hint="eastAsia" w:ascii="Times New Roman" w:hAnsi="Times New Roman" w:eastAsia="仿宋_GB2312" w:cs="仿宋_GB2312"/>
                <w:color w:val="auto"/>
                <w:sz w:val="24"/>
              </w:rPr>
              <w:t>5</w:t>
            </w:r>
            <w:r>
              <w:rPr>
                <w:rFonts w:eastAsia="仿宋_GB2312"/>
                <w:color w:val="auto"/>
                <w:sz w:val="24"/>
              </w:rPr>
              <w:t>年</w:t>
            </w:r>
          </w:p>
        </w:tc>
        <w:tc>
          <w:tcPr>
            <w:tcW w:w="1591" w:type="dxa"/>
            <w:vAlign w:val="center"/>
          </w:tcPr>
          <w:p w14:paraId="44A4CCDE">
            <w:pPr>
              <w:spacing w:line="240" w:lineRule="exact"/>
              <w:jc w:val="center"/>
              <w:rPr>
                <w:rFonts w:eastAsia="仿宋_GB2312"/>
                <w:color w:val="auto"/>
                <w:sz w:val="24"/>
              </w:rPr>
            </w:pPr>
            <w:r>
              <w:rPr>
                <w:rFonts w:eastAsia="仿宋_GB2312"/>
                <w:color w:val="auto"/>
                <w:sz w:val="24"/>
              </w:rPr>
              <w:t>备 注</w:t>
            </w:r>
          </w:p>
        </w:tc>
      </w:tr>
      <w:tr w14:paraId="7654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4E213E6">
            <w:pPr>
              <w:spacing w:line="240" w:lineRule="exact"/>
              <w:jc w:val="center"/>
              <w:rPr>
                <w:rFonts w:ascii="Times New Roman" w:hAnsi="Times New Roman" w:eastAsia="仿宋_GB2312"/>
                <w:b/>
                <w:color w:val="auto"/>
                <w:sz w:val="24"/>
              </w:rPr>
            </w:pPr>
            <w:r>
              <w:rPr>
                <w:rFonts w:ascii="Times New Roman" w:hAnsi="Times New Roman" w:eastAsia="仿宋_GB2312"/>
                <w:b/>
                <w:color w:val="auto"/>
                <w:sz w:val="24"/>
              </w:rPr>
              <w:t>一</w:t>
            </w:r>
          </w:p>
        </w:tc>
        <w:tc>
          <w:tcPr>
            <w:tcW w:w="3829" w:type="dxa"/>
            <w:vAlign w:val="center"/>
          </w:tcPr>
          <w:p w14:paraId="50C01DA9">
            <w:pPr>
              <w:spacing w:line="240" w:lineRule="exact"/>
              <w:rPr>
                <w:rFonts w:eastAsia="仿宋_GB2312"/>
                <w:color w:val="auto"/>
                <w:sz w:val="24"/>
              </w:rPr>
            </w:pPr>
            <w:r>
              <w:rPr>
                <w:rFonts w:eastAsia="仿宋_GB2312"/>
                <w:b/>
                <w:color w:val="auto"/>
                <w:sz w:val="24"/>
              </w:rPr>
              <w:t>水资源</w:t>
            </w:r>
            <w:r>
              <w:rPr>
                <w:rFonts w:hint="eastAsia" w:eastAsia="仿宋_GB2312"/>
                <w:b/>
                <w:color w:val="auto"/>
                <w:sz w:val="24"/>
              </w:rPr>
              <w:t>节约集约利用规划</w:t>
            </w:r>
          </w:p>
        </w:tc>
        <w:tc>
          <w:tcPr>
            <w:tcW w:w="1000" w:type="dxa"/>
            <w:vAlign w:val="center"/>
          </w:tcPr>
          <w:p w14:paraId="4395E0DC">
            <w:pPr>
              <w:spacing w:line="240" w:lineRule="exact"/>
              <w:jc w:val="center"/>
              <w:rPr>
                <w:rFonts w:eastAsia="仿宋_GB2312"/>
                <w:color w:val="auto"/>
                <w:sz w:val="24"/>
              </w:rPr>
            </w:pPr>
          </w:p>
        </w:tc>
        <w:tc>
          <w:tcPr>
            <w:tcW w:w="1921" w:type="dxa"/>
            <w:vAlign w:val="center"/>
          </w:tcPr>
          <w:p w14:paraId="3780CEE5">
            <w:pPr>
              <w:spacing w:line="240" w:lineRule="exact"/>
              <w:jc w:val="center"/>
              <w:rPr>
                <w:rFonts w:ascii="Times New Roman" w:hAnsi="Times New Roman" w:eastAsia="仿宋_GB2312"/>
                <w:color w:val="auto"/>
                <w:sz w:val="24"/>
              </w:rPr>
            </w:pPr>
          </w:p>
        </w:tc>
        <w:tc>
          <w:tcPr>
            <w:tcW w:w="1591" w:type="dxa"/>
            <w:vAlign w:val="center"/>
          </w:tcPr>
          <w:p w14:paraId="44FB09CB">
            <w:pPr>
              <w:spacing w:line="240" w:lineRule="exact"/>
              <w:jc w:val="center"/>
              <w:rPr>
                <w:rFonts w:ascii="Times New Roman" w:hAnsi="Times New Roman" w:eastAsia="仿宋_GB2312"/>
                <w:color w:val="auto"/>
                <w:sz w:val="24"/>
              </w:rPr>
            </w:pPr>
          </w:p>
        </w:tc>
      </w:tr>
      <w:tr w14:paraId="67C9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93980F5">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p>
        </w:tc>
        <w:tc>
          <w:tcPr>
            <w:tcW w:w="3829" w:type="dxa"/>
            <w:vAlign w:val="center"/>
          </w:tcPr>
          <w:p w14:paraId="4AAB333E">
            <w:pPr>
              <w:spacing w:line="240" w:lineRule="exact"/>
              <w:rPr>
                <w:color w:val="auto"/>
                <w:sz w:val="24"/>
              </w:rPr>
            </w:pPr>
            <w:r>
              <w:rPr>
                <w:rFonts w:eastAsia="仿宋_GB2312"/>
                <w:color w:val="auto"/>
                <w:sz w:val="24"/>
              </w:rPr>
              <w:t>总供水能力</w:t>
            </w:r>
          </w:p>
        </w:tc>
        <w:tc>
          <w:tcPr>
            <w:tcW w:w="1000" w:type="dxa"/>
            <w:vAlign w:val="center"/>
          </w:tcPr>
          <w:p w14:paraId="13B302B4">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亿</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14:paraId="140D1D0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69</w:t>
            </w:r>
          </w:p>
        </w:tc>
        <w:tc>
          <w:tcPr>
            <w:tcW w:w="1591" w:type="dxa"/>
            <w:vAlign w:val="center"/>
          </w:tcPr>
          <w:p w14:paraId="5773CC6A">
            <w:pPr>
              <w:spacing w:line="240" w:lineRule="exact"/>
              <w:jc w:val="center"/>
              <w:rPr>
                <w:rFonts w:ascii="Times New Roman" w:hAnsi="Times New Roman"/>
                <w:color w:val="auto"/>
                <w:sz w:val="24"/>
              </w:rPr>
            </w:pPr>
          </w:p>
        </w:tc>
      </w:tr>
      <w:tr w14:paraId="1E4D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0E2E0D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w:t>
            </w:r>
          </w:p>
        </w:tc>
        <w:tc>
          <w:tcPr>
            <w:tcW w:w="3829" w:type="dxa"/>
            <w:vAlign w:val="center"/>
          </w:tcPr>
          <w:p w14:paraId="074373EE">
            <w:pPr>
              <w:spacing w:line="240" w:lineRule="exact"/>
              <w:rPr>
                <w:rFonts w:eastAsia="仿宋_GB2312"/>
                <w:color w:val="auto"/>
                <w:sz w:val="24"/>
              </w:rPr>
            </w:pPr>
            <w:r>
              <w:rPr>
                <w:rFonts w:eastAsia="仿宋_GB2312"/>
                <w:color w:val="auto"/>
                <w:sz w:val="24"/>
              </w:rPr>
              <w:t>水功能区水质达标率</w:t>
            </w:r>
          </w:p>
        </w:tc>
        <w:tc>
          <w:tcPr>
            <w:tcW w:w="1000" w:type="dxa"/>
            <w:vAlign w:val="center"/>
          </w:tcPr>
          <w:p w14:paraId="05ADDAD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18370B3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658EAF04">
            <w:pPr>
              <w:spacing w:line="240" w:lineRule="exact"/>
              <w:jc w:val="center"/>
              <w:rPr>
                <w:rFonts w:ascii="Times New Roman" w:hAnsi="Times New Roman" w:eastAsia="仿宋_GB2312"/>
                <w:color w:val="auto"/>
                <w:sz w:val="24"/>
              </w:rPr>
            </w:pPr>
          </w:p>
        </w:tc>
      </w:tr>
      <w:tr w14:paraId="20DA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4E57315A">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二</w:t>
            </w:r>
          </w:p>
        </w:tc>
        <w:tc>
          <w:tcPr>
            <w:tcW w:w="3829" w:type="dxa"/>
            <w:vAlign w:val="center"/>
          </w:tcPr>
          <w:p w14:paraId="2873B0B0">
            <w:pPr>
              <w:spacing w:line="240" w:lineRule="exact"/>
              <w:rPr>
                <w:rFonts w:eastAsia="仿宋_GB2312"/>
                <w:color w:val="auto"/>
                <w:sz w:val="24"/>
              </w:rPr>
            </w:pPr>
            <w:r>
              <w:rPr>
                <w:rFonts w:eastAsia="仿宋_GB2312"/>
                <w:b/>
                <w:color w:val="auto"/>
                <w:sz w:val="24"/>
              </w:rPr>
              <w:t>农村</w:t>
            </w:r>
            <w:r>
              <w:rPr>
                <w:rFonts w:hint="eastAsia" w:eastAsia="仿宋_GB2312"/>
                <w:b/>
                <w:color w:val="auto"/>
                <w:sz w:val="24"/>
              </w:rPr>
              <w:t>供水</w:t>
            </w:r>
          </w:p>
        </w:tc>
        <w:tc>
          <w:tcPr>
            <w:tcW w:w="1000" w:type="dxa"/>
            <w:vAlign w:val="center"/>
          </w:tcPr>
          <w:p w14:paraId="18B523A4">
            <w:pPr>
              <w:spacing w:line="240" w:lineRule="exact"/>
              <w:jc w:val="center"/>
              <w:rPr>
                <w:rFonts w:ascii="Times New Roman" w:hAnsi="Times New Roman" w:eastAsia="仿宋_GB2312"/>
                <w:color w:val="auto"/>
                <w:sz w:val="24"/>
              </w:rPr>
            </w:pPr>
          </w:p>
        </w:tc>
        <w:tc>
          <w:tcPr>
            <w:tcW w:w="1921" w:type="dxa"/>
            <w:vAlign w:val="center"/>
          </w:tcPr>
          <w:p w14:paraId="1F8692B9">
            <w:pPr>
              <w:spacing w:line="240" w:lineRule="exact"/>
              <w:jc w:val="center"/>
              <w:rPr>
                <w:rFonts w:ascii="Times New Roman" w:hAnsi="Times New Roman" w:eastAsia="仿宋_GB2312"/>
                <w:color w:val="auto"/>
                <w:sz w:val="24"/>
              </w:rPr>
            </w:pPr>
          </w:p>
        </w:tc>
        <w:tc>
          <w:tcPr>
            <w:tcW w:w="1591" w:type="dxa"/>
            <w:vAlign w:val="center"/>
          </w:tcPr>
          <w:p w14:paraId="0AFD8D35">
            <w:pPr>
              <w:spacing w:line="240" w:lineRule="exact"/>
              <w:jc w:val="center"/>
              <w:rPr>
                <w:rFonts w:ascii="Times New Roman" w:hAnsi="Times New Roman"/>
                <w:color w:val="auto"/>
                <w:sz w:val="24"/>
              </w:rPr>
            </w:pPr>
          </w:p>
        </w:tc>
      </w:tr>
      <w:tr w14:paraId="302D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4993433">
            <w:pPr>
              <w:spacing w:line="240" w:lineRule="exact"/>
              <w:jc w:val="center"/>
              <w:rPr>
                <w:rFonts w:ascii="Times New Roman" w:hAnsi="Times New Roman"/>
                <w:color w:val="auto"/>
                <w:sz w:val="24"/>
              </w:rPr>
            </w:pPr>
            <w:r>
              <w:rPr>
                <w:rFonts w:ascii="Times New Roman" w:hAnsi="Times New Roman" w:eastAsia="仿宋_GB2312" w:cs="仿宋_GB2312"/>
                <w:color w:val="auto"/>
                <w:sz w:val="24"/>
              </w:rPr>
              <w:t>3</w:t>
            </w:r>
          </w:p>
        </w:tc>
        <w:tc>
          <w:tcPr>
            <w:tcW w:w="3829" w:type="dxa"/>
            <w:vAlign w:val="center"/>
          </w:tcPr>
          <w:p w14:paraId="20DD7BFE">
            <w:pPr>
              <w:spacing w:line="240" w:lineRule="exact"/>
              <w:rPr>
                <w:rFonts w:eastAsia="仿宋_GB2312"/>
                <w:color w:val="auto"/>
                <w:sz w:val="24"/>
              </w:rPr>
            </w:pPr>
            <w:r>
              <w:rPr>
                <w:rFonts w:hint="eastAsia" w:eastAsia="仿宋_GB2312"/>
                <w:color w:val="auto"/>
                <w:sz w:val="24"/>
              </w:rPr>
              <w:t>农村集中供水率</w:t>
            </w:r>
          </w:p>
        </w:tc>
        <w:tc>
          <w:tcPr>
            <w:tcW w:w="1000" w:type="dxa"/>
            <w:vAlign w:val="center"/>
          </w:tcPr>
          <w:p w14:paraId="3270656C">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58076740">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082F34A4">
            <w:pPr>
              <w:spacing w:line="240" w:lineRule="exact"/>
              <w:jc w:val="center"/>
              <w:rPr>
                <w:rFonts w:ascii="Times New Roman" w:hAnsi="Times New Roman"/>
                <w:color w:val="auto"/>
                <w:sz w:val="24"/>
              </w:rPr>
            </w:pPr>
          </w:p>
        </w:tc>
      </w:tr>
      <w:tr w14:paraId="66DC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E3E40EF">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w:t>
            </w:r>
          </w:p>
        </w:tc>
        <w:tc>
          <w:tcPr>
            <w:tcW w:w="3829" w:type="dxa"/>
            <w:vAlign w:val="center"/>
          </w:tcPr>
          <w:p w14:paraId="5A66679F">
            <w:pPr>
              <w:spacing w:line="240" w:lineRule="exact"/>
              <w:rPr>
                <w:rFonts w:eastAsia="仿宋_GB2312"/>
                <w:color w:val="auto"/>
                <w:sz w:val="24"/>
              </w:rPr>
            </w:pPr>
            <w:r>
              <w:rPr>
                <w:rFonts w:eastAsia="仿宋_GB2312"/>
                <w:color w:val="auto"/>
                <w:sz w:val="24"/>
              </w:rPr>
              <w:t>农村</w:t>
            </w:r>
            <w:r>
              <w:rPr>
                <w:rFonts w:hint="eastAsia" w:eastAsia="仿宋_GB2312"/>
                <w:color w:val="auto"/>
                <w:sz w:val="24"/>
              </w:rPr>
              <w:t>自来水普及率</w:t>
            </w:r>
          </w:p>
        </w:tc>
        <w:tc>
          <w:tcPr>
            <w:tcW w:w="1000" w:type="dxa"/>
            <w:vAlign w:val="center"/>
          </w:tcPr>
          <w:p w14:paraId="1CDFC8A7">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60332566">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1FBC877B">
            <w:pPr>
              <w:spacing w:line="240" w:lineRule="exact"/>
              <w:jc w:val="center"/>
              <w:rPr>
                <w:rFonts w:ascii="Times New Roman" w:hAnsi="Times New Roman"/>
                <w:color w:val="auto"/>
                <w:sz w:val="24"/>
              </w:rPr>
            </w:pPr>
          </w:p>
        </w:tc>
      </w:tr>
      <w:tr w14:paraId="1FE3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E833D90">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5</w:t>
            </w:r>
          </w:p>
        </w:tc>
        <w:tc>
          <w:tcPr>
            <w:tcW w:w="3829" w:type="dxa"/>
            <w:vAlign w:val="center"/>
          </w:tcPr>
          <w:p w14:paraId="64E6DEEE">
            <w:pPr>
              <w:spacing w:line="240" w:lineRule="exact"/>
              <w:rPr>
                <w:rFonts w:eastAsia="仿宋_GB2312"/>
                <w:color w:val="auto"/>
                <w:sz w:val="24"/>
              </w:rPr>
            </w:pPr>
            <w:r>
              <w:rPr>
                <w:rFonts w:hint="eastAsia" w:eastAsia="仿宋_GB2312"/>
                <w:color w:val="auto"/>
                <w:sz w:val="24"/>
              </w:rPr>
              <w:t>新建改扩建工程</w:t>
            </w:r>
          </w:p>
        </w:tc>
        <w:tc>
          <w:tcPr>
            <w:tcW w:w="1000" w:type="dxa"/>
            <w:vAlign w:val="center"/>
          </w:tcPr>
          <w:p w14:paraId="6C5C20F1">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14:paraId="6D4B5B7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113</w:t>
            </w:r>
          </w:p>
        </w:tc>
        <w:tc>
          <w:tcPr>
            <w:tcW w:w="1591" w:type="dxa"/>
            <w:vAlign w:val="center"/>
          </w:tcPr>
          <w:p w14:paraId="0438A7A4">
            <w:pPr>
              <w:spacing w:line="240" w:lineRule="exact"/>
              <w:jc w:val="left"/>
              <w:rPr>
                <w:rFonts w:ascii="Times New Roman" w:hAnsi="Times New Roman"/>
                <w:color w:val="auto"/>
                <w:sz w:val="18"/>
                <w:szCs w:val="18"/>
              </w:rPr>
            </w:pPr>
          </w:p>
        </w:tc>
      </w:tr>
      <w:tr w14:paraId="4E58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FE30DCD">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6</w:t>
            </w:r>
          </w:p>
        </w:tc>
        <w:tc>
          <w:tcPr>
            <w:tcW w:w="3829" w:type="dxa"/>
            <w:vAlign w:val="center"/>
          </w:tcPr>
          <w:p w14:paraId="38681B08">
            <w:pPr>
              <w:spacing w:line="240" w:lineRule="exact"/>
              <w:rPr>
                <w:rFonts w:eastAsia="仿宋_GB2312"/>
                <w:color w:val="auto"/>
                <w:sz w:val="24"/>
              </w:rPr>
            </w:pPr>
            <w:r>
              <w:rPr>
                <w:rFonts w:hint="eastAsia" w:eastAsia="仿宋_GB2312"/>
                <w:color w:val="auto"/>
                <w:sz w:val="24"/>
              </w:rPr>
              <w:t>小型供水工程</w:t>
            </w:r>
          </w:p>
        </w:tc>
        <w:tc>
          <w:tcPr>
            <w:tcW w:w="1000" w:type="dxa"/>
            <w:vAlign w:val="center"/>
          </w:tcPr>
          <w:p w14:paraId="5505F15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14:paraId="3F14827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w:t>
            </w:r>
          </w:p>
        </w:tc>
        <w:tc>
          <w:tcPr>
            <w:tcW w:w="1591" w:type="dxa"/>
            <w:vAlign w:val="center"/>
          </w:tcPr>
          <w:p w14:paraId="52214B78">
            <w:pPr>
              <w:spacing w:line="240" w:lineRule="exact"/>
              <w:jc w:val="left"/>
              <w:rPr>
                <w:rFonts w:ascii="Times New Roman" w:hAnsi="Times New Roman"/>
                <w:color w:val="auto"/>
                <w:sz w:val="18"/>
                <w:szCs w:val="18"/>
              </w:rPr>
            </w:pPr>
          </w:p>
        </w:tc>
      </w:tr>
      <w:tr w14:paraId="6C49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05684AA">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7</w:t>
            </w:r>
          </w:p>
        </w:tc>
        <w:tc>
          <w:tcPr>
            <w:tcW w:w="3829" w:type="dxa"/>
            <w:vAlign w:val="center"/>
          </w:tcPr>
          <w:p w14:paraId="556B8B0A">
            <w:pPr>
              <w:spacing w:line="240" w:lineRule="exact"/>
              <w:rPr>
                <w:rFonts w:eastAsia="仿宋_GB2312"/>
                <w:color w:val="auto"/>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000" w:type="dxa"/>
            <w:vAlign w:val="center"/>
          </w:tcPr>
          <w:p w14:paraId="01890D83">
            <w:pPr>
              <w:spacing w:line="240" w:lineRule="exact"/>
              <w:jc w:val="center"/>
              <w:rPr>
                <w:rFonts w:ascii="Times New Roman" w:hAnsi="Times New Roman" w:eastAsia="仿宋_GB2312"/>
                <w:color w:val="auto"/>
                <w:sz w:val="24"/>
              </w:rPr>
            </w:pPr>
            <w:r>
              <w:rPr>
                <w:rFonts w:eastAsia="仿宋_GB2312"/>
                <w:color w:val="auto"/>
                <w:kern w:val="0"/>
                <w:sz w:val="24"/>
              </w:rPr>
              <w:t>万人</w:t>
            </w:r>
          </w:p>
        </w:tc>
        <w:tc>
          <w:tcPr>
            <w:tcW w:w="1921" w:type="dxa"/>
            <w:vAlign w:val="center"/>
          </w:tcPr>
          <w:p w14:paraId="468FC4D6">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15.35</w:t>
            </w:r>
          </w:p>
        </w:tc>
        <w:tc>
          <w:tcPr>
            <w:tcW w:w="1591" w:type="dxa"/>
            <w:vAlign w:val="center"/>
          </w:tcPr>
          <w:p w14:paraId="2C969E4D">
            <w:pPr>
              <w:spacing w:line="240" w:lineRule="exact"/>
              <w:jc w:val="left"/>
              <w:rPr>
                <w:rFonts w:ascii="Times New Roman" w:hAnsi="Times New Roman"/>
                <w:color w:val="auto"/>
                <w:sz w:val="18"/>
                <w:szCs w:val="18"/>
              </w:rPr>
            </w:pPr>
          </w:p>
        </w:tc>
      </w:tr>
      <w:tr w14:paraId="242B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53AA7B7">
            <w:pPr>
              <w:spacing w:line="240" w:lineRule="exact"/>
              <w:jc w:val="center"/>
              <w:rPr>
                <w:rFonts w:ascii="Times New Roman" w:hAnsi="Times New Roman"/>
                <w:b/>
                <w:color w:val="auto"/>
                <w:sz w:val="24"/>
              </w:rPr>
            </w:pPr>
            <w:r>
              <w:rPr>
                <w:rFonts w:hint="eastAsia" w:ascii="Times New Roman" w:hAnsi="Times New Roman" w:eastAsia="仿宋_GB2312"/>
                <w:b/>
                <w:color w:val="auto"/>
                <w:sz w:val="24"/>
              </w:rPr>
              <w:t>三</w:t>
            </w:r>
          </w:p>
        </w:tc>
        <w:tc>
          <w:tcPr>
            <w:tcW w:w="3829" w:type="dxa"/>
            <w:vAlign w:val="center"/>
          </w:tcPr>
          <w:p w14:paraId="1EB8267A">
            <w:pPr>
              <w:spacing w:line="240" w:lineRule="exact"/>
              <w:rPr>
                <w:rFonts w:eastAsia="仿宋_GB2312"/>
                <w:b/>
                <w:color w:val="auto"/>
                <w:sz w:val="24"/>
              </w:rPr>
            </w:pPr>
            <w:r>
              <w:rPr>
                <w:rFonts w:eastAsia="仿宋_GB2312"/>
                <w:b/>
                <w:color w:val="auto"/>
                <w:sz w:val="24"/>
              </w:rPr>
              <w:t>农田灌溉</w:t>
            </w:r>
            <w:r>
              <w:rPr>
                <w:rFonts w:hint="eastAsia" w:eastAsia="仿宋_GB2312"/>
                <w:b/>
                <w:color w:val="auto"/>
                <w:sz w:val="24"/>
              </w:rPr>
              <w:t>提升</w:t>
            </w:r>
          </w:p>
        </w:tc>
        <w:tc>
          <w:tcPr>
            <w:tcW w:w="1000" w:type="dxa"/>
            <w:vAlign w:val="center"/>
          </w:tcPr>
          <w:p w14:paraId="13BC2C43">
            <w:pPr>
              <w:spacing w:line="240" w:lineRule="exact"/>
              <w:jc w:val="center"/>
              <w:rPr>
                <w:rFonts w:ascii="Times New Roman" w:hAnsi="Times New Roman" w:eastAsia="仿宋_GB2312"/>
                <w:color w:val="auto"/>
                <w:sz w:val="24"/>
              </w:rPr>
            </w:pPr>
          </w:p>
        </w:tc>
        <w:tc>
          <w:tcPr>
            <w:tcW w:w="1921" w:type="dxa"/>
            <w:vAlign w:val="center"/>
          </w:tcPr>
          <w:p w14:paraId="5CDB62BE">
            <w:pPr>
              <w:spacing w:line="240" w:lineRule="exact"/>
              <w:jc w:val="center"/>
              <w:rPr>
                <w:rFonts w:ascii="Times New Roman" w:hAnsi="Times New Roman" w:eastAsia="仿宋_GB2312"/>
                <w:color w:val="auto"/>
                <w:sz w:val="24"/>
              </w:rPr>
            </w:pPr>
          </w:p>
        </w:tc>
        <w:tc>
          <w:tcPr>
            <w:tcW w:w="1591" w:type="dxa"/>
            <w:vAlign w:val="center"/>
          </w:tcPr>
          <w:p w14:paraId="0F9B0DBA">
            <w:pPr>
              <w:spacing w:line="240" w:lineRule="exact"/>
              <w:rPr>
                <w:rFonts w:ascii="Times New Roman" w:hAnsi="Times New Roman"/>
                <w:color w:val="auto"/>
                <w:sz w:val="24"/>
              </w:rPr>
            </w:pPr>
          </w:p>
        </w:tc>
      </w:tr>
      <w:tr w14:paraId="039A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55AB485">
            <w:pPr>
              <w:spacing w:line="240" w:lineRule="exact"/>
              <w:jc w:val="center"/>
              <w:rPr>
                <w:rFonts w:ascii="Times New Roman" w:hAnsi="Times New Roman" w:eastAsia="仿宋_GB2312"/>
                <w:b/>
                <w:color w:val="auto"/>
                <w:sz w:val="24"/>
              </w:rPr>
            </w:pPr>
            <w:r>
              <w:rPr>
                <w:rFonts w:hint="eastAsia" w:ascii="Times New Roman" w:hAnsi="Times New Roman" w:eastAsia="仿宋_GB2312" w:cs="仿宋_GB2312"/>
                <w:color w:val="auto"/>
                <w:sz w:val="24"/>
              </w:rPr>
              <w:t>8</w:t>
            </w:r>
          </w:p>
        </w:tc>
        <w:tc>
          <w:tcPr>
            <w:tcW w:w="3829" w:type="dxa"/>
            <w:vAlign w:val="center"/>
          </w:tcPr>
          <w:p w14:paraId="23980936">
            <w:pPr>
              <w:spacing w:line="240" w:lineRule="exact"/>
              <w:rPr>
                <w:rFonts w:eastAsia="仿宋_GB2312"/>
                <w:color w:val="auto"/>
                <w:sz w:val="24"/>
              </w:rPr>
            </w:pPr>
            <w:r>
              <w:rPr>
                <w:rFonts w:hint="eastAsia" w:eastAsia="仿宋_GB2312"/>
                <w:color w:val="auto"/>
                <w:sz w:val="24"/>
              </w:rPr>
              <w:t>改善灌溉面积</w:t>
            </w:r>
          </w:p>
        </w:tc>
        <w:tc>
          <w:tcPr>
            <w:tcW w:w="1000" w:type="dxa"/>
            <w:vAlign w:val="center"/>
          </w:tcPr>
          <w:p w14:paraId="2B91E633">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14:paraId="2AA015E1">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68</w:t>
            </w:r>
          </w:p>
        </w:tc>
        <w:tc>
          <w:tcPr>
            <w:tcW w:w="1591" w:type="dxa"/>
            <w:vAlign w:val="center"/>
          </w:tcPr>
          <w:p w14:paraId="1D96C6D8">
            <w:pPr>
              <w:spacing w:line="240" w:lineRule="exact"/>
              <w:rPr>
                <w:rFonts w:ascii="Times New Roman" w:hAnsi="Times New Roman"/>
                <w:color w:val="auto"/>
                <w:sz w:val="24"/>
              </w:rPr>
            </w:pPr>
          </w:p>
        </w:tc>
      </w:tr>
      <w:tr w14:paraId="6E86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AB6C05E">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9</w:t>
            </w:r>
          </w:p>
        </w:tc>
        <w:tc>
          <w:tcPr>
            <w:tcW w:w="3829" w:type="dxa"/>
            <w:vAlign w:val="center"/>
          </w:tcPr>
          <w:p w14:paraId="37E79F9A">
            <w:pPr>
              <w:spacing w:line="240" w:lineRule="exact"/>
              <w:rPr>
                <w:rFonts w:eastAsia="仿宋_GB2312"/>
                <w:color w:val="auto"/>
                <w:sz w:val="24"/>
              </w:rPr>
            </w:pPr>
            <w:r>
              <w:rPr>
                <w:rFonts w:hint="eastAsia" w:eastAsia="仿宋_GB2312"/>
                <w:color w:val="auto"/>
                <w:sz w:val="24"/>
              </w:rPr>
              <w:t>灌区续建配套改造及维修养护</w:t>
            </w:r>
          </w:p>
        </w:tc>
        <w:tc>
          <w:tcPr>
            <w:tcW w:w="1000" w:type="dxa"/>
            <w:vAlign w:val="center"/>
          </w:tcPr>
          <w:p w14:paraId="43A9B6FD">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14:paraId="1EE706C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93</w:t>
            </w:r>
          </w:p>
        </w:tc>
        <w:tc>
          <w:tcPr>
            <w:tcW w:w="1591" w:type="dxa"/>
            <w:vAlign w:val="center"/>
          </w:tcPr>
          <w:p w14:paraId="38FA8B9D">
            <w:pPr>
              <w:spacing w:line="240" w:lineRule="exact"/>
              <w:jc w:val="center"/>
              <w:rPr>
                <w:rFonts w:ascii="Times New Roman" w:hAnsi="Times New Roman"/>
                <w:color w:val="auto"/>
                <w:sz w:val="24"/>
              </w:rPr>
            </w:pPr>
          </w:p>
        </w:tc>
      </w:tr>
      <w:tr w14:paraId="5D0C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1FDF97B">
            <w:pPr>
              <w:spacing w:line="240" w:lineRule="exact"/>
              <w:jc w:val="center"/>
              <w:rPr>
                <w:rFonts w:ascii="Times New Roman" w:hAnsi="Times New Roman"/>
                <w:color w:val="auto"/>
                <w:sz w:val="24"/>
              </w:rPr>
            </w:pPr>
            <w:r>
              <w:rPr>
                <w:rFonts w:hint="eastAsia" w:ascii="Times New Roman" w:hAnsi="Times New Roman" w:eastAsia="仿宋_GB2312"/>
                <w:b/>
                <w:color w:val="auto"/>
                <w:sz w:val="24"/>
              </w:rPr>
              <w:t>四</w:t>
            </w:r>
          </w:p>
        </w:tc>
        <w:tc>
          <w:tcPr>
            <w:tcW w:w="3829" w:type="dxa"/>
            <w:vAlign w:val="center"/>
          </w:tcPr>
          <w:p w14:paraId="783E4E32">
            <w:pPr>
              <w:spacing w:line="240" w:lineRule="exact"/>
              <w:rPr>
                <w:rFonts w:eastAsia="仿宋_GB2312"/>
                <w:color w:val="auto"/>
                <w:sz w:val="24"/>
              </w:rPr>
            </w:pPr>
            <w:r>
              <w:rPr>
                <w:rFonts w:eastAsia="仿宋_GB2312"/>
                <w:b/>
                <w:bCs/>
                <w:color w:val="auto"/>
                <w:sz w:val="24"/>
              </w:rPr>
              <w:t>农</w:t>
            </w:r>
            <w:r>
              <w:rPr>
                <w:rFonts w:hint="eastAsia" w:eastAsia="仿宋_GB2312"/>
                <w:b/>
                <w:bCs/>
                <w:color w:val="auto"/>
                <w:sz w:val="24"/>
              </w:rPr>
              <w:t>村水电提升</w:t>
            </w:r>
          </w:p>
        </w:tc>
        <w:tc>
          <w:tcPr>
            <w:tcW w:w="1000" w:type="dxa"/>
            <w:vAlign w:val="center"/>
          </w:tcPr>
          <w:p w14:paraId="0D80D092">
            <w:pPr>
              <w:spacing w:line="240" w:lineRule="exact"/>
              <w:jc w:val="center"/>
              <w:rPr>
                <w:rFonts w:ascii="Times New Roman" w:hAnsi="Times New Roman" w:eastAsia="仿宋_GB2312"/>
                <w:color w:val="auto"/>
                <w:sz w:val="24"/>
              </w:rPr>
            </w:pPr>
          </w:p>
        </w:tc>
        <w:tc>
          <w:tcPr>
            <w:tcW w:w="1921" w:type="dxa"/>
            <w:vAlign w:val="center"/>
          </w:tcPr>
          <w:p w14:paraId="253149C6">
            <w:pPr>
              <w:spacing w:line="240" w:lineRule="exact"/>
              <w:jc w:val="center"/>
              <w:rPr>
                <w:rFonts w:ascii="Times New Roman" w:hAnsi="Times New Roman" w:eastAsia="仿宋_GB2312"/>
                <w:color w:val="auto"/>
                <w:sz w:val="24"/>
              </w:rPr>
            </w:pPr>
          </w:p>
        </w:tc>
        <w:tc>
          <w:tcPr>
            <w:tcW w:w="1591" w:type="dxa"/>
            <w:vAlign w:val="center"/>
          </w:tcPr>
          <w:p w14:paraId="1E8DE2F1">
            <w:pPr>
              <w:spacing w:line="240" w:lineRule="exact"/>
              <w:jc w:val="center"/>
              <w:rPr>
                <w:rFonts w:ascii="Times New Roman" w:hAnsi="Times New Roman" w:eastAsia="仿宋_GB2312"/>
                <w:color w:val="auto"/>
                <w:sz w:val="24"/>
              </w:rPr>
            </w:pPr>
          </w:p>
        </w:tc>
      </w:tr>
      <w:tr w14:paraId="1E2B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432B617">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w:t>
            </w:r>
          </w:p>
        </w:tc>
        <w:tc>
          <w:tcPr>
            <w:tcW w:w="3829" w:type="dxa"/>
            <w:vAlign w:val="center"/>
          </w:tcPr>
          <w:p w14:paraId="0BE10094">
            <w:pPr>
              <w:spacing w:line="240" w:lineRule="exact"/>
              <w:rPr>
                <w:rFonts w:eastAsia="仿宋_GB2312"/>
                <w:color w:val="auto"/>
                <w:sz w:val="24"/>
              </w:rPr>
            </w:pPr>
            <w:r>
              <w:rPr>
                <w:rFonts w:eastAsia="仿宋_GB2312"/>
                <w:color w:val="auto"/>
                <w:sz w:val="24"/>
              </w:rPr>
              <w:t>新增装机容量</w:t>
            </w:r>
          </w:p>
        </w:tc>
        <w:tc>
          <w:tcPr>
            <w:tcW w:w="1000" w:type="dxa"/>
            <w:vAlign w:val="center"/>
          </w:tcPr>
          <w:p w14:paraId="7437BFEF">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kW</w:t>
            </w:r>
          </w:p>
        </w:tc>
        <w:tc>
          <w:tcPr>
            <w:tcW w:w="1921" w:type="dxa"/>
            <w:vAlign w:val="center"/>
          </w:tcPr>
          <w:p w14:paraId="5219443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1000</w:t>
            </w:r>
          </w:p>
        </w:tc>
        <w:tc>
          <w:tcPr>
            <w:tcW w:w="1591" w:type="dxa"/>
            <w:vAlign w:val="center"/>
          </w:tcPr>
          <w:p w14:paraId="20327610">
            <w:pPr>
              <w:spacing w:line="240" w:lineRule="exact"/>
              <w:jc w:val="center"/>
              <w:rPr>
                <w:rFonts w:ascii="Times New Roman" w:hAnsi="Times New Roman" w:eastAsia="仿宋_GB2312"/>
                <w:color w:val="auto"/>
                <w:sz w:val="24"/>
              </w:rPr>
            </w:pPr>
          </w:p>
        </w:tc>
      </w:tr>
      <w:tr w14:paraId="4123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2D10383">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1</w:t>
            </w:r>
          </w:p>
        </w:tc>
        <w:tc>
          <w:tcPr>
            <w:tcW w:w="3829" w:type="dxa"/>
            <w:vAlign w:val="center"/>
          </w:tcPr>
          <w:p w14:paraId="40237CD3">
            <w:pPr>
              <w:spacing w:line="240" w:lineRule="exact"/>
              <w:rPr>
                <w:rFonts w:eastAsia="仿宋_GB2312"/>
                <w:color w:val="auto"/>
                <w:sz w:val="24"/>
              </w:rPr>
            </w:pPr>
            <w:r>
              <w:rPr>
                <w:rFonts w:eastAsia="仿宋_GB2312"/>
                <w:color w:val="auto"/>
                <w:sz w:val="24"/>
              </w:rPr>
              <w:t>总装机容量</w:t>
            </w:r>
          </w:p>
        </w:tc>
        <w:tc>
          <w:tcPr>
            <w:tcW w:w="1000" w:type="dxa"/>
            <w:vAlign w:val="center"/>
          </w:tcPr>
          <w:p w14:paraId="6C80DF26">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万</w:t>
            </w:r>
            <w:r>
              <w:rPr>
                <w:rFonts w:ascii="Times New Roman" w:hAnsi="Times New Roman" w:eastAsia="仿宋_GB2312" w:cs="仿宋_GB2312"/>
                <w:color w:val="auto"/>
                <w:sz w:val="24"/>
              </w:rPr>
              <w:t>kW</w:t>
            </w:r>
          </w:p>
        </w:tc>
        <w:tc>
          <w:tcPr>
            <w:tcW w:w="1921" w:type="dxa"/>
            <w:vAlign w:val="center"/>
          </w:tcPr>
          <w:p w14:paraId="6AA48A6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421</w:t>
            </w:r>
          </w:p>
        </w:tc>
        <w:tc>
          <w:tcPr>
            <w:tcW w:w="1591" w:type="dxa"/>
            <w:vAlign w:val="center"/>
          </w:tcPr>
          <w:p w14:paraId="2900AD0B">
            <w:pPr>
              <w:spacing w:line="240" w:lineRule="exact"/>
              <w:jc w:val="center"/>
              <w:rPr>
                <w:rFonts w:ascii="Times New Roman" w:hAnsi="Times New Roman" w:eastAsia="仿宋_GB2312"/>
                <w:color w:val="auto"/>
                <w:sz w:val="24"/>
              </w:rPr>
            </w:pPr>
          </w:p>
        </w:tc>
      </w:tr>
      <w:tr w14:paraId="17CB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139A9051">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五</w:t>
            </w:r>
          </w:p>
        </w:tc>
        <w:tc>
          <w:tcPr>
            <w:tcW w:w="3829" w:type="dxa"/>
            <w:vAlign w:val="center"/>
          </w:tcPr>
          <w:p w14:paraId="3B249A03">
            <w:pPr>
              <w:spacing w:line="240" w:lineRule="exact"/>
              <w:rPr>
                <w:rFonts w:eastAsia="仿宋_GB2312"/>
                <w:color w:val="auto"/>
                <w:sz w:val="24"/>
              </w:rPr>
            </w:pPr>
            <w:r>
              <w:rPr>
                <w:rFonts w:hint="eastAsia" w:eastAsia="仿宋_GB2312"/>
                <w:b/>
                <w:color w:val="auto"/>
                <w:sz w:val="24"/>
              </w:rPr>
              <w:t>水土保持规划</w:t>
            </w:r>
          </w:p>
        </w:tc>
        <w:tc>
          <w:tcPr>
            <w:tcW w:w="1000" w:type="dxa"/>
            <w:vAlign w:val="center"/>
          </w:tcPr>
          <w:p w14:paraId="5FE294B1">
            <w:pPr>
              <w:spacing w:line="240" w:lineRule="exact"/>
              <w:jc w:val="center"/>
              <w:rPr>
                <w:rFonts w:ascii="Times New Roman" w:hAnsi="Times New Roman" w:eastAsia="仿宋_GB2312"/>
                <w:color w:val="auto"/>
                <w:sz w:val="24"/>
              </w:rPr>
            </w:pPr>
          </w:p>
        </w:tc>
        <w:tc>
          <w:tcPr>
            <w:tcW w:w="1921" w:type="dxa"/>
            <w:vAlign w:val="center"/>
          </w:tcPr>
          <w:p w14:paraId="21EF2E25">
            <w:pPr>
              <w:spacing w:line="240" w:lineRule="exact"/>
              <w:jc w:val="center"/>
              <w:rPr>
                <w:rFonts w:ascii="Times New Roman" w:hAnsi="Times New Roman" w:eastAsia="仿宋_GB2312"/>
                <w:color w:val="auto"/>
                <w:sz w:val="24"/>
              </w:rPr>
            </w:pPr>
          </w:p>
        </w:tc>
        <w:tc>
          <w:tcPr>
            <w:tcW w:w="1591" w:type="dxa"/>
            <w:vAlign w:val="center"/>
          </w:tcPr>
          <w:p w14:paraId="4CCE5C97">
            <w:pPr>
              <w:spacing w:line="240" w:lineRule="exact"/>
              <w:jc w:val="center"/>
              <w:rPr>
                <w:rFonts w:ascii="Times New Roman" w:hAnsi="Times New Roman" w:eastAsia="仿宋_GB2312"/>
                <w:color w:val="auto"/>
                <w:sz w:val="24"/>
              </w:rPr>
            </w:pPr>
          </w:p>
        </w:tc>
      </w:tr>
      <w:tr w14:paraId="7394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5CE777E3">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2</w:t>
            </w:r>
          </w:p>
        </w:tc>
        <w:tc>
          <w:tcPr>
            <w:tcW w:w="3829" w:type="dxa"/>
            <w:vAlign w:val="center"/>
          </w:tcPr>
          <w:p w14:paraId="581F9A7D">
            <w:pPr>
              <w:spacing w:line="240" w:lineRule="exact"/>
              <w:rPr>
                <w:rFonts w:eastAsia="仿宋_GB2312"/>
                <w:color w:val="auto"/>
                <w:sz w:val="24"/>
              </w:rPr>
            </w:pPr>
            <w:r>
              <w:rPr>
                <w:rFonts w:eastAsia="仿宋_GB2312"/>
                <w:color w:val="auto"/>
                <w:sz w:val="24"/>
              </w:rPr>
              <w:t>综合治理水土流失面积</w:t>
            </w:r>
          </w:p>
        </w:tc>
        <w:tc>
          <w:tcPr>
            <w:tcW w:w="1000" w:type="dxa"/>
            <w:vAlign w:val="center"/>
          </w:tcPr>
          <w:p w14:paraId="5CC10DDA">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k</w:t>
            </w:r>
            <w:r>
              <w:rPr>
                <w:rFonts w:ascii="Times New Roman" w:hAnsi="Times New Roman" w:eastAsia="仿宋_GB2312" w:cs="仿宋_GB2312"/>
                <w:color w:val="auto"/>
                <w:sz w:val="24"/>
              </w:rPr>
              <w:t>m</w:t>
            </w:r>
            <w:r>
              <w:rPr>
                <w:rFonts w:hint="eastAsia" w:ascii="Times New Roman" w:hAnsi="Times New Roman" w:eastAsia="仿宋_GB2312" w:cs="仿宋_GB2312"/>
                <w:color w:val="auto"/>
                <w:sz w:val="24"/>
                <w:vertAlign w:val="superscript"/>
              </w:rPr>
              <w:t>2</w:t>
            </w:r>
          </w:p>
        </w:tc>
        <w:tc>
          <w:tcPr>
            <w:tcW w:w="1921" w:type="dxa"/>
            <w:vAlign w:val="center"/>
          </w:tcPr>
          <w:p w14:paraId="6E78CEBD">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425.35</w:t>
            </w:r>
          </w:p>
        </w:tc>
        <w:tc>
          <w:tcPr>
            <w:tcW w:w="1591" w:type="dxa"/>
            <w:vAlign w:val="center"/>
          </w:tcPr>
          <w:p w14:paraId="777F97AF">
            <w:pPr>
              <w:spacing w:line="240" w:lineRule="exact"/>
              <w:jc w:val="center"/>
              <w:rPr>
                <w:rFonts w:ascii="Times New Roman" w:hAnsi="Times New Roman" w:eastAsia="仿宋_GB2312"/>
                <w:color w:val="auto"/>
                <w:sz w:val="24"/>
              </w:rPr>
            </w:pPr>
          </w:p>
        </w:tc>
      </w:tr>
      <w:tr w14:paraId="7D10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F756648">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3</w:t>
            </w:r>
          </w:p>
        </w:tc>
        <w:tc>
          <w:tcPr>
            <w:tcW w:w="3829" w:type="dxa"/>
            <w:vAlign w:val="center"/>
          </w:tcPr>
          <w:p w14:paraId="10A16701">
            <w:pPr>
              <w:spacing w:line="240" w:lineRule="exact"/>
              <w:rPr>
                <w:rFonts w:eastAsia="仿宋_GB2312"/>
                <w:color w:val="auto"/>
                <w:sz w:val="24"/>
              </w:rPr>
            </w:pPr>
            <w:r>
              <w:rPr>
                <w:rFonts w:eastAsia="仿宋_GB2312"/>
                <w:color w:val="auto"/>
                <w:sz w:val="24"/>
              </w:rPr>
              <w:t>河道综合治理长度</w:t>
            </w:r>
          </w:p>
        </w:tc>
        <w:tc>
          <w:tcPr>
            <w:tcW w:w="1000" w:type="dxa"/>
            <w:vAlign w:val="center"/>
          </w:tcPr>
          <w:p w14:paraId="72B8EA06">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km</w:t>
            </w:r>
          </w:p>
        </w:tc>
        <w:tc>
          <w:tcPr>
            <w:tcW w:w="1921" w:type="dxa"/>
            <w:vAlign w:val="center"/>
          </w:tcPr>
          <w:p w14:paraId="2F3385E0">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219.28</w:t>
            </w:r>
          </w:p>
        </w:tc>
        <w:tc>
          <w:tcPr>
            <w:tcW w:w="1591" w:type="dxa"/>
            <w:vAlign w:val="center"/>
          </w:tcPr>
          <w:p w14:paraId="0D79BB0C">
            <w:pPr>
              <w:spacing w:line="240" w:lineRule="exact"/>
              <w:jc w:val="center"/>
              <w:rPr>
                <w:rFonts w:ascii="Times New Roman" w:hAnsi="Times New Roman" w:eastAsia="仿宋_GB2312"/>
                <w:color w:val="auto"/>
                <w:sz w:val="24"/>
              </w:rPr>
            </w:pPr>
          </w:p>
        </w:tc>
      </w:tr>
      <w:tr w14:paraId="1C35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33" w:type="dxa"/>
            <w:vAlign w:val="center"/>
          </w:tcPr>
          <w:p w14:paraId="60D4CF35">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六</w:t>
            </w:r>
          </w:p>
        </w:tc>
        <w:tc>
          <w:tcPr>
            <w:tcW w:w="3829" w:type="dxa"/>
            <w:vAlign w:val="center"/>
          </w:tcPr>
          <w:p w14:paraId="17E18A7C">
            <w:pPr>
              <w:spacing w:line="240" w:lineRule="exact"/>
              <w:rPr>
                <w:rFonts w:eastAsia="仿宋_GB2312"/>
                <w:color w:val="auto"/>
                <w:sz w:val="24"/>
              </w:rPr>
            </w:pPr>
            <w:r>
              <w:rPr>
                <w:rFonts w:eastAsia="仿宋_GB2312"/>
                <w:b/>
                <w:color w:val="auto"/>
                <w:sz w:val="24"/>
              </w:rPr>
              <w:t>节水型社会</w:t>
            </w:r>
            <w:r>
              <w:rPr>
                <w:rFonts w:hint="eastAsia" w:eastAsia="仿宋_GB2312"/>
                <w:b/>
                <w:color w:val="auto"/>
                <w:sz w:val="24"/>
              </w:rPr>
              <w:t>提升</w:t>
            </w:r>
          </w:p>
        </w:tc>
        <w:tc>
          <w:tcPr>
            <w:tcW w:w="1000" w:type="dxa"/>
            <w:vAlign w:val="center"/>
          </w:tcPr>
          <w:p w14:paraId="2C88B259">
            <w:pPr>
              <w:spacing w:line="240" w:lineRule="exact"/>
              <w:jc w:val="center"/>
              <w:rPr>
                <w:rFonts w:ascii="Times New Roman" w:hAnsi="Times New Roman" w:eastAsia="仿宋_GB2312"/>
                <w:color w:val="auto"/>
                <w:sz w:val="24"/>
              </w:rPr>
            </w:pPr>
          </w:p>
        </w:tc>
        <w:tc>
          <w:tcPr>
            <w:tcW w:w="1921" w:type="dxa"/>
            <w:vAlign w:val="center"/>
          </w:tcPr>
          <w:p w14:paraId="1E1E2D74">
            <w:pPr>
              <w:spacing w:line="240" w:lineRule="exact"/>
              <w:jc w:val="center"/>
              <w:rPr>
                <w:rFonts w:ascii="Times New Roman" w:hAnsi="Times New Roman" w:eastAsia="仿宋_GB2312"/>
                <w:color w:val="auto"/>
                <w:sz w:val="24"/>
              </w:rPr>
            </w:pPr>
          </w:p>
        </w:tc>
        <w:tc>
          <w:tcPr>
            <w:tcW w:w="1591" w:type="dxa"/>
            <w:vAlign w:val="center"/>
          </w:tcPr>
          <w:p w14:paraId="58803B9A">
            <w:pPr>
              <w:spacing w:line="240" w:lineRule="exact"/>
              <w:jc w:val="center"/>
              <w:rPr>
                <w:rFonts w:ascii="Times New Roman" w:hAnsi="Times New Roman" w:eastAsia="仿宋_GB2312"/>
                <w:color w:val="auto"/>
                <w:sz w:val="24"/>
              </w:rPr>
            </w:pPr>
          </w:p>
        </w:tc>
      </w:tr>
      <w:tr w14:paraId="72BE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9485B8B">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4</w:t>
            </w:r>
          </w:p>
        </w:tc>
        <w:tc>
          <w:tcPr>
            <w:tcW w:w="3829" w:type="dxa"/>
            <w:vAlign w:val="center"/>
          </w:tcPr>
          <w:p w14:paraId="6FB867D7">
            <w:pPr>
              <w:spacing w:line="240" w:lineRule="exact"/>
              <w:rPr>
                <w:rFonts w:eastAsia="仿宋_GB2312"/>
                <w:color w:val="auto"/>
                <w:sz w:val="24"/>
              </w:rPr>
            </w:pPr>
            <w:r>
              <w:rPr>
                <w:rFonts w:eastAsia="仿宋_GB2312"/>
                <w:color w:val="auto"/>
                <w:sz w:val="24"/>
              </w:rPr>
              <w:t>万元</w:t>
            </w:r>
            <w:r>
              <w:rPr>
                <w:rFonts w:ascii="Times New Roman" w:hAnsi="Times New Roman" w:eastAsia="仿宋_GB2312" w:cs="仿宋_GB2312"/>
                <w:color w:val="auto"/>
                <w:sz w:val="24"/>
              </w:rPr>
              <w:t>GDP</w:t>
            </w:r>
            <w:r>
              <w:rPr>
                <w:rFonts w:eastAsia="仿宋_GB2312"/>
                <w:color w:val="auto"/>
                <w:sz w:val="24"/>
              </w:rPr>
              <w:t>耗水量</w:t>
            </w:r>
          </w:p>
        </w:tc>
        <w:tc>
          <w:tcPr>
            <w:tcW w:w="1000" w:type="dxa"/>
            <w:vAlign w:val="center"/>
          </w:tcPr>
          <w:p w14:paraId="57E8F4C5">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7C9D970D">
            <w:pPr>
              <w:spacing w:line="240" w:lineRule="exact"/>
              <w:jc w:val="center"/>
              <w:rPr>
                <w:rFonts w:ascii="Times New Roman" w:hAnsi="Times New Roman" w:eastAsia="仿宋_GB2312"/>
                <w:color w:val="auto"/>
                <w:sz w:val="24"/>
              </w:rPr>
            </w:pPr>
          </w:p>
        </w:tc>
        <w:tc>
          <w:tcPr>
            <w:tcW w:w="1591" w:type="dxa"/>
            <w:vAlign w:val="center"/>
          </w:tcPr>
          <w:p w14:paraId="12AE809C">
            <w:pPr>
              <w:spacing w:line="240" w:lineRule="exact"/>
              <w:jc w:val="center"/>
              <w:rPr>
                <w:rFonts w:ascii="Times New Roman" w:hAnsi="Times New Roman" w:eastAsia="仿宋_GB2312"/>
                <w:color w:val="auto"/>
                <w:sz w:val="24"/>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14:paraId="663B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7D50987A">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5</w:t>
            </w:r>
          </w:p>
        </w:tc>
        <w:tc>
          <w:tcPr>
            <w:tcW w:w="3829" w:type="dxa"/>
            <w:vAlign w:val="center"/>
          </w:tcPr>
          <w:p w14:paraId="6B9B2309">
            <w:pPr>
              <w:spacing w:line="240" w:lineRule="exact"/>
              <w:rPr>
                <w:rFonts w:eastAsia="仿宋_GB2312"/>
                <w:color w:val="auto"/>
                <w:sz w:val="24"/>
              </w:rPr>
            </w:pPr>
            <w:r>
              <w:rPr>
                <w:rFonts w:hint="eastAsia" w:eastAsia="仿宋_GB2312"/>
                <w:color w:val="auto"/>
                <w:sz w:val="24"/>
              </w:rPr>
              <w:t>万元工业增加值用水量</w:t>
            </w:r>
          </w:p>
        </w:tc>
        <w:tc>
          <w:tcPr>
            <w:tcW w:w="1000" w:type="dxa"/>
            <w:vAlign w:val="center"/>
          </w:tcPr>
          <w:p w14:paraId="5991CA9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039CE83E">
            <w:pPr>
              <w:spacing w:line="240" w:lineRule="exact"/>
              <w:jc w:val="center"/>
              <w:rPr>
                <w:rFonts w:ascii="Times New Roman" w:hAnsi="Times New Roman" w:eastAsia="仿宋_GB2312"/>
                <w:color w:val="auto"/>
                <w:sz w:val="24"/>
              </w:rPr>
            </w:pPr>
          </w:p>
        </w:tc>
        <w:tc>
          <w:tcPr>
            <w:tcW w:w="1591" w:type="dxa"/>
            <w:vAlign w:val="center"/>
          </w:tcPr>
          <w:p w14:paraId="218C6E4B">
            <w:pPr>
              <w:spacing w:line="240" w:lineRule="exact"/>
              <w:jc w:val="center"/>
              <w:rPr>
                <w:rFonts w:ascii="Times New Roman" w:hAnsi="Times New Roman" w:eastAsia="仿宋_GB2312"/>
                <w:color w:val="auto"/>
                <w:sz w:val="18"/>
                <w:szCs w:val="18"/>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14:paraId="2B0E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004D6F4">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16</w:t>
            </w:r>
          </w:p>
        </w:tc>
        <w:tc>
          <w:tcPr>
            <w:tcW w:w="3829" w:type="dxa"/>
            <w:vAlign w:val="center"/>
          </w:tcPr>
          <w:p w14:paraId="7BA5E408">
            <w:pPr>
              <w:spacing w:line="240" w:lineRule="exact"/>
              <w:rPr>
                <w:rFonts w:eastAsia="仿宋_GB2312"/>
                <w:color w:val="auto"/>
                <w:sz w:val="24"/>
              </w:rPr>
            </w:pPr>
            <w:r>
              <w:rPr>
                <w:rFonts w:eastAsia="仿宋_GB2312"/>
                <w:color w:val="auto"/>
                <w:sz w:val="24"/>
              </w:rPr>
              <w:t>农业灌溉水有效利用系数</w:t>
            </w:r>
          </w:p>
        </w:tc>
        <w:tc>
          <w:tcPr>
            <w:tcW w:w="1000" w:type="dxa"/>
            <w:vAlign w:val="center"/>
          </w:tcPr>
          <w:p w14:paraId="3B47DC1B">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2C3DFF99">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59</w:t>
            </w:r>
          </w:p>
        </w:tc>
        <w:tc>
          <w:tcPr>
            <w:tcW w:w="1591" w:type="dxa"/>
            <w:vAlign w:val="center"/>
          </w:tcPr>
          <w:p w14:paraId="0DFFB7FD">
            <w:pPr>
              <w:spacing w:line="240" w:lineRule="exact"/>
              <w:jc w:val="center"/>
              <w:rPr>
                <w:rFonts w:ascii="Times New Roman" w:hAnsi="Times New Roman" w:eastAsia="仿宋_GB2312"/>
                <w:color w:val="auto"/>
                <w:sz w:val="18"/>
                <w:szCs w:val="18"/>
              </w:rPr>
            </w:pPr>
          </w:p>
        </w:tc>
      </w:tr>
      <w:tr w14:paraId="42A9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74F07D59">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17</w:t>
            </w:r>
          </w:p>
        </w:tc>
        <w:tc>
          <w:tcPr>
            <w:tcW w:w="3829" w:type="dxa"/>
            <w:vAlign w:val="center"/>
          </w:tcPr>
          <w:p w14:paraId="00DCCD34">
            <w:pPr>
              <w:spacing w:line="240" w:lineRule="exact"/>
              <w:rPr>
                <w:rFonts w:eastAsia="仿宋_GB2312"/>
                <w:color w:val="auto"/>
                <w:sz w:val="24"/>
              </w:rPr>
            </w:pPr>
            <w:r>
              <w:rPr>
                <w:rFonts w:eastAsia="仿宋_GB2312"/>
                <w:color w:val="auto"/>
                <w:sz w:val="24"/>
              </w:rPr>
              <w:t>综合亩均毛灌溉用水量</w:t>
            </w:r>
          </w:p>
        </w:tc>
        <w:tc>
          <w:tcPr>
            <w:tcW w:w="1000" w:type="dxa"/>
            <w:vAlign w:val="center"/>
          </w:tcPr>
          <w:p w14:paraId="7703B040">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r>
              <w:rPr>
                <w:rFonts w:ascii="Times New Roman" w:hAnsi="Times New Roman" w:eastAsia="仿宋_GB2312"/>
                <w:color w:val="auto"/>
                <w:sz w:val="24"/>
              </w:rPr>
              <w:t>/亩</w:t>
            </w:r>
          </w:p>
        </w:tc>
        <w:tc>
          <w:tcPr>
            <w:tcW w:w="1921" w:type="dxa"/>
            <w:vAlign w:val="center"/>
          </w:tcPr>
          <w:p w14:paraId="587B3551">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140</w:t>
            </w:r>
          </w:p>
        </w:tc>
        <w:tc>
          <w:tcPr>
            <w:tcW w:w="1591" w:type="dxa"/>
            <w:vAlign w:val="center"/>
          </w:tcPr>
          <w:p w14:paraId="09DE6D37">
            <w:pPr>
              <w:spacing w:line="240" w:lineRule="exact"/>
              <w:jc w:val="center"/>
              <w:rPr>
                <w:rFonts w:ascii="Times New Roman" w:hAnsi="Times New Roman" w:eastAsia="仿宋_GB2312"/>
                <w:color w:val="auto"/>
                <w:sz w:val="24"/>
              </w:rPr>
            </w:pPr>
          </w:p>
        </w:tc>
      </w:tr>
      <w:tr w14:paraId="10BD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833" w:type="dxa"/>
            <w:vAlign w:val="center"/>
          </w:tcPr>
          <w:p w14:paraId="7088E41F">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七</w:t>
            </w:r>
          </w:p>
        </w:tc>
        <w:tc>
          <w:tcPr>
            <w:tcW w:w="3829" w:type="dxa"/>
            <w:vAlign w:val="center"/>
          </w:tcPr>
          <w:p w14:paraId="4C806F2D">
            <w:pPr>
              <w:spacing w:line="240" w:lineRule="exact"/>
              <w:rPr>
                <w:rFonts w:eastAsia="仿宋_GB2312"/>
                <w:color w:val="auto"/>
                <w:sz w:val="24"/>
              </w:rPr>
            </w:pPr>
            <w:r>
              <w:rPr>
                <w:rFonts w:hint="eastAsia" w:eastAsia="仿宋_GB2312"/>
                <w:b/>
                <w:bCs/>
                <w:color w:val="auto"/>
                <w:sz w:val="24"/>
              </w:rPr>
              <w:t>水利管理能力提升</w:t>
            </w:r>
          </w:p>
        </w:tc>
        <w:tc>
          <w:tcPr>
            <w:tcW w:w="1000" w:type="dxa"/>
            <w:vAlign w:val="center"/>
          </w:tcPr>
          <w:p w14:paraId="7937A35D">
            <w:pPr>
              <w:spacing w:line="240" w:lineRule="exact"/>
              <w:jc w:val="center"/>
              <w:rPr>
                <w:rFonts w:ascii="Times New Roman" w:hAnsi="Times New Roman" w:eastAsia="仿宋_GB2312"/>
                <w:color w:val="auto"/>
                <w:sz w:val="24"/>
              </w:rPr>
            </w:pPr>
          </w:p>
        </w:tc>
        <w:tc>
          <w:tcPr>
            <w:tcW w:w="1921" w:type="dxa"/>
            <w:vAlign w:val="center"/>
          </w:tcPr>
          <w:p w14:paraId="58D1DD57">
            <w:pPr>
              <w:spacing w:line="240" w:lineRule="exact"/>
              <w:jc w:val="center"/>
              <w:rPr>
                <w:rFonts w:ascii="Times New Roman" w:hAnsi="Times New Roman" w:eastAsia="仿宋_GB2312"/>
                <w:color w:val="auto"/>
                <w:sz w:val="24"/>
              </w:rPr>
            </w:pPr>
          </w:p>
        </w:tc>
        <w:tc>
          <w:tcPr>
            <w:tcW w:w="1591" w:type="dxa"/>
            <w:vAlign w:val="center"/>
          </w:tcPr>
          <w:p w14:paraId="6C661D42">
            <w:pPr>
              <w:spacing w:line="240" w:lineRule="exact"/>
              <w:jc w:val="center"/>
              <w:rPr>
                <w:rFonts w:ascii="Times New Roman" w:hAnsi="Times New Roman" w:eastAsia="仿宋_GB2312"/>
                <w:color w:val="auto"/>
                <w:sz w:val="24"/>
              </w:rPr>
            </w:pPr>
          </w:p>
        </w:tc>
      </w:tr>
      <w:tr w14:paraId="3C18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3F0E60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18</w:t>
            </w:r>
          </w:p>
        </w:tc>
        <w:tc>
          <w:tcPr>
            <w:tcW w:w="3829" w:type="dxa"/>
            <w:vAlign w:val="center"/>
          </w:tcPr>
          <w:p w14:paraId="3AEC161B">
            <w:pPr>
              <w:spacing w:line="240" w:lineRule="exact"/>
              <w:rPr>
                <w:rFonts w:eastAsia="仿宋_GB2312"/>
                <w:color w:val="auto"/>
                <w:sz w:val="24"/>
              </w:rPr>
            </w:pPr>
            <w:r>
              <w:rPr>
                <w:rFonts w:hint="eastAsia" w:eastAsia="仿宋_GB2312"/>
                <w:color w:val="auto"/>
                <w:sz w:val="24"/>
              </w:rPr>
              <w:t>水库清淤</w:t>
            </w:r>
          </w:p>
        </w:tc>
        <w:tc>
          <w:tcPr>
            <w:tcW w:w="1000" w:type="dxa"/>
            <w:vAlign w:val="center"/>
          </w:tcPr>
          <w:p w14:paraId="70E9A70B">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14:paraId="5D9CD8CF">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130</w:t>
            </w:r>
          </w:p>
        </w:tc>
        <w:tc>
          <w:tcPr>
            <w:tcW w:w="1591" w:type="dxa"/>
            <w:vAlign w:val="center"/>
          </w:tcPr>
          <w:p w14:paraId="787FBD39">
            <w:pPr>
              <w:spacing w:line="240" w:lineRule="exact"/>
              <w:jc w:val="center"/>
              <w:rPr>
                <w:rFonts w:ascii="Times New Roman" w:hAnsi="Times New Roman" w:eastAsia="仿宋_GB2312"/>
                <w:color w:val="auto"/>
                <w:sz w:val="24"/>
              </w:rPr>
            </w:pPr>
          </w:p>
        </w:tc>
      </w:tr>
    </w:tbl>
    <w:p w14:paraId="36CA6F94">
      <w:pPr>
        <w:rPr>
          <w:color w:val="auto"/>
        </w:rPr>
      </w:pPr>
    </w:p>
    <w:p w14:paraId="6CBC082B">
      <w:pPr>
        <w:autoSpaceDN w:val="0"/>
        <w:spacing w:line="560" w:lineRule="exact"/>
        <w:textAlignment w:val="bottom"/>
        <w:rPr>
          <w:rFonts w:eastAsia="黑体"/>
          <w:color w:val="auto"/>
          <w:sz w:val="24"/>
        </w:rPr>
        <w:sectPr>
          <w:pgSz w:w="11907" w:h="16840"/>
          <w:pgMar w:top="1418" w:right="1418" w:bottom="1361" w:left="1531" w:header="964" w:footer="964" w:gutter="0"/>
          <w:pgNumType w:fmt="numberInDash"/>
          <w:cols w:space="720" w:num="1"/>
          <w:docGrid w:linePitch="312" w:charSpace="0"/>
        </w:sectPr>
      </w:pPr>
    </w:p>
    <w:p w14:paraId="42C3F20A">
      <w:pPr>
        <w:jc w:val="center"/>
        <w:rPr>
          <w:rFonts w:ascii="Times New Roman" w:hAnsi="Times New Roman" w:eastAsia="仿宋"/>
          <w:color w:val="auto"/>
          <w:sz w:val="28"/>
          <w:szCs w:val="28"/>
        </w:rPr>
      </w:pPr>
      <w:r>
        <w:rPr>
          <w:rFonts w:hint="eastAsia" w:ascii="Times New Roman" w:hAnsi="Times New Roman" w:eastAsia="仿宋"/>
          <w:color w:val="auto"/>
          <w:sz w:val="28"/>
          <w:szCs w:val="28"/>
        </w:rPr>
        <w:t>沁水县“</w:t>
      </w:r>
      <w:r>
        <w:rPr>
          <w:rFonts w:ascii="Times New Roman" w:hAnsi="Times New Roman" w:eastAsia="仿宋"/>
          <w:color w:val="auto"/>
          <w:sz w:val="28"/>
          <w:szCs w:val="28"/>
        </w:rPr>
        <w:t>十四五</w:t>
      </w:r>
      <w:r>
        <w:rPr>
          <w:rFonts w:hint="eastAsia" w:ascii="Times New Roman" w:hAnsi="Times New Roman" w:eastAsia="仿宋"/>
          <w:color w:val="auto"/>
          <w:sz w:val="28"/>
          <w:szCs w:val="28"/>
        </w:rPr>
        <w:t>”</w:t>
      </w:r>
      <w:r>
        <w:rPr>
          <w:rFonts w:ascii="Times New Roman" w:hAnsi="Times New Roman" w:eastAsia="仿宋"/>
          <w:color w:val="auto"/>
          <w:sz w:val="28"/>
          <w:szCs w:val="28"/>
        </w:rPr>
        <w:t>水利基本建设工程规划表</w:t>
      </w:r>
    </w:p>
    <w:p w14:paraId="466B6C51">
      <w:pPr>
        <w:snapToGrid w:val="0"/>
        <w:spacing w:line="360" w:lineRule="auto"/>
        <w:jc w:val="left"/>
        <w:outlineLvl w:val="0"/>
        <w:rPr>
          <w:rFonts w:ascii="Times New Roman" w:hAnsi="Times New Roman" w:eastAsia="仿宋_GB2312"/>
          <w:bCs/>
          <w:snapToGrid w:val="0"/>
          <w:color w:val="auto"/>
          <w:kern w:val="0"/>
          <w:sz w:val="28"/>
        </w:rPr>
      </w:pPr>
      <w:bookmarkStart w:id="518" w:name="_Toc21621"/>
      <w:bookmarkStart w:id="519" w:name="_Toc1328"/>
      <w:bookmarkStart w:id="520" w:name="_Toc29318"/>
      <w:bookmarkStart w:id="521" w:name="_Toc21253"/>
      <w:r>
        <w:rPr>
          <w:rFonts w:ascii="Times New Roman" w:hAnsi="Times New Roman" w:eastAsia="仿宋_GB2312"/>
          <w:bCs/>
          <w:snapToGrid w:val="0"/>
          <w:color w:val="auto"/>
          <w:kern w:val="0"/>
          <w:sz w:val="28"/>
        </w:rPr>
        <w:t>附表</w:t>
      </w:r>
      <w:bookmarkEnd w:id="518"/>
      <w:bookmarkEnd w:id="519"/>
      <w:bookmarkEnd w:id="520"/>
      <w:r>
        <w:rPr>
          <w:rFonts w:hint="eastAsia" w:ascii="Times New Roman" w:hAnsi="Times New Roman" w:eastAsia="仿宋_GB2312" w:cs="仿宋_GB2312"/>
          <w:bCs/>
          <w:snapToGrid w:val="0"/>
          <w:color w:val="auto"/>
          <w:kern w:val="0"/>
          <w:sz w:val="28"/>
        </w:rPr>
        <w:t>3</w:t>
      </w:r>
      <w:bookmarkEnd w:id="521"/>
    </w:p>
    <w:p w14:paraId="13F55BDF">
      <w:pPr>
        <w:pStyle w:val="2"/>
        <w:ind w:firstLine="0" w:firstLineChars="0"/>
        <w:rPr>
          <w:color w:val="auto"/>
        </w:rPr>
      </w:pPr>
    </w:p>
    <w:sectPr>
      <w:pgSz w:w="16838" w:h="11906" w:orient="landscape"/>
      <w:pgMar w:top="1417" w:right="1531" w:bottom="1247" w:left="1247" w:header="850"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altName w:val="方正仿宋_GBK"/>
    <w:panose1 w:val="02010609030101010101"/>
    <w:charset w:val="86"/>
    <w:family w:val="modern"/>
    <w:pitch w:val="default"/>
    <w:sig w:usb0="00000000" w:usb1="00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Times New Roman Regular">
    <w:altName w:val="DejaVu Sans"/>
    <w:panose1 w:val="00000000000000000000"/>
    <w:charset w:val="00"/>
    <w:family w:val="auto"/>
    <w:pitch w:val="default"/>
    <w:sig w:usb0="00000000" w:usb1="00000000" w:usb2="00000009" w:usb3="00000000" w:csb0="400001FF" w:csb1="FFFF0000"/>
  </w:font>
  <w:font w:name="微软雅黑">
    <w:altName w:val="方正黑体_GBK"/>
    <w:panose1 w:val="020B0503020204020204"/>
    <w:charset w:val="86"/>
    <w:family w:val="swiss"/>
    <w:pitch w:val="default"/>
    <w:sig w:usb0="00000000" w:usb1="00000000" w:usb2="00000016" w:usb3="00000000" w:csb0="0004001F" w:csb1="00000000"/>
  </w:font>
  <w:font w:name="楷体_GB2312">
    <w:altName w:val="方正楷体_GBK"/>
    <w:panose1 w:val="02010609030101010101"/>
    <w:charset w:val="86"/>
    <w:family w:val="modern"/>
    <w:pitch w:val="default"/>
    <w:sig w:usb0="00000000" w:usb1="00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8BB2">
    <w:pPr>
      <w:pStyle w:val="17"/>
      <w:tabs>
        <w:tab w:val="center" w:pos="4621"/>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8FC7A">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16Yk4AgAAbw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reRHla62eIerCIC91b02FohnuPy8i6q5yKv+BD4Ie4x4u4oguEx0fTyXSaw8XhGw7Azx6f&#10;W+fDO2EUiUZBHbqXRGWHjQ996BASs2mzbqRMHZSatAW9fn2V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DXpiTgCAABvBAAADgAAAAAAAAABACAAAAAfAQAAZHJzL2Uyb0RvYy54&#10;bWxQSwUGAAAAAAYABgBZAQAAyQUAAAAA&#10;">
              <v:fill on="f" focussize="0,0"/>
              <v:stroke on="f" weight="0.5pt"/>
              <v:imagedata o:title=""/>
              <o:lock v:ext="edit" aspectratio="f"/>
              <v:textbox inset="0mm,0mm,0mm,0mm" style="mso-fit-shape-to-text:t;">
                <w:txbxContent>
                  <w:p w14:paraId="0E38FC7A">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B670E">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32BC6">
    <w:pPr>
      <w:pStyle w:val="17"/>
      <w:tabs>
        <w:tab w:val="center" w:pos="4621"/>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F255E0">
                          <w:pPr>
                            <w:pStyle w:val="1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WBVg4AgAAbw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dYFWDgCAABvBAAADgAAAAAAAAABACAAAAAfAQAAZHJzL2Uyb0RvYy54&#10;bWxQSwUGAAAAAAYABgBZAQAAyQUAAAAA&#10;">
              <v:fill on="f" focussize="0,0"/>
              <v:stroke on="f" weight="0.5pt"/>
              <v:imagedata o:title=""/>
              <o:lock v:ext="edit" aspectratio="f"/>
              <v:textbox inset="0mm,0mm,0mm,0mm" style="mso-fit-shape-to-text:t;">
                <w:txbxContent>
                  <w:p w14:paraId="1DF255E0">
                    <w:pPr>
                      <w:pStyle w:val="17"/>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BE40">
    <w:pPr>
      <w:pStyle w:val="17"/>
      <w:tabs>
        <w:tab w:val="center" w:pos="4621"/>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1EA0C2">
                          <w:pPr>
                            <w:pStyle w:val="17"/>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281EA0C2">
                    <w:pPr>
                      <w:pStyle w:val="17"/>
                    </w:pPr>
                    <w:r>
                      <w:fldChar w:fldCharType="begin"/>
                    </w:r>
                    <w:r>
                      <w:instrText xml:space="preserve"> PAGE  \* MERGEFORMAT </w:instrText>
                    </w:r>
                    <w:r>
                      <w:fldChar w:fldCharType="separate"/>
                    </w:r>
                    <w:r>
                      <w:t>- 13 -</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77C61">
    <w:pPr>
      <w:pStyle w:val="17"/>
      <w:pBdr>
        <w:top w:val="single" w:color="auto" w:sz="12" w:space="1"/>
      </w:pBdr>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5BBA4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c7b1vXAQAAsQ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qmZJGXYcJJnMbekxWH3TAR&#10;3bn2hDx7XIiGWtx/SvSjRb3T7sxGmI3dbBx8UPsuL1eqBf7dIWJzuedUYYRFrsnBSWbW09alVfnb&#10;z1nPf9rm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nO29b1wEAALEDAAAOAAAAAAAAAAEA&#10;IAAAACIBAABkcnMvZTJvRG9jLnhtbFBLBQYAAAAABgAGAFkBAABrBQAAAAA=&#10;">
              <v:fill on="f" focussize="0,0"/>
              <v:stroke on="f" weight="1.25pt"/>
              <v:imagedata o:title=""/>
              <o:lock v:ext="edit" aspectratio="f"/>
              <v:textbox inset="0mm,0mm,0mm,0mm" style="mso-fit-shape-to-text:t;">
                <w:txbxContent>
                  <w:p w14:paraId="35BBA4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02098">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D4356">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86AFF">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73C22D"/>
    <w:multiLevelType w:val="singleLevel"/>
    <w:tmpl w:val="E373C22D"/>
    <w:lvl w:ilvl="0" w:tentative="0">
      <w:start w:val="2"/>
      <w:numFmt w:val="chineseCounting"/>
      <w:suff w:val="nothing"/>
      <w:lvlText w:val="%1、"/>
      <w:lvlJc w:val="left"/>
      <w:rPr>
        <w:rFonts w:hint="eastAsia"/>
      </w:rPr>
    </w:lvl>
  </w:abstractNum>
  <w:abstractNum w:abstractNumId="1">
    <w:nsid w:val="F980C285"/>
    <w:multiLevelType w:val="singleLevel"/>
    <w:tmpl w:val="F980C285"/>
    <w:lvl w:ilvl="0" w:tentative="0">
      <w:start w:val="2"/>
      <w:numFmt w:val="chineseCounting"/>
      <w:suff w:val="nothing"/>
      <w:lvlText w:val="%1、"/>
      <w:lvlJc w:val="left"/>
      <w:rPr>
        <w:rFonts w:hint="eastAsia"/>
      </w:rPr>
    </w:lvl>
  </w:abstractNum>
  <w:abstractNum w:abstractNumId="2">
    <w:nsid w:val="0CE408CA"/>
    <w:multiLevelType w:val="multilevel"/>
    <w:tmpl w:val="0CE408C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2D78CBA3"/>
    <w:multiLevelType w:val="singleLevel"/>
    <w:tmpl w:val="2D78CBA3"/>
    <w:lvl w:ilvl="0" w:tentative="0">
      <w:start w:val="7"/>
      <w:numFmt w:val="decimal"/>
      <w:suff w:val="nothing"/>
      <w:lvlText w:val="%1、"/>
      <w:lvlJc w:val="left"/>
    </w:lvl>
  </w:abstractNum>
  <w:abstractNum w:abstractNumId="4">
    <w:nsid w:val="304ABDC5"/>
    <w:multiLevelType w:val="singleLevel"/>
    <w:tmpl w:val="304ABDC5"/>
    <w:lvl w:ilvl="0" w:tentative="0">
      <w:start w:val="1"/>
      <w:numFmt w:val="chineseCounting"/>
      <w:suff w:val="nothing"/>
      <w:lvlText w:val="%1、"/>
      <w:lvlJc w:val="left"/>
      <w:rPr>
        <w:rFonts w:hint="eastAsia"/>
      </w:rPr>
    </w:lvl>
  </w:abstractNum>
  <w:abstractNum w:abstractNumId="5">
    <w:nsid w:val="4B08C00D"/>
    <w:multiLevelType w:val="singleLevel"/>
    <w:tmpl w:val="4B08C00D"/>
    <w:lvl w:ilvl="0" w:tentative="0">
      <w:start w:val="2"/>
      <w:numFmt w:val="decimal"/>
      <w:suff w:val="nothing"/>
      <w:lvlText w:val="%1、"/>
      <w:lvlJc w:val="left"/>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kNDhiODk1MDc5MTQxY2Y5M2Y1Zjg5Nzc0Yzk3ZjcifQ=="/>
  </w:docVars>
  <w:rsids>
    <w:rsidRoot w:val="00172A27"/>
    <w:rsid w:val="00020535"/>
    <w:rsid w:val="000365FA"/>
    <w:rsid w:val="00100F4C"/>
    <w:rsid w:val="00143D6C"/>
    <w:rsid w:val="00152826"/>
    <w:rsid w:val="00166993"/>
    <w:rsid w:val="00172A27"/>
    <w:rsid w:val="001F2B45"/>
    <w:rsid w:val="0025263E"/>
    <w:rsid w:val="00266F21"/>
    <w:rsid w:val="0028180B"/>
    <w:rsid w:val="002F7C4A"/>
    <w:rsid w:val="00316740"/>
    <w:rsid w:val="00386754"/>
    <w:rsid w:val="003C11AA"/>
    <w:rsid w:val="003F24F5"/>
    <w:rsid w:val="00407E89"/>
    <w:rsid w:val="0045193D"/>
    <w:rsid w:val="004D7A44"/>
    <w:rsid w:val="0057278D"/>
    <w:rsid w:val="0059336F"/>
    <w:rsid w:val="005A7071"/>
    <w:rsid w:val="005D14F3"/>
    <w:rsid w:val="005F3F2E"/>
    <w:rsid w:val="00634E04"/>
    <w:rsid w:val="00656DF4"/>
    <w:rsid w:val="0066616A"/>
    <w:rsid w:val="006B26CF"/>
    <w:rsid w:val="0070711F"/>
    <w:rsid w:val="00843362"/>
    <w:rsid w:val="00896D82"/>
    <w:rsid w:val="009275CC"/>
    <w:rsid w:val="009667BF"/>
    <w:rsid w:val="0097667E"/>
    <w:rsid w:val="009A7C29"/>
    <w:rsid w:val="009C6615"/>
    <w:rsid w:val="009D016B"/>
    <w:rsid w:val="009E63EC"/>
    <w:rsid w:val="00A37E81"/>
    <w:rsid w:val="00A57C12"/>
    <w:rsid w:val="00A848B0"/>
    <w:rsid w:val="00B12B22"/>
    <w:rsid w:val="00C25114"/>
    <w:rsid w:val="00C363DB"/>
    <w:rsid w:val="00CB582D"/>
    <w:rsid w:val="00CE4EA4"/>
    <w:rsid w:val="00D26608"/>
    <w:rsid w:val="00D435E5"/>
    <w:rsid w:val="00DA2C2E"/>
    <w:rsid w:val="00DB6EAB"/>
    <w:rsid w:val="00E74921"/>
    <w:rsid w:val="00E92587"/>
    <w:rsid w:val="00EE373C"/>
    <w:rsid w:val="00F6522E"/>
    <w:rsid w:val="00FC15EA"/>
    <w:rsid w:val="00FF6A33"/>
    <w:rsid w:val="014274CB"/>
    <w:rsid w:val="01664BFF"/>
    <w:rsid w:val="016815FB"/>
    <w:rsid w:val="01683BAF"/>
    <w:rsid w:val="016B2858"/>
    <w:rsid w:val="017A4F6B"/>
    <w:rsid w:val="018706A5"/>
    <w:rsid w:val="0192467F"/>
    <w:rsid w:val="01AC5255"/>
    <w:rsid w:val="01AF3CD5"/>
    <w:rsid w:val="01B6224E"/>
    <w:rsid w:val="01B730A1"/>
    <w:rsid w:val="01BC5D46"/>
    <w:rsid w:val="01CC7050"/>
    <w:rsid w:val="01D773FB"/>
    <w:rsid w:val="01F610C0"/>
    <w:rsid w:val="0206146F"/>
    <w:rsid w:val="02111E12"/>
    <w:rsid w:val="0239590B"/>
    <w:rsid w:val="025D1764"/>
    <w:rsid w:val="02616F27"/>
    <w:rsid w:val="029B56BC"/>
    <w:rsid w:val="02B352E8"/>
    <w:rsid w:val="02C14D1D"/>
    <w:rsid w:val="02D72B98"/>
    <w:rsid w:val="02EA5D87"/>
    <w:rsid w:val="030E53E0"/>
    <w:rsid w:val="031A3B3E"/>
    <w:rsid w:val="0328400E"/>
    <w:rsid w:val="034667D3"/>
    <w:rsid w:val="037B69A5"/>
    <w:rsid w:val="039C0F21"/>
    <w:rsid w:val="03D5155D"/>
    <w:rsid w:val="03EB2C91"/>
    <w:rsid w:val="041B204C"/>
    <w:rsid w:val="041E0096"/>
    <w:rsid w:val="043603A5"/>
    <w:rsid w:val="04395055"/>
    <w:rsid w:val="043D6FD5"/>
    <w:rsid w:val="044B68AA"/>
    <w:rsid w:val="047B5CED"/>
    <w:rsid w:val="048B5B6B"/>
    <w:rsid w:val="048F4644"/>
    <w:rsid w:val="04953194"/>
    <w:rsid w:val="049C7CCE"/>
    <w:rsid w:val="049E2603"/>
    <w:rsid w:val="04CD126C"/>
    <w:rsid w:val="04D13B8C"/>
    <w:rsid w:val="04D50DBD"/>
    <w:rsid w:val="04D5473B"/>
    <w:rsid w:val="04F60D31"/>
    <w:rsid w:val="04FB47D2"/>
    <w:rsid w:val="04FB7664"/>
    <w:rsid w:val="04FE7F39"/>
    <w:rsid w:val="0501212E"/>
    <w:rsid w:val="05152336"/>
    <w:rsid w:val="05457C09"/>
    <w:rsid w:val="0549502A"/>
    <w:rsid w:val="057C6251"/>
    <w:rsid w:val="058D5BA0"/>
    <w:rsid w:val="05AA464A"/>
    <w:rsid w:val="05B66A7B"/>
    <w:rsid w:val="05B81662"/>
    <w:rsid w:val="05BA157F"/>
    <w:rsid w:val="05C01431"/>
    <w:rsid w:val="05D42F83"/>
    <w:rsid w:val="05DA4FEB"/>
    <w:rsid w:val="05DD7120"/>
    <w:rsid w:val="05E53964"/>
    <w:rsid w:val="05F17191"/>
    <w:rsid w:val="05FC56E8"/>
    <w:rsid w:val="060515AB"/>
    <w:rsid w:val="060A6232"/>
    <w:rsid w:val="062E01CD"/>
    <w:rsid w:val="06347DEF"/>
    <w:rsid w:val="06462B0F"/>
    <w:rsid w:val="06646931"/>
    <w:rsid w:val="06653615"/>
    <w:rsid w:val="067D1350"/>
    <w:rsid w:val="067E5B07"/>
    <w:rsid w:val="06A65252"/>
    <w:rsid w:val="06B73BE5"/>
    <w:rsid w:val="06BA66CF"/>
    <w:rsid w:val="06C61F04"/>
    <w:rsid w:val="06FD33B9"/>
    <w:rsid w:val="0705041C"/>
    <w:rsid w:val="07056885"/>
    <w:rsid w:val="070E18D3"/>
    <w:rsid w:val="075920B8"/>
    <w:rsid w:val="07646725"/>
    <w:rsid w:val="076A5AA7"/>
    <w:rsid w:val="077869E0"/>
    <w:rsid w:val="07850E84"/>
    <w:rsid w:val="07904FB6"/>
    <w:rsid w:val="07942020"/>
    <w:rsid w:val="079A1198"/>
    <w:rsid w:val="07A30DCD"/>
    <w:rsid w:val="07B35428"/>
    <w:rsid w:val="07C93DDF"/>
    <w:rsid w:val="07DA5489"/>
    <w:rsid w:val="07DD0734"/>
    <w:rsid w:val="07DE436B"/>
    <w:rsid w:val="07EF2D7B"/>
    <w:rsid w:val="08076479"/>
    <w:rsid w:val="081F3711"/>
    <w:rsid w:val="082B267B"/>
    <w:rsid w:val="083F685E"/>
    <w:rsid w:val="0846678F"/>
    <w:rsid w:val="08521CA7"/>
    <w:rsid w:val="086B2272"/>
    <w:rsid w:val="087805E1"/>
    <w:rsid w:val="08802A16"/>
    <w:rsid w:val="088E5A29"/>
    <w:rsid w:val="08960D71"/>
    <w:rsid w:val="08A434E9"/>
    <w:rsid w:val="08C030DA"/>
    <w:rsid w:val="09126827"/>
    <w:rsid w:val="09243882"/>
    <w:rsid w:val="099F0343"/>
    <w:rsid w:val="09A07FAB"/>
    <w:rsid w:val="09BB3854"/>
    <w:rsid w:val="09BD154E"/>
    <w:rsid w:val="09E24EE6"/>
    <w:rsid w:val="09E579B3"/>
    <w:rsid w:val="09ED4D35"/>
    <w:rsid w:val="0A0F1BAB"/>
    <w:rsid w:val="0A2055E9"/>
    <w:rsid w:val="0A322FEE"/>
    <w:rsid w:val="0A541DA8"/>
    <w:rsid w:val="0A861A7E"/>
    <w:rsid w:val="0A9706C1"/>
    <w:rsid w:val="0ABC3E17"/>
    <w:rsid w:val="0ABF2A51"/>
    <w:rsid w:val="0AC717BD"/>
    <w:rsid w:val="0AF516DE"/>
    <w:rsid w:val="0B057776"/>
    <w:rsid w:val="0B071EC6"/>
    <w:rsid w:val="0B0B3597"/>
    <w:rsid w:val="0B1B3E2E"/>
    <w:rsid w:val="0B1C0808"/>
    <w:rsid w:val="0B1F57C5"/>
    <w:rsid w:val="0B3439B1"/>
    <w:rsid w:val="0B3B7637"/>
    <w:rsid w:val="0B4A6784"/>
    <w:rsid w:val="0B5032CD"/>
    <w:rsid w:val="0B603D35"/>
    <w:rsid w:val="0B664D24"/>
    <w:rsid w:val="0B745622"/>
    <w:rsid w:val="0B9D7B06"/>
    <w:rsid w:val="0BAB6EAC"/>
    <w:rsid w:val="0BCC48A7"/>
    <w:rsid w:val="0BD37C5B"/>
    <w:rsid w:val="0BDF1751"/>
    <w:rsid w:val="0BE94026"/>
    <w:rsid w:val="0BEC3446"/>
    <w:rsid w:val="0BEC7B2C"/>
    <w:rsid w:val="0C2C37F8"/>
    <w:rsid w:val="0C3D6594"/>
    <w:rsid w:val="0C462D30"/>
    <w:rsid w:val="0C633481"/>
    <w:rsid w:val="0C8A6079"/>
    <w:rsid w:val="0C957FF7"/>
    <w:rsid w:val="0CC76850"/>
    <w:rsid w:val="0CC86F53"/>
    <w:rsid w:val="0CD27E26"/>
    <w:rsid w:val="0CD51D88"/>
    <w:rsid w:val="0CDF5764"/>
    <w:rsid w:val="0CEB2D57"/>
    <w:rsid w:val="0CF06AC3"/>
    <w:rsid w:val="0D113E69"/>
    <w:rsid w:val="0D1C43EA"/>
    <w:rsid w:val="0D535915"/>
    <w:rsid w:val="0D5A321C"/>
    <w:rsid w:val="0D756326"/>
    <w:rsid w:val="0DB23788"/>
    <w:rsid w:val="0DB868B4"/>
    <w:rsid w:val="0DD237F6"/>
    <w:rsid w:val="0E1F4672"/>
    <w:rsid w:val="0E26621C"/>
    <w:rsid w:val="0E3B143F"/>
    <w:rsid w:val="0E417801"/>
    <w:rsid w:val="0E4B4C99"/>
    <w:rsid w:val="0E874E3C"/>
    <w:rsid w:val="0EAA5633"/>
    <w:rsid w:val="0EB313B3"/>
    <w:rsid w:val="0EB87E73"/>
    <w:rsid w:val="0EBA00A1"/>
    <w:rsid w:val="0EBE0FD3"/>
    <w:rsid w:val="0EC750E2"/>
    <w:rsid w:val="0ECA17AD"/>
    <w:rsid w:val="0ED62125"/>
    <w:rsid w:val="0ED6262F"/>
    <w:rsid w:val="0EE93330"/>
    <w:rsid w:val="0EF348DF"/>
    <w:rsid w:val="0EF4420B"/>
    <w:rsid w:val="0EFB1A1C"/>
    <w:rsid w:val="0EFC64E8"/>
    <w:rsid w:val="0F0648A7"/>
    <w:rsid w:val="0F1175AB"/>
    <w:rsid w:val="0F136D35"/>
    <w:rsid w:val="0F192821"/>
    <w:rsid w:val="0F366773"/>
    <w:rsid w:val="0F3D1161"/>
    <w:rsid w:val="0F671216"/>
    <w:rsid w:val="0F6E7020"/>
    <w:rsid w:val="0FCA350F"/>
    <w:rsid w:val="0FDB3DB2"/>
    <w:rsid w:val="0FDF3286"/>
    <w:rsid w:val="0FE82DCE"/>
    <w:rsid w:val="0FED0337"/>
    <w:rsid w:val="0FED755D"/>
    <w:rsid w:val="0FFE6D0E"/>
    <w:rsid w:val="100569EA"/>
    <w:rsid w:val="10257FA9"/>
    <w:rsid w:val="104561D4"/>
    <w:rsid w:val="10467A13"/>
    <w:rsid w:val="104864FB"/>
    <w:rsid w:val="104A63B7"/>
    <w:rsid w:val="1056456B"/>
    <w:rsid w:val="10587844"/>
    <w:rsid w:val="107B1565"/>
    <w:rsid w:val="109A0E82"/>
    <w:rsid w:val="10D96841"/>
    <w:rsid w:val="10F9095C"/>
    <w:rsid w:val="110C2174"/>
    <w:rsid w:val="1112229B"/>
    <w:rsid w:val="111F3D88"/>
    <w:rsid w:val="112D60B3"/>
    <w:rsid w:val="11425795"/>
    <w:rsid w:val="11594C74"/>
    <w:rsid w:val="117D1BC8"/>
    <w:rsid w:val="1180054F"/>
    <w:rsid w:val="118346F3"/>
    <w:rsid w:val="11D82A96"/>
    <w:rsid w:val="11E943C3"/>
    <w:rsid w:val="11F23C72"/>
    <w:rsid w:val="11FC5005"/>
    <w:rsid w:val="11FD63DF"/>
    <w:rsid w:val="12061E06"/>
    <w:rsid w:val="1215464C"/>
    <w:rsid w:val="124639A1"/>
    <w:rsid w:val="12492B2B"/>
    <w:rsid w:val="124C4E76"/>
    <w:rsid w:val="12665444"/>
    <w:rsid w:val="12683864"/>
    <w:rsid w:val="126F0B3A"/>
    <w:rsid w:val="12BE31B1"/>
    <w:rsid w:val="12BF7FE8"/>
    <w:rsid w:val="12E57B6A"/>
    <w:rsid w:val="12F84533"/>
    <w:rsid w:val="130E481D"/>
    <w:rsid w:val="1327089B"/>
    <w:rsid w:val="132A4658"/>
    <w:rsid w:val="13410EA4"/>
    <w:rsid w:val="1349334A"/>
    <w:rsid w:val="134B1611"/>
    <w:rsid w:val="13563EDE"/>
    <w:rsid w:val="135E0B69"/>
    <w:rsid w:val="13756B26"/>
    <w:rsid w:val="13771C23"/>
    <w:rsid w:val="13815C90"/>
    <w:rsid w:val="139A4049"/>
    <w:rsid w:val="13B134F3"/>
    <w:rsid w:val="13B341D5"/>
    <w:rsid w:val="13BB7E8D"/>
    <w:rsid w:val="13C46812"/>
    <w:rsid w:val="13D426EE"/>
    <w:rsid w:val="13D70E77"/>
    <w:rsid w:val="13D82332"/>
    <w:rsid w:val="13D953CB"/>
    <w:rsid w:val="13DD443A"/>
    <w:rsid w:val="13F54EC9"/>
    <w:rsid w:val="140201D6"/>
    <w:rsid w:val="14190704"/>
    <w:rsid w:val="141C3000"/>
    <w:rsid w:val="142B3C79"/>
    <w:rsid w:val="14644A5B"/>
    <w:rsid w:val="146D5129"/>
    <w:rsid w:val="14747137"/>
    <w:rsid w:val="147D1123"/>
    <w:rsid w:val="14830301"/>
    <w:rsid w:val="14913868"/>
    <w:rsid w:val="14B81E83"/>
    <w:rsid w:val="14FA2B27"/>
    <w:rsid w:val="14FC62EE"/>
    <w:rsid w:val="14FD400A"/>
    <w:rsid w:val="15123448"/>
    <w:rsid w:val="15260EE1"/>
    <w:rsid w:val="152E6DBE"/>
    <w:rsid w:val="15751EC7"/>
    <w:rsid w:val="15810ED1"/>
    <w:rsid w:val="15842DF7"/>
    <w:rsid w:val="1590572C"/>
    <w:rsid w:val="15C931FC"/>
    <w:rsid w:val="15DD04BD"/>
    <w:rsid w:val="161F409F"/>
    <w:rsid w:val="1630697E"/>
    <w:rsid w:val="1648323C"/>
    <w:rsid w:val="16542028"/>
    <w:rsid w:val="1658370A"/>
    <w:rsid w:val="166453AD"/>
    <w:rsid w:val="16843DF7"/>
    <w:rsid w:val="169B7926"/>
    <w:rsid w:val="16DB03E2"/>
    <w:rsid w:val="16DD187B"/>
    <w:rsid w:val="16E03312"/>
    <w:rsid w:val="16E3232F"/>
    <w:rsid w:val="16E8274F"/>
    <w:rsid w:val="1704575E"/>
    <w:rsid w:val="171438A5"/>
    <w:rsid w:val="17277441"/>
    <w:rsid w:val="172C4E77"/>
    <w:rsid w:val="1771546D"/>
    <w:rsid w:val="1776405A"/>
    <w:rsid w:val="17846CC9"/>
    <w:rsid w:val="17C400A7"/>
    <w:rsid w:val="17CA4DC5"/>
    <w:rsid w:val="17D064BC"/>
    <w:rsid w:val="17D520E0"/>
    <w:rsid w:val="17DB5D1C"/>
    <w:rsid w:val="17DD503B"/>
    <w:rsid w:val="17E526AB"/>
    <w:rsid w:val="18046938"/>
    <w:rsid w:val="180519C9"/>
    <w:rsid w:val="180C0576"/>
    <w:rsid w:val="182707E8"/>
    <w:rsid w:val="183D3D00"/>
    <w:rsid w:val="183E7356"/>
    <w:rsid w:val="18715D01"/>
    <w:rsid w:val="1881227E"/>
    <w:rsid w:val="18A3179B"/>
    <w:rsid w:val="18B637AA"/>
    <w:rsid w:val="18CD2BFE"/>
    <w:rsid w:val="18D450C6"/>
    <w:rsid w:val="18DB162E"/>
    <w:rsid w:val="18EA38E3"/>
    <w:rsid w:val="18F82147"/>
    <w:rsid w:val="19377B28"/>
    <w:rsid w:val="194159E8"/>
    <w:rsid w:val="19432CB3"/>
    <w:rsid w:val="195539C1"/>
    <w:rsid w:val="19653B42"/>
    <w:rsid w:val="1974131C"/>
    <w:rsid w:val="19773937"/>
    <w:rsid w:val="199B421A"/>
    <w:rsid w:val="19B2620B"/>
    <w:rsid w:val="19B557C6"/>
    <w:rsid w:val="1A0023E4"/>
    <w:rsid w:val="1A16493D"/>
    <w:rsid w:val="1A2D74DE"/>
    <w:rsid w:val="1A490FF7"/>
    <w:rsid w:val="1A4B1A12"/>
    <w:rsid w:val="1A543FA4"/>
    <w:rsid w:val="1A6D2C83"/>
    <w:rsid w:val="1A762D58"/>
    <w:rsid w:val="1A7A765E"/>
    <w:rsid w:val="1A8A6FFF"/>
    <w:rsid w:val="1A8E12FB"/>
    <w:rsid w:val="1A95667D"/>
    <w:rsid w:val="1AA272A6"/>
    <w:rsid w:val="1AB5497D"/>
    <w:rsid w:val="1B1228A0"/>
    <w:rsid w:val="1B125B72"/>
    <w:rsid w:val="1B2A60BB"/>
    <w:rsid w:val="1B310DD6"/>
    <w:rsid w:val="1B4C7720"/>
    <w:rsid w:val="1B4D450A"/>
    <w:rsid w:val="1B5459C4"/>
    <w:rsid w:val="1B554249"/>
    <w:rsid w:val="1BA80A7D"/>
    <w:rsid w:val="1BAB297D"/>
    <w:rsid w:val="1BB87008"/>
    <w:rsid w:val="1BD45343"/>
    <w:rsid w:val="1BD4701F"/>
    <w:rsid w:val="1BD77D11"/>
    <w:rsid w:val="1BE906ED"/>
    <w:rsid w:val="1BE96AAB"/>
    <w:rsid w:val="1C034625"/>
    <w:rsid w:val="1C065BDE"/>
    <w:rsid w:val="1C2C26F8"/>
    <w:rsid w:val="1C34203C"/>
    <w:rsid w:val="1C3C72C7"/>
    <w:rsid w:val="1C3D50D7"/>
    <w:rsid w:val="1C541180"/>
    <w:rsid w:val="1C5D497F"/>
    <w:rsid w:val="1C770514"/>
    <w:rsid w:val="1C7A2EAF"/>
    <w:rsid w:val="1C881704"/>
    <w:rsid w:val="1C942633"/>
    <w:rsid w:val="1C98251C"/>
    <w:rsid w:val="1C9B5A85"/>
    <w:rsid w:val="1C9E00CC"/>
    <w:rsid w:val="1CBB015D"/>
    <w:rsid w:val="1CBF7A4F"/>
    <w:rsid w:val="1CF41A20"/>
    <w:rsid w:val="1D034CC5"/>
    <w:rsid w:val="1D05780D"/>
    <w:rsid w:val="1D144E9D"/>
    <w:rsid w:val="1D39787E"/>
    <w:rsid w:val="1D3B2660"/>
    <w:rsid w:val="1D6515AE"/>
    <w:rsid w:val="1D6C7EB9"/>
    <w:rsid w:val="1D736E70"/>
    <w:rsid w:val="1D793837"/>
    <w:rsid w:val="1D81626D"/>
    <w:rsid w:val="1DA312FE"/>
    <w:rsid w:val="1DBA489E"/>
    <w:rsid w:val="1DCE2C20"/>
    <w:rsid w:val="1DD62D7E"/>
    <w:rsid w:val="1DE541DC"/>
    <w:rsid w:val="1DE656B7"/>
    <w:rsid w:val="1DEE6CB9"/>
    <w:rsid w:val="1DF9038D"/>
    <w:rsid w:val="1DFF38D7"/>
    <w:rsid w:val="1E1B71C6"/>
    <w:rsid w:val="1E3A4019"/>
    <w:rsid w:val="1E3C6665"/>
    <w:rsid w:val="1E523986"/>
    <w:rsid w:val="1E60475A"/>
    <w:rsid w:val="1E650F09"/>
    <w:rsid w:val="1E715B99"/>
    <w:rsid w:val="1E757727"/>
    <w:rsid w:val="1E8E6E66"/>
    <w:rsid w:val="1EA23ECF"/>
    <w:rsid w:val="1EB9778D"/>
    <w:rsid w:val="1ECA618A"/>
    <w:rsid w:val="1EF47B94"/>
    <w:rsid w:val="1F061ED7"/>
    <w:rsid w:val="1F0D75D9"/>
    <w:rsid w:val="1F1C623A"/>
    <w:rsid w:val="1F285754"/>
    <w:rsid w:val="1F2F6DF7"/>
    <w:rsid w:val="1F386CE2"/>
    <w:rsid w:val="1F4004CB"/>
    <w:rsid w:val="1F666C65"/>
    <w:rsid w:val="1FA836F9"/>
    <w:rsid w:val="1FAC4321"/>
    <w:rsid w:val="1FB11AD5"/>
    <w:rsid w:val="1FC36FE2"/>
    <w:rsid w:val="1FDE342C"/>
    <w:rsid w:val="1FF13609"/>
    <w:rsid w:val="2010033B"/>
    <w:rsid w:val="201C5A6A"/>
    <w:rsid w:val="2027255D"/>
    <w:rsid w:val="2032290F"/>
    <w:rsid w:val="20353CF7"/>
    <w:rsid w:val="20570B5A"/>
    <w:rsid w:val="205A3C45"/>
    <w:rsid w:val="2072770E"/>
    <w:rsid w:val="207C7561"/>
    <w:rsid w:val="20C27620"/>
    <w:rsid w:val="20EB4CD2"/>
    <w:rsid w:val="21217D31"/>
    <w:rsid w:val="214D0B87"/>
    <w:rsid w:val="21567C05"/>
    <w:rsid w:val="215B17E2"/>
    <w:rsid w:val="21692796"/>
    <w:rsid w:val="217B647A"/>
    <w:rsid w:val="21821622"/>
    <w:rsid w:val="21877652"/>
    <w:rsid w:val="218D6A57"/>
    <w:rsid w:val="21917C12"/>
    <w:rsid w:val="219F64EC"/>
    <w:rsid w:val="219F6C0D"/>
    <w:rsid w:val="21A869AB"/>
    <w:rsid w:val="21AB6238"/>
    <w:rsid w:val="21AD58E2"/>
    <w:rsid w:val="21B441EC"/>
    <w:rsid w:val="21B55E9D"/>
    <w:rsid w:val="21B95ED3"/>
    <w:rsid w:val="21C55A44"/>
    <w:rsid w:val="21D50CFD"/>
    <w:rsid w:val="21D61EB5"/>
    <w:rsid w:val="2215218A"/>
    <w:rsid w:val="22252D7A"/>
    <w:rsid w:val="2230195D"/>
    <w:rsid w:val="223A2D61"/>
    <w:rsid w:val="228E704A"/>
    <w:rsid w:val="229546BD"/>
    <w:rsid w:val="229601F5"/>
    <w:rsid w:val="22A30A86"/>
    <w:rsid w:val="22B462F5"/>
    <w:rsid w:val="22C222AC"/>
    <w:rsid w:val="22D6017B"/>
    <w:rsid w:val="22D95011"/>
    <w:rsid w:val="22E32A79"/>
    <w:rsid w:val="22ED2D08"/>
    <w:rsid w:val="22F627E4"/>
    <w:rsid w:val="23040F6E"/>
    <w:rsid w:val="23082D53"/>
    <w:rsid w:val="230B6DB4"/>
    <w:rsid w:val="23102B1A"/>
    <w:rsid w:val="23277AD0"/>
    <w:rsid w:val="23385DDB"/>
    <w:rsid w:val="233A2342"/>
    <w:rsid w:val="234A4E47"/>
    <w:rsid w:val="234D741E"/>
    <w:rsid w:val="235374AC"/>
    <w:rsid w:val="237E20BC"/>
    <w:rsid w:val="23873D1E"/>
    <w:rsid w:val="23955C45"/>
    <w:rsid w:val="239B70B5"/>
    <w:rsid w:val="23AF726A"/>
    <w:rsid w:val="23C21E41"/>
    <w:rsid w:val="23C665EB"/>
    <w:rsid w:val="23DE58D7"/>
    <w:rsid w:val="23E160E1"/>
    <w:rsid w:val="23EE559C"/>
    <w:rsid w:val="23F119D9"/>
    <w:rsid w:val="240D46C0"/>
    <w:rsid w:val="241259E8"/>
    <w:rsid w:val="241E0D30"/>
    <w:rsid w:val="24461CA2"/>
    <w:rsid w:val="2459722C"/>
    <w:rsid w:val="245974E1"/>
    <w:rsid w:val="24642675"/>
    <w:rsid w:val="246F59C4"/>
    <w:rsid w:val="24710EED"/>
    <w:rsid w:val="24870B1D"/>
    <w:rsid w:val="24B27F5D"/>
    <w:rsid w:val="24B37728"/>
    <w:rsid w:val="24D54B7B"/>
    <w:rsid w:val="24DB4626"/>
    <w:rsid w:val="24DB7CFC"/>
    <w:rsid w:val="24FD76D5"/>
    <w:rsid w:val="25142DCD"/>
    <w:rsid w:val="25147425"/>
    <w:rsid w:val="25206C40"/>
    <w:rsid w:val="254F48CD"/>
    <w:rsid w:val="25592489"/>
    <w:rsid w:val="25617F31"/>
    <w:rsid w:val="2564171B"/>
    <w:rsid w:val="25742145"/>
    <w:rsid w:val="25795194"/>
    <w:rsid w:val="257E3F2D"/>
    <w:rsid w:val="259B3CB4"/>
    <w:rsid w:val="25A75695"/>
    <w:rsid w:val="25AA6703"/>
    <w:rsid w:val="25C2583D"/>
    <w:rsid w:val="25C92E9B"/>
    <w:rsid w:val="25D62185"/>
    <w:rsid w:val="25FE6F53"/>
    <w:rsid w:val="260F3F4F"/>
    <w:rsid w:val="263F4C79"/>
    <w:rsid w:val="26466729"/>
    <w:rsid w:val="26572B74"/>
    <w:rsid w:val="26667CED"/>
    <w:rsid w:val="26837517"/>
    <w:rsid w:val="2693428E"/>
    <w:rsid w:val="26937892"/>
    <w:rsid w:val="2698597E"/>
    <w:rsid w:val="26B57E95"/>
    <w:rsid w:val="26D70888"/>
    <w:rsid w:val="26FE5E60"/>
    <w:rsid w:val="2704703D"/>
    <w:rsid w:val="27092A4E"/>
    <w:rsid w:val="270E1A8B"/>
    <w:rsid w:val="271840D9"/>
    <w:rsid w:val="271C3A7E"/>
    <w:rsid w:val="27423937"/>
    <w:rsid w:val="2747053E"/>
    <w:rsid w:val="27530298"/>
    <w:rsid w:val="27583E1D"/>
    <w:rsid w:val="277B45C2"/>
    <w:rsid w:val="279125AD"/>
    <w:rsid w:val="27A3613F"/>
    <w:rsid w:val="27C06EFC"/>
    <w:rsid w:val="27C14B14"/>
    <w:rsid w:val="27D93E3A"/>
    <w:rsid w:val="27EA511E"/>
    <w:rsid w:val="280F34C5"/>
    <w:rsid w:val="282165AB"/>
    <w:rsid w:val="283C7A46"/>
    <w:rsid w:val="28453D5F"/>
    <w:rsid w:val="284D3861"/>
    <w:rsid w:val="285A7CB6"/>
    <w:rsid w:val="287C0C8F"/>
    <w:rsid w:val="287C1033"/>
    <w:rsid w:val="288B7A13"/>
    <w:rsid w:val="28CB1EF1"/>
    <w:rsid w:val="28E54E75"/>
    <w:rsid w:val="28E75487"/>
    <w:rsid w:val="29075CC8"/>
    <w:rsid w:val="290C251F"/>
    <w:rsid w:val="291C48C4"/>
    <w:rsid w:val="293F2AF1"/>
    <w:rsid w:val="2949122A"/>
    <w:rsid w:val="2954454F"/>
    <w:rsid w:val="29762F74"/>
    <w:rsid w:val="29773381"/>
    <w:rsid w:val="29946226"/>
    <w:rsid w:val="299944F6"/>
    <w:rsid w:val="29A404A9"/>
    <w:rsid w:val="29B05009"/>
    <w:rsid w:val="29C555C9"/>
    <w:rsid w:val="29D935BB"/>
    <w:rsid w:val="2A096CEC"/>
    <w:rsid w:val="2A1E0C2E"/>
    <w:rsid w:val="2A291ABC"/>
    <w:rsid w:val="2A2E29E8"/>
    <w:rsid w:val="2A5478C8"/>
    <w:rsid w:val="2A8C3AE4"/>
    <w:rsid w:val="2AB51DB6"/>
    <w:rsid w:val="2AB8039F"/>
    <w:rsid w:val="2AC03949"/>
    <w:rsid w:val="2AC511D5"/>
    <w:rsid w:val="2AC6368A"/>
    <w:rsid w:val="2AF013F1"/>
    <w:rsid w:val="2B194E5C"/>
    <w:rsid w:val="2B350DF9"/>
    <w:rsid w:val="2B694945"/>
    <w:rsid w:val="2B8C54DF"/>
    <w:rsid w:val="2B97213D"/>
    <w:rsid w:val="2BA02766"/>
    <w:rsid w:val="2BA4527B"/>
    <w:rsid w:val="2BA66B3F"/>
    <w:rsid w:val="2BBB04C6"/>
    <w:rsid w:val="2BBE50B4"/>
    <w:rsid w:val="2BC152BF"/>
    <w:rsid w:val="2BC7222B"/>
    <w:rsid w:val="2BDF2194"/>
    <w:rsid w:val="2BE25BBF"/>
    <w:rsid w:val="2BF51E01"/>
    <w:rsid w:val="2C14170D"/>
    <w:rsid w:val="2C3972F2"/>
    <w:rsid w:val="2C5816FF"/>
    <w:rsid w:val="2C620DA6"/>
    <w:rsid w:val="2C684C4E"/>
    <w:rsid w:val="2C7228CF"/>
    <w:rsid w:val="2C887247"/>
    <w:rsid w:val="2C9F4F02"/>
    <w:rsid w:val="2CA57125"/>
    <w:rsid w:val="2CAE038C"/>
    <w:rsid w:val="2CD15550"/>
    <w:rsid w:val="2CE51BCE"/>
    <w:rsid w:val="2CE909EF"/>
    <w:rsid w:val="2CF62387"/>
    <w:rsid w:val="2D121ECA"/>
    <w:rsid w:val="2D73346D"/>
    <w:rsid w:val="2D772AA5"/>
    <w:rsid w:val="2D9657BB"/>
    <w:rsid w:val="2D9E750D"/>
    <w:rsid w:val="2DA31C52"/>
    <w:rsid w:val="2DA66F81"/>
    <w:rsid w:val="2DB73CE0"/>
    <w:rsid w:val="2DBB177F"/>
    <w:rsid w:val="2DDF01C3"/>
    <w:rsid w:val="2E0D4BB5"/>
    <w:rsid w:val="2E146C51"/>
    <w:rsid w:val="2E1474E4"/>
    <w:rsid w:val="2E1737E2"/>
    <w:rsid w:val="2E1776E9"/>
    <w:rsid w:val="2E1A0A10"/>
    <w:rsid w:val="2E335745"/>
    <w:rsid w:val="2E5A25F1"/>
    <w:rsid w:val="2E617837"/>
    <w:rsid w:val="2E656EFF"/>
    <w:rsid w:val="2E6C155B"/>
    <w:rsid w:val="2E7C6D63"/>
    <w:rsid w:val="2EAC4424"/>
    <w:rsid w:val="2EB411FB"/>
    <w:rsid w:val="2EC67850"/>
    <w:rsid w:val="2ECC44C6"/>
    <w:rsid w:val="2ED471B6"/>
    <w:rsid w:val="2ED91FC7"/>
    <w:rsid w:val="2EE269F6"/>
    <w:rsid w:val="2EF66382"/>
    <w:rsid w:val="2F062874"/>
    <w:rsid w:val="2F08077E"/>
    <w:rsid w:val="2F161A47"/>
    <w:rsid w:val="2F1628B6"/>
    <w:rsid w:val="2F1D06B3"/>
    <w:rsid w:val="2F342760"/>
    <w:rsid w:val="2F4B45DF"/>
    <w:rsid w:val="2F4C0126"/>
    <w:rsid w:val="2F733483"/>
    <w:rsid w:val="2FCA59D6"/>
    <w:rsid w:val="2FDA6868"/>
    <w:rsid w:val="2FFC7E5D"/>
    <w:rsid w:val="30203B90"/>
    <w:rsid w:val="30343C1C"/>
    <w:rsid w:val="30381731"/>
    <w:rsid w:val="30413AF6"/>
    <w:rsid w:val="304C4139"/>
    <w:rsid w:val="305F4EDE"/>
    <w:rsid w:val="3064297B"/>
    <w:rsid w:val="306C5DF0"/>
    <w:rsid w:val="306C6D16"/>
    <w:rsid w:val="307234EF"/>
    <w:rsid w:val="30754C88"/>
    <w:rsid w:val="30AB6C5D"/>
    <w:rsid w:val="30B00935"/>
    <w:rsid w:val="30B949F9"/>
    <w:rsid w:val="30C2394A"/>
    <w:rsid w:val="30E32FF4"/>
    <w:rsid w:val="30F13E23"/>
    <w:rsid w:val="3108010F"/>
    <w:rsid w:val="312C6218"/>
    <w:rsid w:val="31363F9D"/>
    <w:rsid w:val="313774A2"/>
    <w:rsid w:val="314675AD"/>
    <w:rsid w:val="316A1F5B"/>
    <w:rsid w:val="318576BE"/>
    <w:rsid w:val="318A6DF3"/>
    <w:rsid w:val="319A395A"/>
    <w:rsid w:val="31BD1622"/>
    <w:rsid w:val="31C77185"/>
    <w:rsid w:val="31D20BB7"/>
    <w:rsid w:val="31D67BA2"/>
    <w:rsid w:val="31E846F9"/>
    <w:rsid w:val="31F21B82"/>
    <w:rsid w:val="31F57940"/>
    <w:rsid w:val="32034600"/>
    <w:rsid w:val="32050225"/>
    <w:rsid w:val="32105996"/>
    <w:rsid w:val="321B4066"/>
    <w:rsid w:val="321C24C1"/>
    <w:rsid w:val="323F4C73"/>
    <w:rsid w:val="32485DB5"/>
    <w:rsid w:val="32571F22"/>
    <w:rsid w:val="325F6F8D"/>
    <w:rsid w:val="32686168"/>
    <w:rsid w:val="328E2C51"/>
    <w:rsid w:val="328F7826"/>
    <w:rsid w:val="32943F49"/>
    <w:rsid w:val="32A52340"/>
    <w:rsid w:val="32C868A9"/>
    <w:rsid w:val="32D827D7"/>
    <w:rsid w:val="32DC0CBF"/>
    <w:rsid w:val="330365E2"/>
    <w:rsid w:val="33183215"/>
    <w:rsid w:val="332A5EED"/>
    <w:rsid w:val="333258CD"/>
    <w:rsid w:val="33352F69"/>
    <w:rsid w:val="33361316"/>
    <w:rsid w:val="333618F3"/>
    <w:rsid w:val="3344201C"/>
    <w:rsid w:val="334A7569"/>
    <w:rsid w:val="3361065B"/>
    <w:rsid w:val="3366380D"/>
    <w:rsid w:val="33723EC7"/>
    <w:rsid w:val="3376452F"/>
    <w:rsid w:val="337E5FE0"/>
    <w:rsid w:val="337F5CF6"/>
    <w:rsid w:val="33B52C46"/>
    <w:rsid w:val="33C07550"/>
    <w:rsid w:val="33E96CFF"/>
    <w:rsid w:val="33EE7CCE"/>
    <w:rsid w:val="33F84682"/>
    <w:rsid w:val="33FD07C5"/>
    <w:rsid w:val="34107A9F"/>
    <w:rsid w:val="34287A47"/>
    <w:rsid w:val="34375120"/>
    <w:rsid w:val="34492CDB"/>
    <w:rsid w:val="34500FD0"/>
    <w:rsid w:val="34524F3A"/>
    <w:rsid w:val="34646558"/>
    <w:rsid w:val="34732F55"/>
    <w:rsid w:val="348F21BA"/>
    <w:rsid w:val="34945025"/>
    <w:rsid w:val="34B1276A"/>
    <w:rsid w:val="34B1515D"/>
    <w:rsid w:val="34D36331"/>
    <w:rsid w:val="34D460F4"/>
    <w:rsid w:val="34E67003"/>
    <w:rsid w:val="34E7796D"/>
    <w:rsid w:val="34E93F03"/>
    <w:rsid w:val="34F95E41"/>
    <w:rsid w:val="350543CC"/>
    <w:rsid w:val="35155312"/>
    <w:rsid w:val="351C3DAC"/>
    <w:rsid w:val="351F342F"/>
    <w:rsid w:val="35314FB3"/>
    <w:rsid w:val="353E18A0"/>
    <w:rsid w:val="355A63E7"/>
    <w:rsid w:val="357013B5"/>
    <w:rsid w:val="3598792A"/>
    <w:rsid w:val="35B02D8F"/>
    <w:rsid w:val="35BB70A5"/>
    <w:rsid w:val="35C4436C"/>
    <w:rsid w:val="35E2496F"/>
    <w:rsid w:val="35ED0E06"/>
    <w:rsid w:val="35F71343"/>
    <w:rsid w:val="360B491D"/>
    <w:rsid w:val="36102DC1"/>
    <w:rsid w:val="364C3B52"/>
    <w:rsid w:val="364D1F9E"/>
    <w:rsid w:val="36696104"/>
    <w:rsid w:val="36731B49"/>
    <w:rsid w:val="367D2405"/>
    <w:rsid w:val="368235DD"/>
    <w:rsid w:val="36BE24F5"/>
    <w:rsid w:val="36C406F2"/>
    <w:rsid w:val="36CF7DC1"/>
    <w:rsid w:val="36D93130"/>
    <w:rsid w:val="36E201A7"/>
    <w:rsid w:val="37094C5C"/>
    <w:rsid w:val="370F1293"/>
    <w:rsid w:val="371C21EF"/>
    <w:rsid w:val="371C5808"/>
    <w:rsid w:val="371E2845"/>
    <w:rsid w:val="371F64B8"/>
    <w:rsid w:val="37225DB7"/>
    <w:rsid w:val="37247AF5"/>
    <w:rsid w:val="37A02565"/>
    <w:rsid w:val="37BD2420"/>
    <w:rsid w:val="37C85E92"/>
    <w:rsid w:val="37D47A22"/>
    <w:rsid w:val="37D553A1"/>
    <w:rsid w:val="37FE7639"/>
    <w:rsid w:val="38026EED"/>
    <w:rsid w:val="380333CE"/>
    <w:rsid w:val="382813AD"/>
    <w:rsid w:val="3841709A"/>
    <w:rsid w:val="385A7CAE"/>
    <w:rsid w:val="389625D1"/>
    <w:rsid w:val="38A00ACA"/>
    <w:rsid w:val="38A07265"/>
    <w:rsid w:val="38AA3B2F"/>
    <w:rsid w:val="38AC6EE0"/>
    <w:rsid w:val="38B02011"/>
    <w:rsid w:val="38B44C55"/>
    <w:rsid w:val="38B66548"/>
    <w:rsid w:val="38B801D6"/>
    <w:rsid w:val="38DA4629"/>
    <w:rsid w:val="38E35ABB"/>
    <w:rsid w:val="38F7516D"/>
    <w:rsid w:val="38F912BE"/>
    <w:rsid w:val="393F5E67"/>
    <w:rsid w:val="39567BE8"/>
    <w:rsid w:val="395A71D2"/>
    <w:rsid w:val="395E206D"/>
    <w:rsid w:val="398C7559"/>
    <w:rsid w:val="39910906"/>
    <w:rsid w:val="39A314BC"/>
    <w:rsid w:val="39B03EDD"/>
    <w:rsid w:val="39BB1D99"/>
    <w:rsid w:val="39C805DA"/>
    <w:rsid w:val="39C81A11"/>
    <w:rsid w:val="39CF1EE2"/>
    <w:rsid w:val="39D64F7B"/>
    <w:rsid w:val="39E603B5"/>
    <w:rsid w:val="39F114FE"/>
    <w:rsid w:val="39FD5A02"/>
    <w:rsid w:val="3A006A8B"/>
    <w:rsid w:val="3A2B24E8"/>
    <w:rsid w:val="3A4366B9"/>
    <w:rsid w:val="3A4F0ABC"/>
    <w:rsid w:val="3A562670"/>
    <w:rsid w:val="3A705CF2"/>
    <w:rsid w:val="3A72524B"/>
    <w:rsid w:val="3A7849AF"/>
    <w:rsid w:val="3A810D4F"/>
    <w:rsid w:val="3A895837"/>
    <w:rsid w:val="3A967480"/>
    <w:rsid w:val="3A9A5F8C"/>
    <w:rsid w:val="3A9D4DDB"/>
    <w:rsid w:val="3AA438CD"/>
    <w:rsid w:val="3AAE4802"/>
    <w:rsid w:val="3AB072AD"/>
    <w:rsid w:val="3AB814F4"/>
    <w:rsid w:val="3ADB557D"/>
    <w:rsid w:val="3B074EBE"/>
    <w:rsid w:val="3B1C2148"/>
    <w:rsid w:val="3B2812A1"/>
    <w:rsid w:val="3B3219B3"/>
    <w:rsid w:val="3B4F23C7"/>
    <w:rsid w:val="3B4F28E8"/>
    <w:rsid w:val="3B4F3D69"/>
    <w:rsid w:val="3B784F54"/>
    <w:rsid w:val="3B8375FF"/>
    <w:rsid w:val="3B8C1D63"/>
    <w:rsid w:val="3B9B4ACD"/>
    <w:rsid w:val="3BB261B3"/>
    <w:rsid w:val="3BBE5C27"/>
    <w:rsid w:val="3BC334FD"/>
    <w:rsid w:val="3BF02FB3"/>
    <w:rsid w:val="3C001946"/>
    <w:rsid w:val="3C063A5A"/>
    <w:rsid w:val="3C135D11"/>
    <w:rsid w:val="3C2145A5"/>
    <w:rsid w:val="3C2A0BD5"/>
    <w:rsid w:val="3C2E5046"/>
    <w:rsid w:val="3C377F3B"/>
    <w:rsid w:val="3C384596"/>
    <w:rsid w:val="3C47310D"/>
    <w:rsid w:val="3C4A0BD2"/>
    <w:rsid w:val="3C5D721F"/>
    <w:rsid w:val="3CD07723"/>
    <w:rsid w:val="3CDD563B"/>
    <w:rsid w:val="3CE02647"/>
    <w:rsid w:val="3CE61F43"/>
    <w:rsid w:val="3CE77C9C"/>
    <w:rsid w:val="3CE92F9E"/>
    <w:rsid w:val="3CF56A7F"/>
    <w:rsid w:val="3CFF6B67"/>
    <w:rsid w:val="3D0A2026"/>
    <w:rsid w:val="3D3E0732"/>
    <w:rsid w:val="3D721F61"/>
    <w:rsid w:val="3DC21FC7"/>
    <w:rsid w:val="3DED1CA1"/>
    <w:rsid w:val="3DEE273F"/>
    <w:rsid w:val="3DF5739C"/>
    <w:rsid w:val="3DFD4B35"/>
    <w:rsid w:val="3E166910"/>
    <w:rsid w:val="3E2B1343"/>
    <w:rsid w:val="3E4D3DB5"/>
    <w:rsid w:val="3E510769"/>
    <w:rsid w:val="3E567D7E"/>
    <w:rsid w:val="3E64585C"/>
    <w:rsid w:val="3EBE7BEC"/>
    <w:rsid w:val="3EC00C9A"/>
    <w:rsid w:val="3ED20B7B"/>
    <w:rsid w:val="3EF33C93"/>
    <w:rsid w:val="3EF83452"/>
    <w:rsid w:val="3F057260"/>
    <w:rsid w:val="3F2F1865"/>
    <w:rsid w:val="3F321D7D"/>
    <w:rsid w:val="3F391248"/>
    <w:rsid w:val="3F411D11"/>
    <w:rsid w:val="3F5702C9"/>
    <w:rsid w:val="3F5B5D61"/>
    <w:rsid w:val="3F8B4007"/>
    <w:rsid w:val="3F9779C2"/>
    <w:rsid w:val="3FA90E89"/>
    <w:rsid w:val="3FAE21A9"/>
    <w:rsid w:val="3FB03446"/>
    <w:rsid w:val="3FB60696"/>
    <w:rsid w:val="3FB77EF8"/>
    <w:rsid w:val="3FB91A2A"/>
    <w:rsid w:val="3FCF3647"/>
    <w:rsid w:val="3FD22902"/>
    <w:rsid w:val="3FDF1D60"/>
    <w:rsid w:val="3FE56C66"/>
    <w:rsid w:val="3FEB5F93"/>
    <w:rsid w:val="3FFF1958"/>
    <w:rsid w:val="400111D6"/>
    <w:rsid w:val="40287636"/>
    <w:rsid w:val="402C1CE6"/>
    <w:rsid w:val="405B3669"/>
    <w:rsid w:val="407739F7"/>
    <w:rsid w:val="407C59B8"/>
    <w:rsid w:val="40AC0610"/>
    <w:rsid w:val="40B63B48"/>
    <w:rsid w:val="40C3495F"/>
    <w:rsid w:val="40C36B04"/>
    <w:rsid w:val="40CD1540"/>
    <w:rsid w:val="40CD3734"/>
    <w:rsid w:val="40D34C9F"/>
    <w:rsid w:val="41043BE5"/>
    <w:rsid w:val="410826D8"/>
    <w:rsid w:val="411D21BA"/>
    <w:rsid w:val="411D3776"/>
    <w:rsid w:val="41354269"/>
    <w:rsid w:val="41390DE6"/>
    <w:rsid w:val="414153CF"/>
    <w:rsid w:val="415E0F40"/>
    <w:rsid w:val="4173593B"/>
    <w:rsid w:val="41773F03"/>
    <w:rsid w:val="41827A85"/>
    <w:rsid w:val="4183249D"/>
    <w:rsid w:val="418F158B"/>
    <w:rsid w:val="41954600"/>
    <w:rsid w:val="41AD4072"/>
    <w:rsid w:val="41BF1607"/>
    <w:rsid w:val="41C01D87"/>
    <w:rsid w:val="41D732DC"/>
    <w:rsid w:val="41E143BF"/>
    <w:rsid w:val="420F4727"/>
    <w:rsid w:val="423520BE"/>
    <w:rsid w:val="423E06EB"/>
    <w:rsid w:val="424618DF"/>
    <w:rsid w:val="425967A3"/>
    <w:rsid w:val="42673CEA"/>
    <w:rsid w:val="426776BB"/>
    <w:rsid w:val="428A0763"/>
    <w:rsid w:val="428E4237"/>
    <w:rsid w:val="428F7002"/>
    <w:rsid w:val="42A9451C"/>
    <w:rsid w:val="42E25E3B"/>
    <w:rsid w:val="43150EF6"/>
    <w:rsid w:val="432A68D9"/>
    <w:rsid w:val="432D18D4"/>
    <w:rsid w:val="433B5489"/>
    <w:rsid w:val="433C7D27"/>
    <w:rsid w:val="4344433E"/>
    <w:rsid w:val="436B4C46"/>
    <w:rsid w:val="439D31B6"/>
    <w:rsid w:val="43A73DF6"/>
    <w:rsid w:val="43AB6529"/>
    <w:rsid w:val="43AF1638"/>
    <w:rsid w:val="43B00EFC"/>
    <w:rsid w:val="43BA1F79"/>
    <w:rsid w:val="43BC3E46"/>
    <w:rsid w:val="43C96E04"/>
    <w:rsid w:val="43DE35B7"/>
    <w:rsid w:val="43E63AC4"/>
    <w:rsid w:val="43EE2A7E"/>
    <w:rsid w:val="43F95FF6"/>
    <w:rsid w:val="440B2665"/>
    <w:rsid w:val="441F0C07"/>
    <w:rsid w:val="442A1279"/>
    <w:rsid w:val="443F4A19"/>
    <w:rsid w:val="44471875"/>
    <w:rsid w:val="44491C4E"/>
    <w:rsid w:val="445B17BA"/>
    <w:rsid w:val="446D4F4E"/>
    <w:rsid w:val="44794460"/>
    <w:rsid w:val="4482254C"/>
    <w:rsid w:val="448D5DBF"/>
    <w:rsid w:val="448E0FFD"/>
    <w:rsid w:val="4492209A"/>
    <w:rsid w:val="44AC5F48"/>
    <w:rsid w:val="44B15C8B"/>
    <w:rsid w:val="44C02723"/>
    <w:rsid w:val="44D32505"/>
    <w:rsid w:val="44F67CC6"/>
    <w:rsid w:val="44FC17B7"/>
    <w:rsid w:val="45120C05"/>
    <w:rsid w:val="45267BCC"/>
    <w:rsid w:val="45425EFB"/>
    <w:rsid w:val="455606DE"/>
    <w:rsid w:val="457460EE"/>
    <w:rsid w:val="45756B9F"/>
    <w:rsid w:val="45765676"/>
    <w:rsid w:val="4583069D"/>
    <w:rsid w:val="45997AA2"/>
    <w:rsid w:val="45AE092E"/>
    <w:rsid w:val="45C73023"/>
    <w:rsid w:val="45F308CE"/>
    <w:rsid w:val="460B146E"/>
    <w:rsid w:val="46182CDF"/>
    <w:rsid w:val="461A511D"/>
    <w:rsid w:val="46307D10"/>
    <w:rsid w:val="46490C0A"/>
    <w:rsid w:val="46545D79"/>
    <w:rsid w:val="46745903"/>
    <w:rsid w:val="4687208D"/>
    <w:rsid w:val="46941837"/>
    <w:rsid w:val="469435D2"/>
    <w:rsid w:val="46A4286D"/>
    <w:rsid w:val="46B32C67"/>
    <w:rsid w:val="46B96CF1"/>
    <w:rsid w:val="46DA707F"/>
    <w:rsid w:val="46E637B8"/>
    <w:rsid w:val="46E870E2"/>
    <w:rsid w:val="46E9726D"/>
    <w:rsid w:val="471F43D4"/>
    <w:rsid w:val="47202F63"/>
    <w:rsid w:val="47315F46"/>
    <w:rsid w:val="47447097"/>
    <w:rsid w:val="474856A0"/>
    <w:rsid w:val="4755582D"/>
    <w:rsid w:val="47774830"/>
    <w:rsid w:val="477E5744"/>
    <w:rsid w:val="4791349F"/>
    <w:rsid w:val="47A53678"/>
    <w:rsid w:val="47A7289A"/>
    <w:rsid w:val="47B629FE"/>
    <w:rsid w:val="47B635B1"/>
    <w:rsid w:val="47C9493D"/>
    <w:rsid w:val="47E00A03"/>
    <w:rsid w:val="47E510ED"/>
    <w:rsid w:val="47EB26A3"/>
    <w:rsid w:val="47FA1FBF"/>
    <w:rsid w:val="48051DD6"/>
    <w:rsid w:val="482147B5"/>
    <w:rsid w:val="48274E73"/>
    <w:rsid w:val="484A673E"/>
    <w:rsid w:val="484F1D66"/>
    <w:rsid w:val="485914CA"/>
    <w:rsid w:val="4898707D"/>
    <w:rsid w:val="489A4604"/>
    <w:rsid w:val="48A5705D"/>
    <w:rsid w:val="48AE6F40"/>
    <w:rsid w:val="48B76A0A"/>
    <w:rsid w:val="48D62382"/>
    <w:rsid w:val="48D65BEF"/>
    <w:rsid w:val="48D725F5"/>
    <w:rsid w:val="48DA1098"/>
    <w:rsid w:val="48DA5952"/>
    <w:rsid w:val="48E74C8B"/>
    <w:rsid w:val="48F51DA9"/>
    <w:rsid w:val="49083252"/>
    <w:rsid w:val="490E71DC"/>
    <w:rsid w:val="491252BA"/>
    <w:rsid w:val="49276AE5"/>
    <w:rsid w:val="492812EF"/>
    <w:rsid w:val="49377258"/>
    <w:rsid w:val="493E5AB0"/>
    <w:rsid w:val="495A59DB"/>
    <w:rsid w:val="49606CAF"/>
    <w:rsid w:val="49647188"/>
    <w:rsid w:val="497942D6"/>
    <w:rsid w:val="49890C62"/>
    <w:rsid w:val="49912501"/>
    <w:rsid w:val="49BC4CCD"/>
    <w:rsid w:val="49BF22E4"/>
    <w:rsid w:val="49D33026"/>
    <w:rsid w:val="4A073499"/>
    <w:rsid w:val="4A0842B2"/>
    <w:rsid w:val="4A127A7E"/>
    <w:rsid w:val="4A30792D"/>
    <w:rsid w:val="4A36145F"/>
    <w:rsid w:val="4A3A3856"/>
    <w:rsid w:val="4A4D749D"/>
    <w:rsid w:val="4A5068FF"/>
    <w:rsid w:val="4A60597D"/>
    <w:rsid w:val="4A672680"/>
    <w:rsid w:val="4A7B1CEF"/>
    <w:rsid w:val="4A830012"/>
    <w:rsid w:val="4ACF6BEC"/>
    <w:rsid w:val="4AD16A66"/>
    <w:rsid w:val="4AD80C7B"/>
    <w:rsid w:val="4B0F7F2A"/>
    <w:rsid w:val="4B2F36EE"/>
    <w:rsid w:val="4B596AA8"/>
    <w:rsid w:val="4B620BBD"/>
    <w:rsid w:val="4B6B0097"/>
    <w:rsid w:val="4B6B3AAD"/>
    <w:rsid w:val="4B6F70BE"/>
    <w:rsid w:val="4B7221F6"/>
    <w:rsid w:val="4B8A0C7B"/>
    <w:rsid w:val="4B9A3345"/>
    <w:rsid w:val="4B9E41A9"/>
    <w:rsid w:val="4BB16BB1"/>
    <w:rsid w:val="4BB914A3"/>
    <w:rsid w:val="4BCE037D"/>
    <w:rsid w:val="4BD0622E"/>
    <w:rsid w:val="4C0C7294"/>
    <w:rsid w:val="4C0F375F"/>
    <w:rsid w:val="4C2A4B17"/>
    <w:rsid w:val="4C626AC0"/>
    <w:rsid w:val="4C6320AA"/>
    <w:rsid w:val="4C68620D"/>
    <w:rsid w:val="4C927A47"/>
    <w:rsid w:val="4C95281D"/>
    <w:rsid w:val="4C9A15DD"/>
    <w:rsid w:val="4CB01280"/>
    <w:rsid w:val="4CB36F58"/>
    <w:rsid w:val="4CB83BAD"/>
    <w:rsid w:val="4CB9768A"/>
    <w:rsid w:val="4CC77F03"/>
    <w:rsid w:val="4CCC4BC6"/>
    <w:rsid w:val="4D15779D"/>
    <w:rsid w:val="4D1714D6"/>
    <w:rsid w:val="4D337EE9"/>
    <w:rsid w:val="4D374BD1"/>
    <w:rsid w:val="4D380F5F"/>
    <w:rsid w:val="4D4E45EC"/>
    <w:rsid w:val="4D5A515D"/>
    <w:rsid w:val="4D6E4CCC"/>
    <w:rsid w:val="4D734FBE"/>
    <w:rsid w:val="4D771C12"/>
    <w:rsid w:val="4D830463"/>
    <w:rsid w:val="4D992B3C"/>
    <w:rsid w:val="4D9C5D37"/>
    <w:rsid w:val="4DA14F12"/>
    <w:rsid w:val="4DBB7B38"/>
    <w:rsid w:val="4DBE78B9"/>
    <w:rsid w:val="4DD0691B"/>
    <w:rsid w:val="4DF25475"/>
    <w:rsid w:val="4DF50550"/>
    <w:rsid w:val="4DFA7F81"/>
    <w:rsid w:val="4E05114D"/>
    <w:rsid w:val="4E0759E2"/>
    <w:rsid w:val="4E2A6A75"/>
    <w:rsid w:val="4E4C51E3"/>
    <w:rsid w:val="4E725786"/>
    <w:rsid w:val="4E931779"/>
    <w:rsid w:val="4E9B38FA"/>
    <w:rsid w:val="4E9D1C7C"/>
    <w:rsid w:val="4ED234A9"/>
    <w:rsid w:val="4EE46DBB"/>
    <w:rsid w:val="4EF816B5"/>
    <w:rsid w:val="4F0C53B9"/>
    <w:rsid w:val="4F1C46A0"/>
    <w:rsid w:val="4F276E60"/>
    <w:rsid w:val="4F6D7C9B"/>
    <w:rsid w:val="4F872744"/>
    <w:rsid w:val="4F9011CB"/>
    <w:rsid w:val="4FBC4D01"/>
    <w:rsid w:val="4FBF4112"/>
    <w:rsid w:val="4FD94B25"/>
    <w:rsid w:val="4FF24D18"/>
    <w:rsid w:val="4FFA7ACA"/>
    <w:rsid w:val="50115B60"/>
    <w:rsid w:val="50122CD5"/>
    <w:rsid w:val="501356B6"/>
    <w:rsid w:val="50210124"/>
    <w:rsid w:val="50210D4E"/>
    <w:rsid w:val="502F4D51"/>
    <w:rsid w:val="5045370D"/>
    <w:rsid w:val="5055637B"/>
    <w:rsid w:val="507347BB"/>
    <w:rsid w:val="507C6C9D"/>
    <w:rsid w:val="507D0372"/>
    <w:rsid w:val="50807DCE"/>
    <w:rsid w:val="50910083"/>
    <w:rsid w:val="50BC5646"/>
    <w:rsid w:val="50F62CE0"/>
    <w:rsid w:val="513110A1"/>
    <w:rsid w:val="515A3B9C"/>
    <w:rsid w:val="516231D4"/>
    <w:rsid w:val="516E43B5"/>
    <w:rsid w:val="51726686"/>
    <w:rsid w:val="51746FB4"/>
    <w:rsid w:val="519362EE"/>
    <w:rsid w:val="519B65CF"/>
    <w:rsid w:val="519C58A1"/>
    <w:rsid w:val="51BC5591"/>
    <w:rsid w:val="51E71889"/>
    <w:rsid w:val="520230D8"/>
    <w:rsid w:val="5213002A"/>
    <w:rsid w:val="521379D1"/>
    <w:rsid w:val="522305D1"/>
    <w:rsid w:val="52306645"/>
    <w:rsid w:val="52355063"/>
    <w:rsid w:val="52583D82"/>
    <w:rsid w:val="52776903"/>
    <w:rsid w:val="52A56F91"/>
    <w:rsid w:val="52BE03FC"/>
    <w:rsid w:val="52D62103"/>
    <w:rsid w:val="52E042AF"/>
    <w:rsid w:val="52E34821"/>
    <w:rsid w:val="53027F6F"/>
    <w:rsid w:val="530378C0"/>
    <w:rsid w:val="531475D1"/>
    <w:rsid w:val="5322691A"/>
    <w:rsid w:val="532E7AD6"/>
    <w:rsid w:val="532F204A"/>
    <w:rsid w:val="5342137C"/>
    <w:rsid w:val="53497C40"/>
    <w:rsid w:val="534E511C"/>
    <w:rsid w:val="537922DA"/>
    <w:rsid w:val="5381235C"/>
    <w:rsid w:val="53993D70"/>
    <w:rsid w:val="53B74385"/>
    <w:rsid w:val="53C519ED"/>
    <w:rsid w:val="53DD19B1"/>
    <w:rsid w:val="53E419D3"/>
    <w:rsid w:val="53FF752C"/>
    <w:rsid w:val="54073891"/>
    <w:rsid w:val="542A4B47"/>
    <w:rsid w:val="543C3492"/>
    <w:rsid w:val="54422CA3"/>
    <w:rsid w:val="54454D04"/>
    <w:rsid w:val="54982D15"/>
    <w:rsid w:val="54AF5638"/>
    <w:rsid w:val="54B72AD2"/>
    <w:rsid w:val="54E9527B"/>
    <w:rsid w:val="550D3743"/>
    <w:rsid w:val="55435D8D"/>
    <w:rsid w:val="554C25CB"/>
    <w:rsid w:val="556449C1"/>
    <w:rsid w:val="55694F0E"/>
    <w:rsid w:val="557246AF"/>
    <w:rsid w:val="558D3895"/>
    <w:rsid w:val="559D593C"/>
    <w:rsid w:val="55C36827"/>
    <w:rsid w:val="55F253AD"/>
    <w:rsid w:val="55F7314A"/>
    <w:rsid w:val="56110F00"/>
    <w:rsid w:val="561A292F"/>
    <w:rsid w:val="56242BDE"/>
    <w:rsid w:val="5625560D"/>
    <w:rsid w:val="56280876"/>
    <w:rsid w:val="565A4944"/>
    <w:rsid w:val="56611A6D"/>
    <w:rsid w:val="566C51B8"/>
    <w:rsid w:val="567B2355"/>
    <w:rsid w:val="569D2CF8"/>
    <w:rsid w:val="56A16019"/>
    <w:rsid w:val="56A47E35"/>
    <w:rsid w:val="56AF2B08"/>
    <w:rsid w:val="56DE0724"/>
    <w:rsid w:val="56E23B51"/>
    <w:rsid w:val="570275FA"/>
    <w:rsid w:val="570B68F2"/>
    <w:rsid w:val="57182BF4"/>
    <w:rsid w:val="5724235D"/>
    <w:rsid w:val="576C02C0"/>
    <w:rsid w:val="577022D1"/>
    <w:rsid w:val="57711937"/>
    <w:rsid w:val="577D7369"/>
    <w:rsid w:val="577E6592"/>
    <w:rsid w:val="57A23389"/>
    <w:rsid w:val="57C81465"/>
    <w:rsid w:val="57D8711C"/>
    <w:rsid w:val="57E62D4B"/>
    <w:rsid w:val="57E63712"/>
    <w:rsid w:val="57E8144A"/>
    <w:rsid w:val="57EF51D1"/>
    <w:rsid w:val="57F2533C"/>
    <w:rsid w:val="5814127B"/>
    <w:rsid w:val="5818097E"/>
    <w:rsid w:val="58196E0B"/>
    <w:rsid w:val="58386EDF"/>
    <w:rsid w:val="58560D16"/>
    <w:rsid w:val="586231AF"/>
    <w:rsid w:val="588019FA"/>
    <w:rsid w:val="58821129"/>
    <w:rsid w:val="58912296"/>
    <w:rsid w:val="58927898"/>
    <w:rsid w:val="58936EAB"/>
    <w:rsid w:val="589B4F75"/>
    <w:rsid w:val="589E0C2F"/>
    <w:rsid w:val="58B63A87"/>
    <w:rsid w:val="58C75CA8"/>
    <w:rsid w:val="58E36687"/>
    <w:rsid w:val="58EE045C"/>
    <w:rsid w:val="58F957FD"/>
    <w:rsid w:val="58FA0AA7"/>
    <w:rsid w:val="58FB0EAB"/>
    <w:rsid w:val="58FE58BE"/>
    <w:rsid w:val="59004FEC"/>
    <w:rsid w:val="590A19ED"/>
    <w:rsid w:val="590B523F"/>
    <w:rsid w:val="590F6CBB"/>
    <w:rsid w:val="592B4C45"/>
    <w:rsid w:val="592D5A99"/>
    <w:rsid w:val="59304562"/>
    <w:rsid w:val="593B2300"/>
    <w:rsid w:val="593B2B35"/>
    <w:rsid w:val="59661292"/>
    <w:rsid w:val="597A28CD"/>
    <w:rsid w:val="59945F0B"/>
    <w:rsid w:val="59991E32"/>
    <w:rsid w:val="599A590C"/>
    <w:rsid w:val="59A30589"/>
    <w:rsid w:val="59AE7844"/>
    <w:rsid w:val="59AF7F7A"/>
    <w:rsid w:val="59C608B6"/>
    <w:rsid w:val="59C7592E"/>
    <w:rsid w:val="59E22D14"/>
    <w:rsid w:val="5A0F5D73"/>
    <w:rsid w:val="5A1A0713"/>
    <w:rsid w:val="5A1B6F88"/>
    <w:rsid w:val="5A5314A6"/>
    <w:rsid w:val="5A755C92"/>
    <w:rsid w:val="5A815289"/>
    <w:rsid w:val="5A8B6319"/>
    <w:rsid w:val="5A917B2F"/>
    <w:rsid w:val="5A9A76F4"/>
    <w:rsid w:val="5AAE21F6"/>
    <w:rsid w:val="5AB321AE"/>
    <w:rsid w:val="5ABA3AA9"/>
    <w:rsid w:val="5ACD6EB0"/>
    <w:rsid w:val="5AE63E50"/>
    <w:rsid w:val="5AE66B76"/>
    <w:rsid w:val="5AEE2489"/>
    <w:rsid w:val="5B075C3C"/>
    <w:rsid w:val="5B0F2328"/>
    <w:rsid w:val="5B1B6D0D"/>
    <w:rsid w:val="5B394803"/>
    <w:rsid w:val="5B4B5630"/>
    <w:rsid w:val="5B580410"/>
    <w:rsid w:val="5B816B8D"/>
    <w:rsid w:val="5B8337A9"/>
    <w:rsid w:val="5B865D79"/>
    <w:rsid w:val="5BAD273C"/>
    <w:rsid w:val="5BB444B0"/>
    <w:rsid w:val="5BC65B8C"/>
    <w:rsid w:val="5BD061F6"/>
    <w:rsid w:val="5BEA1018"/>
    <w:rsid w:val="5BF532DF"/>
    <w:rsid w:val="5C0425A3"/>
    <w:rsid w:val="5C0D5C32"/>
    <w:rsid w:val="5C15579A"/>
    <w:rsid w:val="5C1D279A"/>
    <w:rsid w:val="5C292DE1"/>
    <w:rsid w:val="5C2E43F7"/>
    <w:rsid w:val="5C427512"/>
    <w:rsid w:val="5C690E20"/>
    <w:rsid w:val="5C6B200B"/>
    <w:rsid w:val="5CAA3BAF"/>
    <w:rsid w:val="5CB468A6"/>
    <w:rsid w:val="5CCB0937"/>
    <w:rsid w:val="5CCC0784"/>
    <w:rsid w:val="5CEA3D56"/>
    <w:rsid w:val="5CF442AC"/>
    <w:rsid w:val="5D06564A"/>
    <w:rsid w:val="5D0B35A0"/>
    <w:rsid w:val="5D144109"/>
    <w:rsid w:val="5D2D63CE"/>
    <w:rsid w:val="5D384FB6"/>
    <w:rsid w:val="5D3B100E"/>
    <w:rsid w:val="5D4530D7"/>
    <w:rsid w:val="5D4D4343"/>
    <w:rsid w:val="5D5C5E29"/>
    <w:rsid w:val="5D6F6430"/>
    <w:rsid w:val="5D7974E8"/>
    <w:rsid w:val="5D7A46C9"/>
    <w:rsid w:val="5D892B77"/>
    <w:rsid w:val="5D8F4D13"/>
    <w:rsid w:val="5D915FF1"/>
    <w:rsid w:val="5DC42556"/>
    <w:rsid w:val="5DDD5D5C"/>
    <w:rsid w:val="5DE10758"/>
    <w:rsid w:val="5DEC2662"/>
    <w:rsid w:val="5DF33A7C"/>
    <w:rsid w:val="5DF41E52"/>
    <w:rsid w:val="5DF533F5"/>
    <w:rsid w:val="5DF67F65"/>
    <w:rsid w:val="5E054255"/>
    <w:rsid w:val="5E09244E"/>
    <w:rsid w:val="5E0F03E3"/>
    <w:rsid w:val="5E2B3C11"/>
    <w:rsid w:val="5E2F7319"/>
    <w:rsid w:val="5E6C19E8"/>
    <w:rsid w:val="5E78552F"/>
    <w:rsid w:val="5E833D0A"/>
    <w:rsid w:val="5E8F5567"/>
    <w:rsid w:val="5E9D6921"/>
    <w:rsid w:val="5EA11766"/>
    <w:rsid w:val="5EAF0519"/>
    <w:rsid w:val="5EBA6380"/>
    <w:rsid w:val="5EBB0FC2"/>
    <w:rsid w:val="5EBD2338"/>
    <w:rsid w:val="5EBF3118"/>
    <w:rsid w:val="5ECE34F6"/>
    <w:rsid w:val="5ECE3921"/>
    <w:rsid w:val="5EF77EF1"/>
    <w:rsid w:val="5F0C5245"/>
    <w:rsid w:val="5F173EF4"/>
    <w:rsid w:val="5F20351E"/>
    <w:rsid w:val="5F385BD6"/>
    <w:rsid w:val="5F4C4DF5"/>
    <w:rsid w:val="5F4D37CE"/>
    <w:rsid w:val="5F4D4BCE"/>
    <w:rsid w:val="5F4F37A6"/>
    <w:rsid w:val="5F8662D7"/>
    <w:rsid w:val="5FAD7ADF"/>
    <w:rsid w:val="5FB05CF0"/>
    <w:rsid w:val="5FC923A6"/>
    <w:rsid w:val="5FCD4ACD"/>
    <w:rsid w:val="5FCE650D"/>
    <w:rsid w:val="5FD53A72"/>
    <w:rsid w:val="5FE3247C"/>
    <w:rsid w:val="5FF03894"/>
    <w:rsid w:val="5FFA4F1B"/>
    <w:rsid w:val="601C762B"/>
    <w:rsid w:val="603F1FFE"/>
    <w:rsid w:val="6049583B"/>
    <w:rsid w:val="606D3212"/>
    <w:rsid w:val="60713270"/>
    <w:rsid w:val="608859BF"/>
    <w:rsid w:val="608C6BFD"/>
    <w:rsid w:val="609C6C69"/>
    <w:rsid w:val="609D2860"/>
    <w:rsid w:val="60AB7383"/>
    <w:rsid w:val="60B61CD9"/>
    <w:rsid w:val="60B96A77"/>
    <w:rsid w:val="60BF202E"/>
    <w:rsid w:val="60C27D34"/>
    <w:rsid w:val="60C932EB"/>
    <w:rsid w:val="60CE5F6F"/>
    <w:rsid w:val="60DB2BA0"/>
    <w:rsid w:val="60EA7B40"/>
    <w:rsid w:val="60F87491"/>
    <w:rsid w:val="61227D36"/>
    <w:rsid w:val="61414572"/>
    <w:rsid w:val="614A75B3"/>
    <w:rsid w:val="61506D0C"/>
    <w:rsid w:val="616722D1"/>
    <w:rsid w:val="618A571F"/>
    <w:rsid w:val="618C5AD7"/>
    <w:rsid w:val="61980D88"/>
    <w:rsid w:val="619A15C3"/>
    <w:rsid w:val="61A160C9"/>
    <w:rsid w:val="61A6074C"/>
    <w:rsid w:val="61C66519"/>
    <w:rsid w:val="61CA0A38"/>
    <w:rsid w:val="61E42DF3"/>
    <w:rsid w:val="61E46FD5"/>
    <w:rsid w:val="61EC78FE"/>
    <w:rsid w:val="61FB6981"/>
    <w:rsid w:val="620626BC"/>
    <w:rsid w:val="62341D51"/>
    <w:rsid w:val="62510449"/>
    <w:rsid w:val="627D06D1"/>
    <w:rsid w:val="628A5E6B"/>
    <w:rsid w:val="62974B22"/>
    <w:rsid w:val="62DD40E6"/>
    <w:rsid w:val="62E34390"/>
    <w:rsid w:val="62E87515"/>
    <w:rsid w:val="62EE0E34"/>
    <w:rsid w:val="63170D27"/>
    <w:rsid w:val="63207BC0"/>
    <w:rsid w:val="633A4FED"/>
    <w:rsid w:val="634A6C24"/>
    <w:rsid w:val="634E1839"/>
    <w:rsid w:val="63536AF5"/>
    <w:rsid w:val="636345BB"/>
    <w:rsid w:val="63667CD5"/>
    <w:rsid w:val="63686EB5"/>
    <w:rsid w:val="63696248"/>
    <w:rsid w:val="63711AFE"/>
    <w:rsid w:val="637C26D1"/>
    <w:rsid w:val="639170B0"/>
    <w:rsid w:val="63A50597"/>
    <w:rsid w:val="63BC53E9"/>
    <w:rsid w:val="63C942C4"/>
    <w:rsid w:val="63D94A4F"/>
    <w:rsid w:val="63DD001A"/>
    <w:rsid w:val="63E27363"/>
    <w:rsid w:val="63FF348A"/>
    <w:rsid w:val="64015EEF"/>
    <w:rsid w:val="64090B90"/>
    <w:rsid w:val="64115643"/>
    <w:rsid w:val="64164A7E"/>
    <w:rsid w:val="643C0A76"/>
    <w:rsid w:val="644F5B32"/>
    <w:rsid w:val="64515E16"/>
    <w:rsid w:val="645B6890"/>
    <w:rsid w:val="64940B22"/>
    <w:rsid w:val="64A913BA"/>
    <w:rsid w:val="64A95B3B"/>
    <w:rsid w:val="64B06576"/>
    <w:rsid w:val="64D52CE6"/>
    <w:rsid w:val="64D93BA7"/>
    <w:rsid w:val="650C00C1"/>
    <w:rsid w:val="650F414B"/>
    <w:rsid w:val="651B52B6"/>
    <w:rsid w:val="651C7FC8"/>
    <w:rsid w:val="65363A1F"/>
    <w:rsid w:val="657C460D"/>
    <w:rsid w:val="657D36FD"/>
    <w:rsid w:val="658409B5"/>
    <w:rsid w:val="65925ACD"/>
    <w:rsid w:val="659C2D2B"/>
    <w:rsid w:val="659F33F2"/>
    <w:rsid w:val="65BB3DE5"/>
    <w:rsid w:val="65C56EA6"/>
    <w:rsid w:val="65C812C4"/>
    <w:rsid w:val="65D814E1"/>
    <w:rsid w:val="65E7210E"/>
    <w:rsid w:val="65ED7D45"/>
    <w:rsid w:val="66017CCF"/>
    <w:rsid w:val="661722AE"/>
    <w:rsid w:val="661909AE"/>
    <w:rsid w:val="662E1FC1"/>
    <w:rsid w:val="664302A0"/>
    <w:rsid w:val="664940D9"/>
    <w:rsid w:val="666A2D39"/>
    <w:rsid w:val="66771CEE"/>
    <w:rsid w:val="66803885"/>
    <w:rsid w:val="669608A6"/>
    <w:rsid w:val="66D4012B"/>
    <w:rsid w:val="66D562CD"/>
    <w:rsid w:val="66D86F82"/>
    <w:rsid w:val="66DE572E"/>
    <w:rsid w:val="66F23DA2"/>
    <w:rsid w:val="67000D54"/>
    <w:rsid w:val="67003ED7"/>
    <w:rsid w:val="670076C8"/>
    <w:rsid w:val="672D7E38"/>
    <w:rsid w:val="672F71F5"/>
    <w:rsid w:val="673F2550"/>
    <w:rsid w:val="674313B1"/>
    <w:rsid w:val="675C7D3A"/>
    <w:rsid w:val="67616E29"/>
    <w:rsid w:val="676F1F1D"/>
    <w:rsid w:val="67714AD1"/>
    <w:rsid w:val="678A0E68"/>
    <w:rsid w:val="67AD3446"/>
    <w:rsid w:val="67AD7EC8"/>
    <w:rsid w:val="67B0671E"/>
    <w:rsid w:val="67D37FFC"/>
    <w:rsid w:val="67DE0AC1"/>
    <w:rsid w:val="67F1341D"/>
    <w:rsid w:val="67F65496"/>
    <w:rsid w:val="68054B16"/>
    <w:rsid w:val="681B1363"/>
    <w:rsid w:val="682B174B"/>
    <w:rsid w:val="6831600C"/>
    <w:rsid w:val="6833299C"/>
    <w:rsid w:val="6837371F"/>
    <w:rsid w:val="68440B26"/>
    <w:rsid w:val="684A4B28"/>
    <w:rsid w:val="68633A30"/>
    <w:rsid w:val="68651DD7"/>
    <w:rsid w:val="68766396"/>
    <w:rsid w:val="68793E7F"/>
    <w:rsid w:val="689F3A32"/>
    <w:rsid w:val="68AB72AF"/>
    <w:rsid w:val="68B307A2"/>
    <w:rsid w:val="68B674C2"/>
    <w:rsid w:val="68BF6EDE"/>
    <w:rsid w:val="68CB2105"/>
    <w:rsid w:val="68CE3276"/>
    <w:rsid w:val="68E345DC"/>
    <w:rsid w:val="690E3EE6"/>
    <w:rsid w:val="69334CD8"/>
    <w:rsid w:val="6945012E"/>
    <w:rsid w:val="694E1443"/>
    <w:rsid w:val="69527FEC"/>
    <w:rsid w:val="69544C42"/>
    <w:rsid w:val="69596878"/>
    <w:rsid w:val="696242E0"/>
    <w:rsid w:val="69651416"/>
    <w:rsid w:val="696D3029"/>
    <w:rsid w:val="697D232A"/>
    <w:rsid w:val="69921B9D"/>
    <w:rsid w:val="69941660"/>
    <w:rsid w:val="69C75927"/>
    <w:rsid w:val="69DF77E5"/>
    <w:rsid w:val="69EE6269"/>
    <w:rsid w:val="69FF4E6D"/>
    <w:rsid w:val="6A076369"/>
    <w:rsid w:val="6A076670"/>
    <w:rsid w:val="6A2E3BDF"/>
    <w:rsid w:val="6A6F6877"/>
    <w:rsid w:val="6A722960"/>
    <w:rsid w:val="6A761E04"/>
    <w:rsid w:val="6A7C720D"/>
    <w:rsid w:val="6A7F7CA4"/>
    <w:rsid w:val="6AA15A6C"/>
    <w:rsid w:val="6AAB7E4A"/>
    <w:rsid w:val="6AB93AD6"/>
    <w:rsid w:val="6ACD14AF"/>
    <w:rsid w:val="6AD2595D"/>
    <w:rsid w:val="6AD51677"/>
    <w:rsid w:val="6AEF54BA"/>
    <w:rsid w:val="6B015B9C"/>
    <w:rsid w:val="6B2054FD"/>
    <w:rsid w:val="6B330E3D"/>
    <w:rsid w:val="6B4726C8"/>
    <w:rsid w:val="6B4A4CCF"/>
    <w:rsid w:val="6B5E69A3"/>
    <w:rsid w:val="6B815298"/>
    <w:rsid w:val="6BCA3F33"/>
    <w:rsid w:val="6BCB3A88"/>
    <w:rsid w:val="6BE6430D"/>
    <w:rsid w:val="6BEB76C6"/>
    <w:rsid w:val="6BF47ABE"/>
    <w:rsid w:val="6C167D41"/>
    <w:rsid w:val="6C1E5CA1"/>
    <w:rsid w:val="6C1F2F96"/>
    <w:rsid w:val="6C3212A7"/>
    <w:rsid w:val="6C552B59"/>
    <w:rsid w:val="6C6F3091"/>
    <w:rsid w:val="6C7F395D"/>
    <w:rsid w:val="6C9D6B1D"/>
    <w:rsid w:val="6CAC2F82"/>
    <w:rsid w:val="6CC92786"/>
    <w:rsid w:val="6CEA2402"/>
    <w:rsid w:val="6D044433"/>
    <w:rsid w:val="6D054AA2"/>
    <w:rsid w:val="6D117B8D"/>
    <w:rsid w:val="6D222C23"/>
    <w:rsid w:val="6D226558"/>
    <w:rsid w:val="6D2A0858"/>
    <w:rsid w:val="6D2D3E75"/>
    <w:rsid w:val="6D3804B7"/>
    <w:rsid w:val="6D3D1D74"/>
    <w:rsid w:val="6D4609C2"/>
    <w:rsid w:val="6D58295E"/>
    <w:rsid w:val="6D5C552D"/>
    <w:rsid w:val="6D5E7AD9"/>
    <w:rsid w:val="6D766FDD"/>
    <w:rsid w:val="6D7C360A"/>
    <w:rsid w:val="6D7D4221"/>
    <w:rsid w:val="6D7E296C"/>
    <w:rsid w:val="6D863BF3"/>
    <w:rsid w:val="6D8702E2"/>
    <w:rsid w:val="6D9133D9"/>
    <w:rsid w:val="6D9E47F9"/>
    <w:rsid w:val="6DAA212B"/>
    <w:rsid w:val="6DAB1F62"/>
    <w:rsid w:val="6DB07E58"/>
    <w:rsid w:val="6DFD6DEB"/>
    <w:rsid w:val="6E024C61"/>
    <w:rsid w:val="6E0B1742"/>
    <w:rsid w:val="6E223C08"/>
    <w:rsid w:val="6E325D9F"/>
    <w:rsid w:val="6E43686C"/>
    <w:rsid w:val="6E454C44"/>
    <w:rsid w:val="6E895F13"/>
    <w:rsid w:val="6E985AC3"/>
    <w:rsid w:val="6EC239D3"/>
    <w:rsid w:val="6EE80AF6"/>
    <w:rsid w:val="6EEA4649"/>
    <w:rsid w:val="6F2E1AEB"/>
    <w:rsid w:val="6F2E73E7"/>
    <w:rsid w:val="6F500C74"/>
    <w:rsid w:val="6F582041"/>
    <w:rsid w:val="6F7B21F2"/>
    <w:rsid w:val="6F7C7B6C"/>
    <w:rsid w:val="6F7E3063"/>
    <w:rsid w:val="6F8F41B4"/>
    <w:rsid w:val="6F977D83"/>
    <w:rsid w:val="6FAE6B23"/>
    <w:rsid w:val="6FAF42CF"/>
    <w:rsid w:val="6FE11852"/>
    <w:rsid w:val="6FF87DFA"/>
    <w:rsid w:val="6FF960EF"/>
    <w:rsid w:val="7021099B"/>
    <w:rsid w:val="703616AC"/>
    <w:rsid w:val="70440862"/>
    <w:rsid w:val="705A5B72"/>
    <w:rsid w:val="706C0BAB"/>
    <w:rsid w:val="7076537A"/>
    <w:rsid w:val="707772EC"/>
    <w:rsid w:val="707A55D8"/>
    <w:rsid w:val="709F6D25"/>
    <w:rsid w:val="70B10543"/>
    <w:rsid w:val="70B63B9E"/>
    <w:rsid w:val="70B84F0E"/>
    <w:rsid w:val="70BC7637"/>
    <w:rsid w:val="70C90911"/>
    <w:rsid w:val="70F41A9C"/>
    <w:rsid w:val="7102225F"/>
    <w:rsid w:val="7111757F"/>
    <w:rsid w:val="71130659"/>
    <w:rsid w:val="71135A80"/>
    <w:rsid w:val="712742EA"/>
    <w:rsid w:val="71283BE8"/>
    <w:rsid w:val="71327161"/>
    <w:rsid w:val="7138716E"/>
    <w:rsid w:val="714E76B5"/>
    <w:rsid w:val="71531971"/>
    <w:rsid w:val="7157080F"/>
    <w:rsid w:val="719542AA"/>
    <w:rsid w:val="719551F4"/>
    <w:rsid w:val="71AE514A"/>
    <w:rsid w:val="71AF1EC6"/>
    <w:rsid w:val="71B53850"/>
    <w:rsid w:val="71BC1CCA"/>
    <w:rsid w:val="71BE69CD"/>
    <w:rsid w:val="71C94395"/>
    <w:rsid w:val="71F3059E"/>
    <w:rsid w:val="7201737D"/>
    <w:rsid w:val="720D5739"/>
    <w:rsid w:val="722B681C"/>
    <w:rsid w:val="723543EF"/>
    <w:rsid w:val="724076DF"/>
    <w:rsid w:val="7253359E"/>
    <w:rsid w:val="72610297"/>
    <w:rsid w:val="7270316B"/>
    <w:rsid w:val="727B328B"/>
    <w:rsid w:val="72823384"/>
    <w:rsid w:val="72A92F03"/>
    <w:rsid w:val="72BF2C30"/>
    <w:rsid w:val="72C00D3C"/>
    <w:rsid w:val="72EB6536"/>
    <w:rsid w:val="72F024B9"/>
    <w:rsid w:val="72F30244"/>
    <w:rsid w:val="731326E6"/>
    <w:rsid w:val="731E6338"/>
    <w:rsid w:val="733C1C7F"/>
    <w:rsid w:val="73462A13"/>
    <w:rsid w:val="73492E66"/>
    <w:rsid w:val="7379475C"/>
    <w:rsid w:val="737C3D85"/>
    <w:rsid w:val="73870BC4"/>
    <w:rsid w:val="73AF426A"/>
    <w:rsid w:val="73E22841"/>
    <w:rsid w:val="73EF7F02"/>
    <w:rsid w:val="73F6386D"/>
    <w:rsid w:val="740A3286"/>
    <w:rsid w:val="742D6C8F"/>
    <w:rsid w:val="74472A6E"/>
    <w:rsid w:val="74613D69"/>
    <w:rsid w:val="746316F9"/>
    <w:rsid w:val="746507CC"/>
    <w:rsid w:val="747B3CE1"/>
    <w:rsid w:val="747E7F7F"/>
    <w:rsid w:val="748A67A0"/>
    <w:rsid w:val="7490707B"/>
    <w:rsid w:val="74A01D63"/>
    <w:rsid w:val="74A54D1E"/>
    <w:rsid w:val="74AC60C8"/>
    <w:rsid w:val="74D93235"/>
    <w:rsid w:val="74E03383"/>
    <w:rsid w:val="74EC66FB"/>
    <w:rsid w:val="74ED2CA5"/>
    <w:rsid w:val="7511399B"/>
    <w:rsid w:val="75204DAE"/>
    <w:rsid w:val="7530484D"/>
    <w:rsid w:val="75377071"/>
    <w:rsid w:val="75382F3F"/>
    <w:rsid w:val="75512512"/>
    <w:rsid w:val="755F3FAF"/>
    <w:rsid w:val="75651B53"/>
    <w:rsid w:val="75726EBC"/>
    <w:rsid w:val="757649D6"/>
    <w:rsid w:val="757B387C"/>
    <w:rsid w:val="759F5F69"/>
    <w:rsid w:val="75B32F1A"/>
    <w:rsid w:val="75B4633D"/>
    <w:rsid w:val="75EC741F"/>
    <w:rsid w:val="76120D70"/>
    <w:rsid w:val="76200156"/>
    <w:rsid w:val="763676D2"/>
    <w:rsid w:val="7644108C"/>
    <w:rsid w:val="765278EA"/>
    <w:rsid w:val="766474B1"/>
    <w:rsid w:val="766735A0"/>
    <w:rsid w:val="7667693F"/>
    <w:rsid w:val="76697F4E"/>
    <w:rsid w:val="766A776A"/>
    <w:rsid w:val="76842CA2"/>
    <w:rsid w:val="76A47096"/>
    <w:rsid w:val="76A67C18"/>
    <w:rsid w:val="76AA3320"/>
    <w:rsid w:val="76AD4BC2"/>
    <w:rsid w:val="76B6644D"/>
    <w:rsid w:val="76C019D8"/>
    <w:rsid w:val="76DC1FAD"/>
    <w:rsid w:val="76FB5B4D"/>
    <w:rsid w:val="771262E3"/>
    <w:rsid w:val="771C5EF1"/>
    <w:rsid w:val="774E0340"/>
    <w:rsid w:val="7782411D"/>
    <w:rsid w:val="77922AD2"/>
    <w:rsid w:val="779C451B"/>
    <w:rsid w:val="77B71A40"/>
    <w:rsid w:val="77DE559E"/>
    <w:rsid w:val="77EC3427"/>
    <w:rsid w:val="7808225E"/>
    <w:rsid w:val="7837261A"/>
    <w:rsid w:val="783A4EFF"/>
    <w:rsid w:val="78460525"/>
    <w:rsid w:val="787C6372"/>
    <w:rsid w:val="789E38B5"/>
    <w:rsid w:val="78A2761F"/>
    <w:rsid w:val="78C712AE"/>
    <w:rsid w:val="78E77DB0"/>
    <w:rsid w:val="7916318E"/>
    <w:rsid w:val="791A4F16"/>
    <w:rsid w:val="79310B37"/>
    <w:rsid w:val="79516D76"/>
    <w:rsid w:val="795319FC"/>
    <w:rsid w:val="796916F7"/>
    <w:rsid w:val="796C21C5"/>
    <w:rsid w:val="79736AB4"/>
    <w:rsid w:val="798D0940"/>
    <w:rsid w:val="79A5307A"/>
    <w:rsid w:val="79AA19C6"/>
    <w:rsid w:val="79BC1E37"/>
    <w:rsid w:val="79CC405D"/>
    <w:rsid w:val="79D22EF7"/>
    <w:rsid w:val="79E310F2"/>
    <w:rsid w:val="79E848E8"/>
    <w:rsid w:val="79F72536"/>
    <w:rsid w:val="7A0479B4"/>
    <w:rsid w:val="7A095442"/>
    <w:rsid w:val="7A0F4063"/>
    <w:rsid w:val="7A1F314B"/>
    <w:rsid w:val="7A260B6C"/>
    <w:rsid w:val="7A2C3D6C"/>
    <w:rsid w:val="7A4A6FF1"/>
    <w:rsid w:val="7A6C272B"/>
    <w:rsid w:val="7A86306D"/>
    <w:rsid w:val="7A934D8C"/>
    <w:rsid w:val="7AB23C6E"/>
    <w:rsid w:val="7ADD2E66"/>
    <w:rsid w:val="7AF930CF"/>
    <w:rsid w:val="7B1E5957"/>
    <w:rsid w:val="7B2518CD"/>
    <w:rsid w:val="7B8942D6"/>
    <w:rsid w:val="7B8A4FE2"/>
    <w:rsid w:val="7B8C2D69"/>
    <w:rsid w:val="7B8E47C3"/>
    <w:rsid w:val="7B973713"/>
    <w:rsid w:val="7B973D49"/>
    <w:rsid w:val="7BA46922"/>
    <w:rsid w:val="7BB51AE8"/>
    <w:rsid w:val="7BBC6004"/>
    <w:rsid w:val="7BBE1D40"/>
    <w:rsid w:val="7BC16064"/>
    <w:rsid w:val="7BD60D25"/>
    <w:rsid w:val="7BD87754"/>
    <w:rsid w:val="7BE03D98"/>
    <w:rsid w:val="7BEA09AF"/>
    <w:rsid w:val="7BFD3EA2"/>
    <w:rsid w:val="7BFE160D"/>
    <w:rsid w:val="7C056324"/>
    <w:rsid w:val="7C0808B6"/>
    <w:rsid w:val="7C0C29C4"/>
    <w:rsid w:val="7C1C30D1"/>
    <w:rsid w:val="7C406F44"/>
    <w:rsid w:val="7C41688A"/>
    <w:rsid w:val="7C594A77"/>
    <w:rsid w:val="7C6163FB"/>
    <w:rsid w:val="7C712600"/>
    <w:rsid w:val="7C72744B"/>
    <w:rsid w:val="7C8B7198"/>
    <w:rsid w:val="7C935E8B"/>
    <w:rsid w:val="7C97278F"/>
    <w:rsid w:val="7CBE7D7A"/>
    <w:rsid w:val="7CBF54C3"/>
    <w:rsid w:val="7CED180A"/>
    <w:rsid w:val="7CFB6856"/>
    <w:rsid w:val="7D297886"/>
    <w:rsid w:val="7D2B3228"/>
    <w:rsid w:val="7D3557F2"/>
    <w:rsid w:val="7D4E10FF"/>
    <w:rsid w:val="7D573FB2"/>
    <w:rsid w:val="7D634C6C"/>
    <w:rsid w:val="7D7230F5"/>
    <w:rsid w:val="7D7E5466"/>
    <w:rsid w:val="7D8C5A54"/>
    <w:rsid w:val="7DAC4FED"/>
    <w:rsid w:val="7DDF3493"/>
    <w:rsid w:val="7DDF42F0"/>
    <w:rsid w:val="7DDF5478"/>
    <w:rsid w:val="7DE85936"/>
    <w:rsid w:val="7DED63E3"/>
    <w:rsid w:val="7DFF2EF2"/>
    <w:rsid w:val="7E025C3B"/>
    <w:rsid w:val="7E042094"/>
    <w:rsid w:val="7E0B6B44"/>
    <w:rsid w:val="7E243DD8"/>
    <w:rsid w:val="7E2A04D6"/>
    <w:rsid w:val="7E31559F"/>
    <w:rsid w:val="7E3C5347"/>
    <w:rsid w:val="7E46500E"/>
    <w:rsid w:val="7E5627C0"/>
    <w:rsid w:val="7E624819"/>
    <w:rsid w:val="7E9B20C5"/>
    <w:rsid w:val="7EBB36A9"/>
    <w:rsid w:val="7EC6506D"/>
    <w:rsid w:val="7EC76E84"/>
    <w:rsid w:val="7EC81891"/>
    <w:rsid w:val="7ECA21BF"/>
    <w:rsid w:val="7ECD3CBC"/>
    <w:rsid w:val="7EDE3AB4"/>
    <w:rsid w:val="7EE06501"/>
    <w:rsid w:val="7EEE3E47"/>
    <w:rsid w:val="7EEE5109"/>
    <w:rsid w:val="7F02156D"/>
    <w:rsid w:val="7F2758A8"/>
    <w:rsid w:val="7F3B0333"/>
    <w:rsid w:val="7F4C5AB2"/>
    <w:rsid w:val="7F503B4F"/>
    <w:rsid w:val="7F5A0E06"/>
    <w:rsid w:val="7F6D0527"/>
    <w:rsid w:val="7F76466C"/>
    <w:rsid w:val="7F7F1414"/>
    <w:rsid w:val="7F824008"/>
    <w:rsid w:val="7F8430EB"/>
    <w:rsid w:val="7F8533B1"/>
    <w:rsid w:val="7F902630"/>
    <w:rsid w:val="7F9132F6"/>
    <w:rsid w:val="7FAC2203"/>
    <w:rsid w:val="7FAD078C"/>
    <w:rsid w:val="7FC30C60"/>
    <w:rsid w:val="7FFFE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link w:val="41"/>
    <w:qFormat/>
    <w:uiPriority w:val="0"/>
    <w:pPr>
      <w:keepNext/>
      <w:keepLines/>
      <w:spacing w:line="576" w:lineRule="auto"/>
      <w:outlineLvl w:val="0"/>
    </w:pPr>
    <w:rPr>
      <w:b/>
      <w:kern w:val="44"/>
      <w:sz w:val="44"/>
    </w:rPr>
  </w:style>
  <w:style w:type="paragraph" w:styleId="7">
    <w:name w:val="heading 2"/>
    <w:basedOn w:val="1"/>
    <w:next w:val="1"/>
    <w:link w:val="74"/>
    <w:unhideWhenUsed/>
    <w:qFormat/>
    <w:uiPriority w:val="0"/>
    <w:pPr>
      <w:keepNext/>
      <w:keepLines/>
      <w:spacing w:line="413" w:lineRule="auto"/>
      <w:outlineLvl w:val="1"/>
    </w:pPr>
    <w:rPr>
      <w:rFonts w:ascii="Arial" w:hAnsi="Arial" w:eastAsia="黑体"/>
      <w:b/>
      <w:sz w:val="32"/>
    </w:rPr>
  </w:style>
  <w:style w:type="paragraph" w:styleId="8">
    <w:name w:val="heading 3"/>
    <w:basedOn w:val="1"/>
    <w:next w:val="1"/>
    <w:unhideWhenUsed/>
    <w:qFormat/>
    <w:uiPriority w:val="0"/>
    <w:pPr>
      <w:keepNext/>
      <w:keepLines/>
      <w:spacing w:line="413" w:lineRule="auto"/>
      <w:outlineLvl w:val="2"/>
    </w:pPr>
    <w:rPr>
      <w:b/>
      <w:sz w:val="32"/>
    </w:rPr>
  </w:style>
  <w:style w:type="paragraph" w:styleId="9">
    <w:name w:val="heading 4"/>
    <w:basedOn w:val="1"/>
    <w:next w:val="1"/>
    <w:unhideWhenUsed/>
    <w:qFormat/>
    <w:uiPriority w:val="0"/>
    <w:pPr>
      <w:keepNext/>
      <w:keepLines/>
      <w:spacing w:line="372" w:lineRule="auto"/>
      <w:outlineLvl w:val="3"/>
    </w:pPr>
    <w:rPr>
      <w:rFonts w:ascii="Arial" w:hAnsi="Arial" w:eastAsia="黑体"/>
      <w:b/>
      <w:sz w:val="28"/>
    </w:rPr>
  </w:style>
  <w:style w:type="paragraph" w:styleId="10">
    <w:name w:val="heading 5"/>
    <w:basedOn w:val="1"/>
    <w:next w:val="1"/>
    <w:unhideWhenUsed/>
    <w:qFormat/>
    <w:uiPriority w:val="0"/>
    <w:pPr>
      <w:keepNext/>
      <w:keepLines/>
      <w:spacing w:line="372" w:lineRule="auto"/>
      <w:outlineLvl w:val="4"/>
    </w:pPr>
    <w:rPr>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snapToGrid w:val="0"/>
      <w:ind w:firstLine="420"/>
    </w:pPr>
    <w:rPr>
      <w:rFonts w:ascii="Times New Roman" w:hAnsi="Times New Roman"/>
      <w:color w:val="000000"/>
    </w:rPr>
  </w:style>
  <w:style w:type="paragraph" w:styleId="3">
    <w:name w:val="Body Text Indent"/>
    <w:basedOn w:val="1"/>
    <w:qFormat/>
    <w:uiPriority w:val="0"/>
    <w:pPr>
      <w:spacing w:line="360" w:lineRule="auto"/>
      <w:ind w:firstLine="480" w:firstLineChars="200"/>
    </w:pPr>
    <w:rPr>
      <w:color w:val="FF0000"/>
      <w:sz w:val="24"/>
    </w:rPr>
  </w:style>
  <w:style w:type="paragraph" w:styleId="4">
    <w:name w:val="Body Text First Indent"/>
    <w:basedOn w:val="5"/>
    <w:qFormat/>
    <w:uiPriority w:val="0"/>
    <w:pPr>
      <w:ind w:firstLine="640" w:firstLineChars="200"/>
    </w:pPr>
    <w:rPr>
      <w:rFonts w:ascii="Times New Roman" w:hAnsi="Times New Roman"/>
    </w:rPr>
  </w:style>
  <w:style w:type="paragraph" w:styleId="5">
    <w:name w:val="Body Text"/>
    <w:basedOn w:val="1"/>
    <w:qFormat/>
    <w:uiPriority w:val="1"/>
    <w:pPr>
      <w:ind w:left="211"/>
    </w:pPr>
    <w:rPr>
      <w:rFonts w:ascii="宋体" w:hAnsi="宋体" w:cs="宋体"/>
      <w:sz w:val="32"/>
      <w:szCs w:val="32"/>
      <w:lang w:val="zh-CN" w:bidi="zh-CN"/>
    </w:rPr>
  </w:style>
  <w:style w:type="paragraph" w:styleId="11">
    <w:name w:val="Normal Indent"/>
    <w:basedOn w:val="1"/>
    <w:unhideWhenUsed/>
    <w:qFormat/>
    <w:uiPriority w:val="99"/>
    <w:pPr>
      <w:ind w:firstLine="420" w:firstLineChars="200"/>
    </w:pPr>
  </w:style>
  <w:style w:type="paragraph" w:styleId="12">
    <w:name w:val="caption"/>
    <w:basedOn w:val="1"/>
    <w:next w:val="1"/>
    <w:qFormat/>
    <w:uiPriority w:val="0"/>
    <w:rPr>
      <w:rFonts w:eastAsia="新宋体" w:cs="Arial"/>
      <w:szCs w:val="21"/>
    </w:rPr>
  </w:style>
  <w:style w:type="paragraph" w:styleId="13">
    <w:name w:val="annotation text"/>
    <w:basedOn w:val="1"/>
    <w:qFormat/>
    <w:uiPriority w:val="0"/>
    <w:pPr>
      <w:jc w:val="left"/>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rPr>
  </w:style>
  <w:style w:type="paragraph" w:styleId="16">
    <w:name w:val="Balloon Text"/>
    <w:basedOn w:val="1"/>
    <w:link w:val="88"/>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Normal (Web)"/>
    <w:basedOn w:val="1"/>
    <w:qFormat/>
    <w:uiPriority w:val="0"/>
    <w:pPr>
      <w:spacing w:beforeAutospacing="1" w:afterAutospacing="1"/>
      <w:jc w:val="left"/>
    </w:pPr>
    <w:rPr>
      <w:kern w:val="0"/>
      <w:sz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style>
  <w:style w:type="character" w:styleId="26">
    <w:name w:val="FollowedHyperlink"/>
    <w:basedOn w:val="24"/>
    <w:qFormat/>
    <w:uiPriority w:val="0"/>
    <w:rPr>
      <w:color w:val="333333"/>
      <w:u w:val="none"/>
    </w:rPr>
  </w:style>
  <w:style w:type="character" w:styleId="27">
    <w:name w:val="Emphasis"/>
    <w:basedOn w:val="24"/>
    <w:qFormat/>
    <w:uiPriority w:val="0"/>
  </w:style>
  <w:style w:type="character" w:styleId="28">
    <w:name w:val="HTML Definition"/>
    <w:basedOn w:val="24"/>
    <w:qFormat/>
    <w:uiPriority w:val="0"/>
  </w:style>
  <w:style w:type="character" w:styleId="29">
    <w:name w:val="HTML Acronym"/>
    <w:basedOn w:val="24"/>
    <w:qFormat/>
    <w:uiPriority w:val="0"/>
  </w:style>
  <w:style w:type="character" w:styleId="30">
    <w:name w:val="HTML Variable"/>
    <w:basedOn w:val="24"/>
    <w:qFormat/>
    <w:uiPriority w:val="0"/>
  </w:style>
  <w:style w:type="character" w:styleId="31">
    <w:name w:val="Hyperlink"/>
    <w:basedOn w:val="24"/>
    <w:qFormat/>
    <w:uiPriority w:val="0"/>
    <w:rPr>
      <w:color w:val="333333"/>
      <w:u w:val="none"/>
    </w:rPr>
  </w:style>
  <w:style w:type="character" w:styleId="32">
    <w:name w:val="HTML Code"/>
    <w:basedOn w:val="24"/>
    <w:qFormat/>
    <w:uiPriority w:val="0"/>
    <w:rPr>
      <w:rFonts w:ascii="Courier New" w:hAnsi="Courier New"/>
      <w:sz w:val="20"/>
    </w:rPr>
  </w:style>
  <w:style w:type="character" w:styleId="33">
    <w:name w:val="HTML Cite"/>
    <w:basedOn w:val="24"/>
    <w:qFormat/>
    <w:uiPriority w:val="0"/>
  </w:style>
  <w:style w:type="paragraph" w:customStyle="1" w:styleId="34">
    <w:name w:val="Char Char Char"/>
    <w:basedOn w:val="1"/>
    <w:semiHidden/>
    <w:qFormat/>
    <w:uiPriority w:val="0"/>
    <w:pPr>
      <w:adjustRightInd w:val="0"/>
      <w:spacing w:line="360" w:lineRule="atLeast"/>
      <w:textAlignment w:val="baseline"/>
    </w:pPr>
    <w:rPr>
      <w:b/>
      <w:sz w:val="30"/>
      <w:szCs w:val="30"/>
    </w:rPr>
  </w:style>
  <w:style w:type="paragraph" w:customStyle="1" w:styleId="35">
    <w:name w:val="_Style 1"/>
    <w:qFormat/>
    <w:uiPriority w:val="1"/>
    <w:pPr>
      <w:widowControl w:val="0"/>
      <w:jc w:val="both"/>
    </w:pPr>
    <w:rPr>
      <w:rFonts w:ascii="仿宋" w:hAnsi="仿宋" w:eastAsia="仿宋" w:cs="Times New Roman"/>
      <w:kern w:val="2"/>
      <w:sz w:val="21"/>
      <w:szCs w:val="22"/>
      <w:lang w:val="en-US" w:eastAsia="zh-CN" w:bidi="ar-SA"/>
    </w:rPr>
  </w:style>
  <w:style w:type="paragraph" w:customStyle="1" w:styleId="36">
    <w:name w:val="正文123"/>
    <w:basedOn w:val="1"/>
    <w:qFormat/>
    <w:uiPriority w:val="0"/>
    <w:pPr>
      <w:spacing w:line="600" w:lineRule="exact"/>
      <w:ind w:firstLine="720" w:firstLineChars="200"/>
    </w:pPr>
    <w:rPr>
      <w:rFonts w:eastAsia="华文仿宋"/>
      <w:bCs/>
      <w:kern w:val="44"/>
      <w:sz w:val="30"/>
      <w:szCs w:val="36"/>
    </w:rPr>
  </w:style>
  <w:style w:type="paragraph" w:customStyle="1" w:styleId="37">
    <w:name w:val="z正文"/>
    <w:basedOn w:val="1"/>
    <w:qFormat/>
    <w:uiPriority w:val="0"/>
    <w:pPr>
      <w:snapToGrid w:val="0"/>
      <w:spacing w:line="360" w:lineRule="auto"/>
      <w:ind w:firstLine="560" w:firstLineChars="200"/>
    </w:pPr>
    <w:rPr>
      <w:rFonts w:eastAsia="仿宋_GB2312"/>
      <w:snapToGrid w:val="0"/>
      <w:kern w:val="0"/>
      <w:sz w:val="28"/>
      <w:szCs w:val="28"/>
    </w:rPr>
  </w:style>
  <w:style w:type="paragraph" w:customStyle="1" w:styleId="38">
    <w:name w:val="!表格小五"/>
    <w:basedOn w:val="1"/>
    <w:next w:val="1"/>
    <w:qFormat/>
    <w:uiPriority w:val="0"/>
    <w:pPr>
      <w:widowControl/>
      <w:jc w:val="center"/>
    </w:pPr>
    <w:rPr>
      <w:rFonts w:eastAsia="新宋体" w:cs="宋体"/>
      <w:kern w:val="0"/>
      <w:sz w:val="18"/>
      <w:szCs w:val="18"/>
    </w:rPr>
  </w:style>
  <w:style w:type="paragraph" w:customStyle="1" w:styleId="39">
    <w:name w:val="样式 题注 + 首行缩进:  2 字符 段前: 0.5 行 段后: 0.5 行"/>
    <w:basedOn w:val="12"/>
    <w:qFormat/>
    <w:uiPriority w:val="0"/>
    <w:rPr>
      <w:rFonts w:ascii="Times New Roman" w:hAnsi="Times New Roman" w:cs="宋体"/>
    </w:rPr>
  </w:style>
  <w:style w:type="paragraph" w:customStyle="1" w:styleId="40">
    <w:name w:val="p0"/>
    <w:basedOn w:val="1"/>
    <w:qFormat/>
    <w:uiPriority w:val="0"/>
    <w:pPr>
      <w:widowControl/>
    </w:pPr>
    <w:rPr>
      <w:rFonts w:cs="宋体"/>
      <w:kern w:val="0"/>
      <w:szCs w:val="21"/>
    </w:rPr>
  </w:style>
  <w:style w:type="character" w:customStyle="1" w:styleId="41">
    <w:name w:val="标题 1 Char"/>
    <w:link w:val="6"/>
    <w:qFormat/>
    <w:uiPriority w:val="0"/>
    <w:rPr>
      <w:b/>
      <w:kern w:val="44"/>
      <w:sz w:val="44"/>
    </w:rPr>
  </w:style>
  <w:style w:type="character" w:customStyle="1" w:styleId="42">
    <w:name w:val="font21"/>
    <w:basedOn w:val="24"/>
    <w:qFormat/>
    <w:uiPriority w:val="0"/>
    <w:rPr>
      <w:rFonts w:hint="eastAsia" w:ascii="宋体" w:hAnsi="宋体" w:eastAsia="宋体" w:cs="宋体"/>
      <w:color w:val="000000"/>
      <w:sz w:val="18"/>
      <w:szCs w:val="18"/>
      <w:u w:val="none"/>
    </w:rPr>
  </w:style>
  <w:style w:type="character" w:customStyle="1" w:styleId="43">
    <w:name w:val="font131"/>
    <w:basedOn w:val="24"/>
    <w:qFormat/>
    <w:uiPriority w:val="0"/>
    <w:rPr>
      <w:rFonts w:hint="default" w:ascii="Times New Roman" w:hAnsi="Times New Roman" w:cs="Times New Roman"/>
      <w:color w:val="000000"/>
      <w:sz w:val="18"/>
      <w:szCs w:val="18"/>
      <w:u w:val="none"/>
    </w:rPr>
  </w:style>
  <w:style w:type="character" w:customStyle="1" w:styleId="44">
    <w:name w:val="font41"/>
    <w:basedOn w:val="24"/>
    <w:qFormat/>
    <w:uiPriority w:val="0"/>
    <w:rPr>
      <w:rFonts w:hint="default" w:ascii="Times New Roman" w:hAnsi="Times New Roman" w:cs="Times New Roman"/>
      <w:color w:val="000000"/>
      <w:sz w:val="18"/>
      <w:szCs w:val="18"/>
      <w:u w:val="none"/>
    </w:rPr>
  </w:style>
  <w:style w:type="character" w:customStyle="1" w:styleId="45">
    <w:name w:val="font161"/>
    <w:basedOn w:val="24"/>
    <w:qFormat/>
    <w:uiPriority w:val="0"/>
    <w:rPr>
      <w:rFonts w:hint="eastAsia" w:ascii="宋体" w:hAnsi="宋体" w:eastAsia="宋体" w:cs="宋体"/>
      <w:color w:val="000000"/>
      <w:sz w:val="18"/>
      <w:szCs w:val="18"/>
      <w:u w:val="none"/>
      <w:vertAlign w:val="superscript"/>
    </w:rPr>
  </w:style>
  <w:style w:type="character" w:customStyle="1" w:styleId="46">
    <w:name w:val="font51"/>
    <w:basedOn w:val="24"/>
    <w:qFormat/>
    <w:uiPriority w:val="0"/>
    <w:rPr>
      <w:rFonts w:hint="default" w:ascii="仿宋_GB2312" w:eastAsia="仿宋_GB2312" w:cs="仿宋_GB2312"/>
      <w:color w:val="000000"/>
      <w:sz w:val="21"/>
      <w:szCs w:val="21"/>
      <w:u w:val="none"/>
    </w:rPr>
  </w:style>
  <w:style w:type="character" w:customStyle="1" w:styleId="47">
    <w:name w:val="font71"/>
    <w:basedOn w:val="24"/>
    <w:qFormat/>
    <w:uiPriority w:val="0"/>
    <w:rPr>
      <w:rFonts w:hint="eastAsia" w:ascii="宋体" w:hAnsi="宋体" w:eastAsia="宋体" w:cs="宋体"/>
      <w:color w:val="000000"/>
      <w:sz w:val="18"/>
      <w:szCs w:val="18"/>
      <w:u w:val="none"/>
    </w:rPr>
  </w:style>
  <w:style w:type="character" w:customStyle="1" w:styleId="48">
    <w:name w:val="font112"/>
    <w:basedOn w:val="24"/>
    <w:qFormat/>
    <w:uiPriority w:val="0"/>
    <w:rPr>
      <w:rFonts w:hint="eastAsia" w:ascii="宋体" w:hAnsi="宋体" w:eastAsia="宋体" w:cs="宋体"/>
      <w:color w:val="000000"/>
      <w:sz w:val="18"/>
      <w:szCs w:val="18"/>
      <w:u w:val="none"/>
    </w:rPr>
  </w:style>
  <w:style w:type="character" w:customStyle="1" w:styleId="49">
    <w:name w:val="font61"/>
    <w:basedOn w:val="24"/>
    <w:qFormat/>
    <w:uiPriority w:val="0"/>
    <w:rPr>
      <w:rFonts w:hint="default" w:ascii="Times New Roman" w:hAnsi="Times New Roman" w:cs="Times New Roman"/>
      <w:color w:val="000000"/>
      <w:sz w:val="21"/>
      <w:szCs w:val="21"/>
      <w:u w:val="none"/>
    </w:rPr>
  </w:style>
  <w:style w:type="character" w:customStyle="1" w:styleId="50">
    <w:name w:val="font141"/>
    <w:basedOn w:val="24"/>
    <w:qFormat/>
    <w:uiPriority w:val="0"/>
    <w:rPr>
      <w:rFonts w:hint="default" w:ascii="Times New Roman" w:hAnsi="Times New Roman" w:cs="Times New Roman"/>
      <w:color w:val="000000"/>
      <w:sz w:val="16"/>
      <w:szCs w:val="16"/>
      <w:u w:val="none"/>
    </w:rPr>
  </w:style>
  <w:style w:type="character" w:customStyle="1" w:styleId="51">
    <w:name w:val="font11"/>
    <w:basedOn w:val="24"/>
    <w:qFormat/>
    <w:uiPriority w:val="0"/>
    <w:rPr>
      <w:rFonts w:hint="default" w:ascii="Times New Roman" w:hAnsi="Times New Roman" w:cs="Times New Roman"/>
      <w:color w:val="000000"/>
      <w:sz w:val="18"/>
      <w:szCs w:val="18"/>
      <w:u w:val="none"/>
      <w:vertAlign w:val="superscript"/>
    </w:rPr>
  </w:style>
  <w:style w:type="character" w:customStyle="1" w:styleId="52">
    <w:name w:val="font31"/>
    <w:basedOn w:val="24"/>
    <w:qFormat/>
    <w:uiPriority w:val="0"/>
    <w:rPr>
      <w:rFonts w:ascii="仿宋_GB2312" w:eastAsia="仿宋_GB2312" w:cs="仿宋_GB2312"/>
      <w:color w:val="000000"/>
      <w:sz w:val="18"/>
      <w:szCs w:val="18"/>
      <w:u w:val="none"/>
    </w:rPr>
  </w:style>
  <w:style w:type="character" w:customStyle="1" w:styleId="53">
    <w:name w:val="font91"/>
    <w:basedOn w:val="24"/>
    <w:qFormat/>
    <w:uiPriority w:val="0"/>
    <w:rPr>
      <w:rFonts w:hint="eastAsia" w:ascii="宋体" w:hAnsi="宋体" w:eastAsia="宋体" w:cs="宋体"/>
      <w:color w:val="000000"/>
      <w:sz w:val="16"/>
      <w:szCs w:val="16"/>
      <w:u w:val="none"/>
    </w:rPr>
  </w:style>
  <w:style w:type="character" w:customStyle="1" w:styleId="54">
    <w:name w:val="font81"/>
    <w:basedOn w:val="24"/>
    <w:qFormat/>
    <w:uiPriority w:val="0"/>
    <w:rPr>
      <w:rFonts w:hint="default" w:ascii="Times New Roman" w:hAnsi="Times New Roman" w:cs="Times New Roman"/>
      <w:color w:val="000000"/>
      <w:sz w:val="18"/>
      <w:szCs w:val="18"/>
      <w:u w:val="none"/>
    </w:rPr>
  </w:style>
  <w:style w:type="character" w:customStyle="1" w:styleId="55">
    <w:name w:val="font01"/>
    <w:basedOn w:val="24"/>
    <w:qFormat/>
    <w:uiPriority w:val="0"/>
    <w:rPr>
      <w:rFonts w:hint="default" w:ascii="仿宋_GB2312" w:eastAsia="仿宋_GB2312" w:cs="仿宋_GB2312"/>
      <w:color w:val="000000"/>
      <w:sz w:val="18"/>
      <w:szCs w:val="18"/>
      <w:u w:val="none"/>
    </w:rPr>
  </w:style>
  <w:style w:type="character" w:customStyle="1" w:styleId="56">
    <w:name w:val="font122"/>
    <w:basedOn w:val="24"/>
    <w:qFormat/>
    <w:uiPriority w:val="0"/>
    <w:rPr>
      <w:rFonts w:hint="eastAsia" w:ascii="宋体" w:hAnsi="宋体" w:eastAsia="宋体" w:cs="宋体"/>
      <w:color w:val="000000"/>
      <w:sz w:val="16"/>
      <w:szCs w:val="16"/>
      <w:u w:val="none"/>
    </w:rPr>
  </w:style>
  <w:style w:type="character" w:customStyle="1" w:styleId="57">
    <w:name w:val="font111"/>
    <w:basedOn w:val="24"/>
    <w:qFormat/>
    <w:uiPriority w:val="0"/>
    <w:rPr>
      <w:rFonts w:hint="eastAsia" w:ascii="宋体" w:hAnsi="宋体" w:eastAsia="宋体" w:cs="宋体"/>
      <w:color w:val="000000"/>
      <w:sz w:val="18"/>
      <w:szCs w:val="18"/>
      <w:u w:val="none"/>
      <w:vertAlign w:val="superscript"/>
    </w:rPr>
  </w:style>
  <w:style w:type="character" w:customStyle="1" w:styleId="58">
    <w:name w:val="font101"/>
    <w:basedOn w:val="24"/>
    <w:qFormat/>
    <w:uiPriority w:val="0"/>
    <w:rPr>
      <w:rFonts w:hint="eastAsia" w:ascii="宋体" w:hAnsi="宋体" w:eastAsia="宋体" w:cs="宋体"/>
      <w:color w:val="000000"/>
      <w:sz w:val="18"/>
      <w:szCs w:val="18"/>
      <w:u w:val="none"/>
    </w:rPr>
  </w:style>
  <w:style w:type="character" w:customStyle="1" w:styleId="59">
    <w:name w:val="font151"/>
    <w:basedOn w:val="24"/>
    <w:qFormat/>
    <w:uiPriority w:val="0"/>
    <w:rPr>
      <w:rFonts w:hint="default" w:ascii="Times New Roman" w:hAnsi="Times New Roman" w:cs="Times New Roman"/>
      <w:color w:val="000000"/>
      <w:sz w:val="18"/>
      <w:szCs w:val="18"/>
      <w:u w:val="none"/>
    </w:rPr>
  </w:style>
  <w:style w:type="character" w:customStyle="1" w:styleId="60">
    <w:name w:val="font12"/>
    <w:basedOn w:val="24"/>
    <w:qFormat/>
    <w:uiPriority w:val="0"/>
    <w:rPr>
      <w:rFonts w:hint="default" w:ascii="Times New Roman" w:hAnsi="Times New Roman" w:cs="Times New Roman"/>
      <w:color w:val="000000"/>
      <w:sz w:val="18"/>
      <w:szCs w:val="18"/>
      <w:u w:val="none"/>
      <w:vertAlign w:val="superscript"/>
    </w:rPr>
  </w:style>
  <w:style w:type="character" w:customStyle="1" w:styleId="61">
    <w:name w:val="font191"/>
    <w:basedOn w:val="24"/>
    <w:qFormat/>
    <w:uiPriority w:val="0"/>
    <w:rPr>
      <w:rFonts w:ascii="仿宋" w:hAnsi="仿宋" w:eastAsia="仿宋" w:cs="仿宋"/>
      <w:color w:val="000000"/>
      <w:sz w:val="18"/>
      <w:szCs w:val="18"/>
      <w:u w:val="none"/>
      <w:vertAlign w:val="superscript"/>
    </w:rPr>
  </w:style>
  <w:style w:type="character" w:customStyle="1" w:styleId="62">
    <w:name w:val="font181"/>
    <w:basedOn w:val="24"/>
    <w:qFormat/>
    <w:uiPriority w:val="0"/>
    <w:rPr>
      <w:rFonts w:hint="eastAsia" w:ascii="仿宋" w:hAnsi="仿宋" w:eastAsia="仿宋" w:cs="仿宋"/>
      <w:color w:val="000000"/>
      <w:sz w:val="18"/>
      <w:szCs w:val="18"/>
      <w:u w:val="none"/>
    </w:rPr>
  </w:style>
  <w:style w:type="character" w:customStyle="1" w:styleId="63">
    <w:name w:val="font201"/>
    <w:basedOn w:val="24"/>
    <w:qFormat/>
    <w:uiPriority w:val="0"/>
    <w:rPr>
      <w:rFonts w:hint="default" w:ascii="仿宋_GB2312" w:eastAsia="仿宋_GB2312" w:cs="仿宋_GB2312"/>
      <w:color w:val="000000"/>
      <w:sz w:val="24"/>
      <w:szCs w:val="24"/>
      <w:u w:val="none"/>
    </w:rPr>
  </w:style>
  <w:style w:type="character" w:customStyle="1" w:styleId="64">
    <w:name w:val="font121"/>
    <w:basedOn w:val="24"/>
    <w:qFormat/>
    <w:uiPriority w:val="0"/>
    <w:rPr>
      <w:rFonts w:hint="eastAsia" w:ascii="宋体" w:hAnsi="宋体" w:eastAsia="宋体" w:cs="宋体"/>
      <w:color w:val="000000"/>
      <w:sz w:val="16"/>
      <w:szCs w:val="16"/>
      <w:u w:val="none"/>
    </w:rPr>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68">
    <w:name w:val="font221"/>
    <w:basedOn w:val="24"/>
    <w:qFormat/>
    <w:uiPriority w:val="0"/>
    <w:rPr>
      <w:rFonts w:hint="eastAsia" w:ascii="宋体" w:hAnsi="宋体" w:eastAsia="宋体" w:cs="宋体"/>
      <w:color w:val="7030A0"/>
      <w:sz w:val="18"/>
      <w:szCs w:val="18"/>
      <w:u w:val="none"/>
    </w:rPr>
  </w:style>
  <w:style w:type="character" w:customStyle="1" w:styleId="69">
    <w:name w:val="font212"/>
    <w:basedOn w:val="24"/>
    <w:qFormat/>
    <w:uiPriority w:val="0"/>
    <w:rPr>
      <w:rFonts w:hint="default" w:ascii="Times New Roman" w:hAnsi="Times New Roman" w:cs="Times New Roman"/>
      <w:color w:val="7030A0"/>
      <w:sz w:val="18"/>
      <w:szCs w:val="18"/>
      <w:u w:val="none"/>
      <w:vertAlign w:val="superscript"/>
    </w:rPr>
  </w:style>
  <w:style w:type="character" w:customStyle="1" w:styleId="70">
    <w:name w:val="font171"/>
    <w:basedOn w:val="24"/>
    <w:qFormat/>
    <w:uiPriority w:val="0"/>
    <w:rPr>
      <w:rFonts w:hint="eastAsia" w:ascii="宋体" w:hAnsi="宋体" w:eastAsia="宋体" w:cs="宋体"/>
      <w:color w:val="000000"/>
      <w:sz w:val="18"/>
      <w:szCs w:val="18"/>
      <w:u w:val="none"/>
    </w:rPr>
  </w:style>
  <w:style w:type="character" w:customStyle="1" w:styleId="71">
    <w:name w:val="font211"/>
    <w:basedOn w:val="24"/>
    <w:qFormat/>
    <w:uiPriority w:val="0"/>
    <w:rPr>
      <w:rFonts w:hint="default" w:ascii="Times New Roman" w:hAnsi="Times New Roman" w:cs="Times New Roman"/>
      <w:color w:val="000000"/>
      <w:sz w:val="18"/>
      <w:szCs w:val="18"/>
      <w:u w:val="none"/>
    </w:rPr>
  </w:style>
  <w:style w:type="character" w:customStyle="1" w:styleId="72">
    <w:name w:val="font22"/>
    <w:basedOn w:val="24"/>
    <w:qFormat/>
    <w:uiPriority w:val="0"/>
    <w:rPr>
      <w:rFonts w:hint="eastAsia" w:ascii="宋体" w:hAnsi="宋体" w:eastAsia="宋体" w:cs="宋体"/>
      <w:color w:val="7030A0"/>
      <w:sz w:val="18"/>
      <w:szCs w:val="18"/>
      <w:u w:val="none"/>
    </w:rPr>
  </w:style>
  <w:style w:type="character" w:customStyle="1" w:styleId="73">
    <w:name w:val="标题 2 Char"/>
    <w:link w:val="7"/>
    <w:qFormat/>
    <w:uiPriority w:val="0"/>
    <w:rPr>
      <w:rFonts w:ascii="Arial" w:hAnsi="Arial" w:eastAsia="黑体"/>
      <w:b/>
      <w:sz w:val="32"/>
    </w:rPr>
  </w:style>
  <w:style w:type="character" w:customStyle="1" w:styleId="74">
    <w:name w:val="标题 2 Char1"/>
    <w:basedOn w:val="24"/>
    <w:link w:val="7"/>
    <w:qFormat/>
    <w:uiPriority w:val="0"/>
    <w:rPr>
      <w:rFonts w:ascii="Arial" w:hAnsi="Arial" w:eastAsia="黑体"/>
      <w:bCs/>
      <w:sz w:val="32"/>
      <w:szCs w:val="32"/>
    </w:rPr>
  </w:style>
  <w:style w:type="paragraph" w:customStyle="1" w:styleId="75">
    <w:name w:val="样式 首行缩进:  0 字符"/>
    <w:basedOn w:val="1"/>
    <w:qFormat/>
    <w:uiPriority w:val="0"/>
    <w:pPr>
      <w:widowControl/>
      <w:jc w:val="left"/>
    </w:pPr>
    <w:rPr>
      <w:rFonts w:ascii="黑体" w:eastAsia="黑体" w:cs="宋体"/>
      <w:sz w:val="30"/>
      <w:szCs w:val="30"/>
    </w:rPr>
  </w:style>
  <w:style w:type="character" w:customStyle="1" w:styleId="76">
    <w:name w:val="font15"/>
    <w:basedOn w:val="24"/>
    <w:qFormat/>
    <w:uiPriority w:val="0"/>
    <w:rPr>
      <w:rFonts w:hint="eastAsia" w:ascii="宋体" w:hAnsi="宋体" w:eastAsia="宋体" w:cs="宋体"/>
      <w:color w:val="000000"/>
      <w:sz w:val="18"/>
      <w:szCs w:val="18"/>
      <w:u w:val="none"/>
    </w:rPr>
  </w:style>
  <w:style w:type="character" w:customStyle="1" w:styleId="77">
    <w:name w:val="NormalCharacter"/>
    <w:semiHidden/>
    <w:qFormat/>
    <w:uiPriority w:val="0"/>
    <w:rPr>
      <w:rFonts w:ascii="Calibri" w:hAnsi="Calibri" w:eastAsia="宋体" w:cs="Times New Roman"/>
      <w:kern w:val="2"/>
      <w:sz w:val="21"/>
      <w:szCs w:val="24"/>
      <w:lang w:val="en-US" w:eastAsia="zh-CN" w:bidi="ar-SA"/>
    </w:rPr>
  </w:style>
  <w:style w:type="character" w:customStyle="1" w:styleId="78">
    <w:name w:val="font231"/>
    <w:basedOn w:val="24"/>
    <w:qFormat/>
    <w:uiPriority w:val="0"/>
    <w:rPr>
      <w:rFonts w:hint="default" w:ascii="Times New Roman" w:hAnsi="Times New Roman" w:cs="Times New Roman"/>
      <w:color w:val="7030A0"/>
      <w:sz w:val="18"/>
      <w:szCs w:val="18"/>
      <w:u w:val="none"/>
      <w:vertAlign w:val="superscript"/>
    </w:rPr>
  </w:style>
  <w:style w:type="character" w:customStyle="1" w:styleId="79">
    <w:name w:val="font241"/>
    <w:basedOn w:val="24"/>
    <w:qFormat/>
    <w:uiPriority w:val="0"/>
    <w:rPr>
      <w:rFonts w:hint="eastAsia" w:ascii="宋体" w:hAnsi="宋体" w:eastAsia="宋体" w:cs="宋体"/>
      <w:bCs/>
      <w:color w:val="FF0000"/>
      <w:sz w:val="18"/>
      <w:szCs w:val="18"/>
      <w:u w:val="none"/>
    </w:rPr>
  </w:style>
  <w:style w:type="paragraph" w:customStyle="1" w:styleId="80">
    <w:name w:val="报告正文"/>
    <w:basedOn w:val="1"/>
    <w:qFormat/>
    <w:uiPriority w:val="0"/>
    <w:pPr>
      <w:spacing w:line="360" w:lineRule="auto"/>
    </w:pPr>
    <w:rPr>
      <w:sz w:val="24"/>
    </w:rPr>
  </w:style>
  <w:style w:type="paragraph" w:customStyle="1" w:styleId="81">
    <w:name w:val="样式1"/>
    <w:basedOn w:val="1"/>
    <w:qFormat/>
    <w:uiPriority w:val="0"/>
    <w:pPr>
      <w:ind w:firstLine="420" w:firstLineChars="200"/>
    </w:pPr>
    <w:rPr>
      <w:rFonts w:eastAsia="仿宋_GB2312"/>
      <w:sz w:val="30"/>
    </w:rPr>
  </w:style>
  <w:style w:type="character" w:customStyle="1" w:styleId="82">
    <w:name w:val="font232"/>
    <w:basedOn w:val="24"/>
    <w:qFormat/>
    <w:uiPriority w:val="0"/>
    <w:rPr>
      <w:rFonts w:hint="eastAsia" w:ascii="宋体" w:hAnsi="宋体" w:eastAsia="宋体" w:cs="宋体"/>
      <w:b/>
      <w:bCs/>
      <w:color w:val="000000"/>
      <w:sz w:val="16"/>
      <w:szCs w:val="16"/>
      <w:u w:val="none"/>
    </w:rPr>
  </w:style>
  <w:style w:type="character" w:customStyle="1" w:styleId="83">
    <w:name w:val="font23"/>
    <w:basedOn w:val="24"/>
    <w:qFormat/>
    <w:uiPriority w:val="0"/>
    <w:rPr>
      <w:rFonts w:hint="default" w:ascii="Times New Roman" w:hAnsi="Times New Roman" w:cs="Times New Roman"/>
      <w:color w:val="000000"/>
      <w:sz w:val="18"/>
      <w:szCs w:val="18"/>
      <w:u w:val="none"/>
    </w:rPr>
  </w:style>
  <w:style w:type="character" w:customStyle="1" w:styleId="84">
    <w:name w:val="font251"/>
    <w:basedOn w:val="24"/>
    <w:qFormat/>
    <w:uiPriority w:val="0"/>
    <w:rPr>
      <w:rFonts w:hint="default" w:ascii="Times New Roman" w:hAnsi="Times New Roman" w:cs="Times New Roman"/>
      <w:color w:val="00B0F0"/>
      <w:sz w:val="18"/>
      <w:szCs w:val="18"/>
      <w:u w:val="none"/>
      <w:vertAlign w:val="superscript"/>
    </w:rPr>
  </w:style>
  <w:style w:type="character" w:customStyle="1" w:styleId="85">
    <w:name w:val="font261"/>
    <w:basedOn w:val="24"/>
    <w:qFormat/>
    <w:uiPriority w:val="0"/>
    <w:rPr>
      <w:rFonts w:hint="default" w:ascii="Times New Roman" w:hAnsi="Times New Roman" w:cs="Times New Roman"/>
      <w:color w:val="0070C0"/>
      <w:sz w:val="18"/>
      <w:szCs w:val="18"/>
      <w:u w:val="none"/>
      <w:vertAlign w:val="superscript"/>
    </w:rPr>
  </w:style>
  <w:style w:type="character" w:customStyle="1" w:styleId="86">
    <w:name w:val="font271"/>
    <w:basedOn w:val="24"/>
    <w:qFormat/>
    <w:uiPriority w:val="0"/>
    <w:rPr>
      <w:rFonts w:hint="eastAsia" w:ascii="宋体" w:hAnsi="宋体" w:eastAsia="宋体" w:cs="宋体"/>
      <w:b/>
      <w:bCs/>
      <w:color w:val="0070C0"/>
      <w:sz w:val="18"/>
      <w:szCs w:val="18"/>
      <w:u w:val="none"/>
    </w:rPr>
  </w:style>
  <w:style w:type="character" w:customStyle="1" w:styleId="87">
    <w:name w:val="font281"/>
    <w:basedOn w:val="24"/>
    <w:qFormat/>
    <w:uiPriority w:val="0"/>
    <w:rPr>
      <w:rFonts w:hint="eastAsia" w:ascii="宋体" w:hAnsi="宋体" w:eastAsia="宋体" w:cs="宋体"/>
      <w:b/>
      <w:bCs/>
      <w:color w:val="FF0000"/>
      <w:sz w:val="18"/>
      <w:szCs w:val="18"/>
      <w:u w:val="none"/>
    </w:rPr>
  </w:style>
  <w:style w:type="character" w:customStyle="1" w:styleId="88">
    <w:name w:val="批注框文本 Char"/>
    <w:basedOn w:val="24"/>
    <w:link w:val="16"/>
    <w:qFormat/>
    <w:uiPriority w:val="0"/>
    <w:rPr>
      <w:rFonts w:ascii="Calibri" w:hAnsi="Calibri"/>
      <w:kern w:val="2"/>
      <w:sz w:val="18"/>
      <w:szCs w:val="18"/>
    </w:rPr>
  </w:style>
  <w:style w:type="character" w:customStyle="1" w:styleId="89">
    <w:name w:val="font13"/>
    <w:basedOn w:val="24"/>
    <w:qFormat/>
    <w:uiPriority w:val="0"/>
    <w:rPr>
      <w:rFonts w:hint="default" w:ascii="Times New Roman" w:hAnsi="Times New Roman" w:cs="Times New Roman"/>
      <w:b/>
      <w:bCs/>
      <w:color w:val="000000"/>
      <w:sz w:val="18"/>
      <w:szCs w:val="18"/>
      <w:u w:val="none"/>
    </w:rPr>
  </w:style>
  <w:style w:type="character" w:customStyle="1" w:styleId="90">
    <w:name w:val="font222"/>
    <w:basedOn w:val="24"/>
    <w:qFormat/>
    <w:uiPriority w:val="0"/>
    <w:rPr>
      <w:rFonts w:hint="eastAsia" w:ascii="宋体" w:hAnsi="宋体" w:eastAsia="宋体" w:cs="宋体"/>
      <w:b/>
      <w:bCs/>
      <w:color w:val="000000"/>
      <w:sz w:val="16"/>
      <w:szCs w:val="16"/>
      <w:u w:val="none"/>
    </w:rPr>
  </w:style>
  <w:style w:type="character" w:customStyle="1" w:styleId="91">
    <w:name w:val="font132"/>
    <w:basedOn w:val="24"/>
    <w:qFormat/>
    <w:uiPriority w:val="0"/>
    <w:rPr>
      <w:rFonts w:hint="default" w:ascii="Times New Roman" w:hAnsi="Times New Roman" w:cs="Times New Roman"/>
      <w:color w:val="0070C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114</Pages>
  <Words>9872</Words>
  <Characters>11601</Characters>
  <Lines>124</Lines>
  <Paragraphs>134</Paragraphs>
  <TotalTime>5</TotalTime>
  <ScaleCrop>false</ScaleCrop>
  <LinksUpToDate>false</LinksUpToDate>
  <CharactersWithSpaces>12170</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2020-06-03T09:40:00Z</dcterms:created>
  <dc:creator>Administrator</dc:creator>
  <cp:lastModifiedBy>fgj002</cp:lastModifiedBy>
  <cp:lastPrinted>2021-08-11T18:26:00Z</cp:lastPrinted>
  <dcterms:modified xsi:type="dcterms:W3CDTF">2025-12-16T15:44:10Z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3569FF63B402916DCA0D4169D7E294D1_43</vt:lpwstr>
  </property>
  <property fmtid="{D5CDD505-2E9C-101B-9397-08002B2CF9AE}" pid="4" name="KSOTemplateDocerSaveRecord">
    <vt:lpwstr>eyJoZGlkIjoiMDdhMmU3OGFjZTAyOTEzOWY1YjIxYTk5YWQzMDY0YmYiLCJ1c2VySWQiOiIxMjIzNjE4NzI0In0=</vt:lpwstr>
  </property>
</Properties>
</file>