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heme="minorBidi"/>
          <w:kern w:val="2"/>
          <w:sz w:val="21"/>
          <w:szCs w:val="24"/>
          <w:lang w:val="en-US" w:eastAsia="zh-CN" w:bidi="ar-SA"/>
        </w:rPr>
        <w:id w:val="147451425"/>
        <w15:color w:val="DBDBDB"/>
        <w:docPartObj>
          <w:docPartGallery w:val="Table of Contents"/>
          <w:docPartUnique/>
        </w:docPartObj>
      </w:sdtPr>
      <w:sdtEndPr>
        <w:rPr>
          <w:rFonts w:hint="eastAsia" w:ascii="黑体" w:hAnsi="黑体" w:eastAsia="黑体" w:cs="黑体"/>
          <w:kern w:val="2"/>
          <w:sz w:val="32"/>
          <w:szCs w:val="44"/>
          <w:lang w:val="en-US" w:eastAsia="zh-CN" w:bidi="ar-SA"/>
        </w:rPr>
      </w:sdtEndPr>
      <w:sdtContent>
        <w:p w14:paraId="22922FC4">
          <w:pPr>
            <w:spacing w:line="586" w:lineRule="exact"/>
            <w:jc w:val="center"/>
            <w:outlineLvl w:val="0"/>
            <w:rPr>
              <w:rFonts w:ascii="宋体" w:hAnsi="宋体" w:eastAsia="宋体" w:cstheme="minorBidi"/>
              <w:kern w:val="2"/>
              <w:sz w:val="21"/>
              <w:szCs w:val="24"/>
              <w:lang w:val="en-US" w:eastAsia="zh-CN" w:bidi="ar-SA"/>
            </w:rPr>
          </w:pPr>
        </w:p>
        <w:p w14:paraId="3B5A860F">
          <w:pPr>
            <w:pStyle w:val="3"/>
            <w:bidi w:val="0"/>
            <w:rPr>
              <w:rFonts w:hint="eastAsia"/>
              <w:sz w:val="52"/>
              <w:szCs w:val="52"/>
            </w:rPr>
          </w:pPr>
        </w:p>
        <w:p w14:paraId="2AC1A910">
          <w:pPr>
            <w:pStyle w:val="3"/>
            <w:bidi w:val="0"/>
            <w:rPr>
              <w:rFonts w:hint="eastAsia"/>
              <w:sz w:val="52"/>
              <w:szCs w:val="52"/>
            </w:rPr>
          </w:pPr>
          <w:r>
            <w:rPr>
              <w:rFonts w:hint="eastAsia"/>
              <w:sz w:val="52"/>
              <w:szCs w:val="52"/>
            </w:rPr>
            <w:t>沁水县国民经济和社会</w:t>
          </w:r>
        </w:p>
        <w:p w14:paraId="21BA3EA8">
          <w:pPr>
            <w:pStyle w:val="3"/>
            <w:bidi w:val="0"/>
            <w:rPr>
              <w:rFonts w:hint="eastAsia"/>
              <w:sz w:val="52"/>
              <w:szCs w:val="52"/>
            </w:rPr>
          </w:pPr>
        </w:p>
        <w:p w14:paraId="35C9753F">
          <w:pPr>
            <w:pStyle w:val="3"/>
            <w:bidi w:val="0"/>
            <w:rPr>
              <w:rFonts w:hint="eastAsia"/>
              <w:sz w:val="84"/>
              <w:szCs w:val="84"/>
            </w:rPr>
          </w:pPr>
          <w:r>
            <w:rPr>
              <w:rFonts w:hint="eastAsia"/>
              <w:sz w:val="52"/>
              <w:szCs w:val="52"/>
            </w:rPr>
            <w:t>发展第十五个五年规划纲要</w:t>
          </w:r>
        </w:p>
        <w:p w14:paraId="2C33B3B0">
          <w:pPr>
            <w:ind w:firstLine="3520" w:firstLineChars="800"/>
            <w:rPr>
              <w:rFonts w:hint="eastAsia" w:ascii="方正小标宋简体" w:hAnsi="方正小标宋简体" w:eastAsia="方正小标宋简体" w:cs="方正小标宋简体"/>
              <w:sz w:val="44"/>
              <w:szCs w:val="44"/>
            </w:rPr>
          </w:pPr>
        </w:p>
        <w:p w14:paraId="24516E0F">
          <w:pPr>
            <w:ind w:firstLine="3520" w:firstLineChars="80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（草案）</w:t>
          </w:r>
        </w:p>
        <w:p w14:paraId="540CD274">
          <w:pPr>
            <w:ind w:firstLine="3520" w:firstLineChars="800"/>
            <w:rPr>
              <w:rFonts w:hint="eastAsia" w:ascii="方正小标宋简体" w:hAnsi="方正小标宋简体" w:eastAsia="方正小标宋简体" w:cs="方正小标宋简体"/>
              <w:sz w:val="44"/>
              <w:szCs w:val="44"/>
            </w:rPr>
          </w:pPr>
        </w:p>
        <w:p w14:paraId="37E03A84">
          <w:pPr>
            <w:ind w:firstLine="3520" w:firstLineChars="800"/>
            <w:rPr>
              <w:rFonts w:hint="eastAsia" w:ascii="方正小标宋简体" w:hAnsi="方正小标宋简体" w:eastAsia="方正小标宋简体" w:cs="方正小标宋简体"/>
              <w:sz w:val="44"/>
              <w:szCs w:val="44"/>
            </w:rPr>
          </w:pPr>
        </w:p>
        <w:p w14:paraId="05522634">
          <w:pPr>
            <w:ind w:firstLine="3520" w:firstLineChars="800"/>
            <w:rPr>
              <w:rFonts w:hint="eastAsia" w:ascii="方正小标宋简体" w:hAnsi="方正小标宋简体" w:eastAsia="方正小标宋简体" w:cs="方正小标宋简体"/>
              <w:sz w:val="44"/>
              <w:szCs w:val="44"/>
            </w:rPr>
          </w:pPr>
        </w:p>
        <w:p w14:paraId="18514BDA">
          <w:pPr>
            <w:ind w:firstLine="3520" w:firstLineChars="800"/>
            <w:rPr>
              <w:rFonts w:hint="eastAsia" w:ascii="方正小标宋简体" w:hAnsi="方正小标宋简体" w:eastAsia="方正小标宋简体" w:cs="方正小标宋简体"/>
              <w:sz w:val="44"/>
              <w:szCs w:val="44"/>
            </w:rPr>
          </w:pPr>
        </w:p>
        <w:p w14:paraId="3F1A9D76">
          <w:pPr>
            <w:ind w:firstLine="3520" w:firstLineChars="800"/>
            <w:rPr>
              <w:rFonts w:hint="eastAsia" w:ascii="方正小标宋简体" w:hAnsi="方正小标宋简体" w:eastAsia="方正小标宋简体" w:cs="方正小标宋简体"/>
              <w:sz w:val="44"/>
              <w:szCs w:val="44"/>
            </w:rPr>
          </w:pPr>
        </w:p>
        <w:p w14:paraId="2C56BC0E">
          <w:pPr>
            <w:pStyle w:val="2"/>
            <w:rPr>
              <w:rFonts w:hint="eastAsia" w:ascii="方正小标宋简体" w:hAnsi="方正小标宋简体" w:eastAsia="方正小标宋简体" w:cs="方正小标宋简体"/>
              <w:sz w:val="44"/>
              <w:szCs w:val="44"/>
            </w:rPr>
          </w:pPr>
        </w:p>
        <w:p w14:paraId="55B50707">
          <w:pPr>
            <w:rPr>
              <w:rFonts w:hint="eastAsia" w:ascii="方正小标宋简体" w:hAnsi="方正小标宋简体" w:eastAsia="方正小标宋简体" w:cs="方正小标宋简体"/>
              <w:sz w:val="44"/>
              <w:szCs w:val="44"/>
            </w:rPr>
          </w:pPr>
        </w:p>
        <w:p w14:paraId="2B3A1C43">
          <w:pPr>
            <w:pStyle w:val="2"/>
            <w:rPr>
              <w:rFonts w:hint="eastAsia" w:ascii="方正小标宋简体" w:hAnsi="方正小标宋简体" w:eastAsia="方正小标宋简体" w:cs="方正小标宋简体"/>
              <w:sz w:val="44"/>
              <w:szCs w:val="44"/>
            </w:rPr>
          </w:pPr>
        </w:p>
        <w:p w14:paraId="511B5971">
          <w:pPr>
            <w:rPr>
              <w:rFonts w:hint="eastAsia"/>
            </w:rPr>
          </w:pPr>
        </w:p>
        <w:p w14:paraId="3CB48A31">
          <w:pPr>
            <w:ind w:firstLine="3520" w:firstLineChars="800"/>
            <w:rPr>
              <w:rFonts w:hint="eastAsia" w:ascii="方正小标宋简体" w:hAnsi="方正小标宋简体" w:eastAsia="方正小标宋简体" w:cs="方正小标宋简体"/>
              <w:sz w:val="44"/>
              <w:szCs w:val="44"/>
            </w:rPr>
          </w:pPr>
        </w:p>
        <w:p w14:paraId="122119C9">
          <w:pPr>
            <w:ind w:firstLine="3520" w:firstLineChars="800"/>
            <w:rPr>
              <w:rFonts w:hint="eastAsia" w:ascii="方正小标宋简体" w:hAnsi="方正小标宋简体" w:eastAsia="方正小标宋简体" w:cs="方正小标宋简体"/>
              <w:sz w:val="44"/>
              <w:szCs w:val="44"/>
            </w:rPr>
          </w:pPr>
        </w:p>
        <w:p w14:paraId="62A2E1DA">
          <w:pPr>
            <w:ind w:firstLine="3520" w:firstLineChars="800"/>
            <w:rPr>
              <w:rFonts w:ascii="宋体" w:hAnsi="宋体" w:eastAsia="宋体" w:cstheme="minorBidi"/>
              <w:kern w:val="2"/>
              <w:sz w:val="21"/>
              <w:szCs w:val="24"/>
              <w:lang w:val="en-US" w:eastAsia="zh-CN" w:bidi="ar-SA"/>
            </w:rPr>
          </w:pPr>
          <w:r>
            <w:rPr>
              <w:rFonts w:hint="eastAsia" w:ascii="方正小标宋简体" w:hAnsi="方正小标宋简体" w:eastAsia="方正小标宋简体" w:cs="方正小标宋简体"/>
              <w:sz w:val="44"/>
              <w:szCs w:val="44"/>
              <w:lang w:val="en-US" w:eastAsia="zh-CN"/>
            </w:rPr>
            <w:t>2026年7月</w:t>
          </w:r>
          <w:r>
            <w:rPr>
              <w:rFonts w:ascii="宋体" w:hAnsi="宋体" w:eastAsia="宋体" w:cstheme="minorBidi"/>
              <w:kern w:val="2"/>
              <w:sz w:val="21"/>
              <w:szCs w:val="24"/>
              <w:lang w:val="en-US" w:eastAsia="zh-CN" w:bidi="ar-SA"/>
            </w:rPr>
            <w:br w:type="page"/>
          </w:r>
        </w:p>
        <w:p w14:paraId="522E05A9">
          <w:pPr>
            <w:spacing w:line="586" w:lineRule="exact"/>
            <w:jc w:val="center"/>
            <w:outlineLvl w:val="0"/>
            <w:rPr>
              <w:rFonts w:hint="eastAsia" w:ascii="黑体" w:hAnsi="黑体" w:eastAsia="黑体"/>
              <w:sz w:val="36"/>
              <w:szCs w:val="36"/>
            </w:rPr>
          </w:pPr>
          <w:r>
            <w:rPr>
              <w:rFonts w:hint="eastAsia" w:ascii="黑体" w:hAnsi="黑体" w:eastAsia="黑体"/>
              <w:sz w:val="36"/>
              <w:szCs w:val="36"/>
            </w:rPr>
            <w:t>目    录</w:t>
          </w:r>
        </w:p>
        <w:p w14:paraId="5281AC63">
          <w:pPr>
            <w:pStyle w:val="2"/>
            <w:rPr>
              <w:rFonts w:hint="eastAsia"/>
            </w:rPr>
          </w:pPr>
        </w:p>
        <w:p w14:paraId="24AC50E6">
          <w:pPr>
            <w:pStyle w:val="14"/>
            <w:tabs>
              <w:tab w:val="right" w:leader="dot" w:pos="8844"/>
            </w:tabs>
            <w:ind w:left="0" w:leftChars="0" w:firstLine="0" w:firstLineChars="0"/>
          </w:pPr>
          <w:r>
            <w:rPr>
              <w:rFonts w:hint="eastAsia" w:ascii="黑体" w:hAnsi="黑体" w:eastAsia="黑体" w:cs="黑体"/>
              <w:sz w:val="44"/>
              <w:szCs w:val="44"/>
            </w:rPr>
            <w:fldChar w:fldCharType="begin"/>
          </w:r>
          <w:r>
            <w:rPr>
              <w:rFonts w:hint="eastAsia" w:ascii="黑体" w:hAnsi="黑体" w:eastAsia="黑体" w:cs="黑体"/>
              <w:sz w:val="44"/>
              <w:szCs w:val="44"/>
            </w:rPr>
            <w:instrText xml:space="preserve">TOC \o "1-2" \h \u </w:instrText>
          </w:r>
          <w:r>
            <w:rPr>
              <w:rFonts w:hint="eastAsia" w:ascii="黑体" w:hAnsi="黑体" w:eastAsia="黑体" w:cs="黑体"/>
              <w:sz w:val="44"/>
              <w:szCs w:val="44"/>
            </w:rPr>
            <w:fldChar w:fldCharType="separate"/>
          </w:r>
          <w:r>
            <w:rPr>
              <w:rFonts w:hint="eastAsia" w:ascii="黑体" w:hAnsi="黑体" w:eastAsia="黑体" w:cs="黑体"/>
              <w:szCs w:val="44"/>
            </w:rPr>
            <w:fldChar w:fldCharType="begin"/>
          </w:r>
          <w:r>
            <w:rPr>
              <w:rFonts w:hint="eastAsia" w:ascii="黑体" w:hAnsi="黑体" w:eastAsia="黑体" w:cs="黑体"/>
              <w:szCs w:val="44"/>
            </w:rPr>
            <w:instrText xml:space="preserve"> HYPERLINK \l _Toc27013 </w:instrText>
          </w:r>
          <w:r>
            <w:rPr>
              <w:rFonts w:hint="eastAsia" w:ascii="黑体" w:hAnsi="黑体" w:eastAsia="黑体" w:cs="黑体"/>
              <w:szCs w:val="44"/>
            </w:rPr>
            <w:fldChar w:fldCharType="separate"/>
          </w:r>
          <w:r>
            <w:rPr>
              <w:rFonts w:hint="eastAsia" w:ascii="黑体" w:hAnsi="黑体" w:eastAsia="黑体" w:cs="黑体"/>
              <w:szCs w:val="32"/>
            </w:rPr>
            <w:t>第一章  发展基础和面临的形势</w:t>
          </w:r>
          <w:r>
            <w:tab/>
          </w:r>
          <w:r>
            <w:fldChar w:fldCharType="begin"/>
          </w:r>
          <w:r>
            <w:instrText xml:space="preserve"> PAGEREF _Toc27013 \h </w:instrText>
          </w:r>
          <w:r>
            <w:fldChar w:fldCharType="separate"/>
          </w:r>
          <w:r>
            <w:t>1</w:t>
          </w:r>
          <w:r>
            <w:fldChar w:fldCharType="end"/>
          </w:r>
          <w:r>
            <w:rPr>
              <w:rFonts w:hint="eastAsia" w:ascii="黑体" w:hAnsi="黑体" w:eastAsia="黑体" w:cs="黑体"/>
              <w:szCs w:val="44"/>
            </w:rPr>
            <w:fldChar w:fldCharType="end"/>
          </w:r>
        </w:p>
        <w:p w14:paraId="572F00C9">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_Toc31910 </w:instrText>
          </w:r>
          <w:r>
            <w:rPr>
              <w:rFonts w:hint="eastAsia" w:ascii="黑体" w:hAnsi="黑体" w:eastAsia="黑体" w:cs="黑体"/>
              <w:szCs w:val="44"/>
            </w:rPr>
            <w:fldChar w:fldCharType="separate"/>
          </w:r>
          <w:r>
            <w:rPr>
              <w:rFonts w:hint="eastAsia" w:ascii="楷体_GB2312" w:hAnsi="楷体_GB2312" w:eastAsia="楷体_GB2312" w:cs="楷体_GB2312"/>
            </w:rPr>
            <w:t>第一节  “十四五”发展成就</w:t>
          </w:r>
          <w:r>
            <w:tab/>
          </w:r>
          <w:r>
            <w:fldChar w:fldCharType="begin"/>
          </w:r>
          <w:r>
            <w:instrText xml:space="preserve"> PAGEREF _Toc31910 \h </w:instrText>
          </w:r>
          <w:r>
            <w:fldChar w:fldCharType="separate"/>
          </w:r>
          <w:r>
            <w:t>1</w:t>
          </w:r>
          <w:r>
            <w:fldChar w:fldCharType="end"/>
          </w:r>
          <w:r>
            <w:rPr>
              <w:rFonts w:hint="eastAsia" w:ascii="黑体" w:hAnsi="黑体" w:eastAsia="黑体" w:cs="黑体"/>
              <w:szCs w:val="44"/>
            </w:rPr>
            <w:fldChar w:fldCharType="end"/>
          </w:r>
        </w:p>
        <w:p w14:paraId="7D5A4E37">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_Toc14421 </w:instrText>
          </w:r>
          <w:r>
            <w:rPr>
              <w:rFonts w:hint="eastAsia" w:ascii="黑体" w:hAnsi="黑体" w:eastAsia="黑体" w:cs="黑体"/>
              <w:szCs w:val="44"/>
            </w:rPr>
            <w:fldChar w:fldCharType="separate"/>
          </w:r>
          <w:r>
            <w:rPr>
              <w:rFonts w:hint="eastAsia" w:ascii="楷体_GB2312" w:hAnsi="楷体_GB2312" w:eastAsia="楷体_GB2312" w:cs="楷体_GB2312"/>
            </w:rPr>
            <w:t>第二节  “十五五”发展面临的形势</w:t>
          </w:r>
          <w:r>
            <w:tab/>
          </w:r>
          <w:r>
            <w:fldChar w:fldCharType="begin"/>
          </w:r>
          <w:r>
            <w:instrText xml:space="preserve"> PAGEREF _Toc14421 \h </w:instrText>
          </w:r>
          <w:r>
            <w:fldChar w:fldCharType="separate"/>
          </w:r>
          <w:r>
            <w:t>11</w:t>
          </w:r>
          <w:r>
            <w:fldChar w:fldCharType="end"/>
          </w:r>
          <w:r>
            <w:rPr>
              <w:rFonts w:hint="eastAsia" w:ascii="黑体" w:hAnsi="黑体" w:eastAsia="黑体" w:cs="黑体"/>
              <w:szCs w:val="44"/>
            </w:rPr>
            <w:fldChar w:fldCharType="end"/>
          </w:r>
        </w:p>
        <w:p w14:paraId="0730F15B">
          <w:pPr>
            <w:pStyle w:val="14"/>
            <w:tabs>
              <w:tab w:val="right" w:leader="dot" w:pos="8844"/>
            </w:tabs>
            <w:ind w:left="0" w:leftChars="0" w:firstLine="0" w:firstLineChars="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_Toc9416 </w:instrText>
          </w:r>
          <w:r>
            <w:rPr>
              <w:rFonts w:hint="eastAsia" w:ascii="黑体" w:hAnsi="黑体" w:eastAsia="黑体" w:cs="黑体"/>
              <w:szCs w:val="44"/>
            </w:rPr>
            <w:fldChar w:fldCharType="separate"/>
          </w:r>
          <w:r>
            <w:rPr>
              <w:rFonts w:hint="eastAsia" w:ascii="黑体" w:hAnsi="黑体" w:eastAsia="黑体" w:cs="黑体"/>
              <w:szCs w:val="32"/>
            </w:rPr>
            <w:t>第二章  “十五五”时期经济社会发展的总体部署</w:t>
          </w:r>
          <w:r>
            <w:tab/>
          </w:r>
          <w:r>
            <w:fldChar w:fldCharType="begin"/>
          </w:r>
          <w:r>
            <w:instrText xml:space="preserve"> PAGEREF _Toc9416 \h </w:instrText>
          </w:r>
          <w:r>
            <w:fldChar w:fldCharType="separate"/>
          </w:r>
          <w:r>
            <w:t>14</w:t>
          </w:r>
          <w:r>
            <w:fldChar w:fldCharType="end"/>
          </w:r>
          <w:r>
            <w:rPr>
              <w:rFonts w:hint="eastAsia" w:ascii="黑体" w:hAnsi="黑体" w:eastAsia="黑体" w:cs="黑体"/>
              <w:szCs w:val="44"/>
            </w:rPr>
            <w:fldChar w:fldCharType="end"/>
          </w:r>
        </w:p>
        <w:p w14:paraId="2EDEFE38">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_Toc17630 </w:instrText>
          </w:r>
          <w:r>
            <w:rPr>
              <w:rFonts w:hint="eastAsia" w:ascii="黑体" w:hAnsi="黑体" w:eastAsia="黑体" w:cs="黑体"/>
              <w:szCs w:val="44"/>
            </w:rPr>
            <w:fldChar w:fldCharType="separate"/>
          </w:r>
          <w:r>
            <w:rPr>
              <w:rFonts w:hint="eastAsia" w:ascii="楷体_GB2312" w:hAnsi="楷体_GB2312" w:eastAsia="楷体_GB2312" w:cs="楷体_GB2312"/>
            </w:rPr>
            <w:t>第一节  指导思想</w:t>
          </w:r>
          <w:r>
            <w:tab/>
          </w:r>
          <w:r>
            <w:fldChar w:fldCharType="begin"/>
          </w:r>
          <w:r>
            <w:instrText xml:space="preserve"> PAGEREF _Toc17630 \h </w:instrText>
          </w:r>
          <w:r>
            <w:fldChar w:fldCharType="separate"/>
          </w:r>
          <w:r>
            <w:t>14</w:t>
          </w:r>
          <w:r>
            <w:fldChar w:fldCharType="end"/>
          </w:r>
          <w:r>
            <w:rPr>
              <w:rFonts w:hint="eastAsia" w:ascii="黑体" w:hAnsi="黑体" w:eastAsia="黑体" w:cs="黑体"/>
              <w:szCs w:val="44"/>
            </w:rPr>
            <w:fldChar w:fldCharType="end"/>
          </w:r>
        </w:p>
        <w:p w14:paraId="089650B3">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_Toc10366 </w:instrText>
          </w:r>
          <w:r>
            <w:rPr>
              <w:rFonts w:hint="eastAsia" w:ascii="黑体" w:hAnsi="黑体" w:eastAsia="黑体" w:cs="黑体"/>
              <w:szCs w:val="44"/>
            </w:rPr>
            <w:fldChar w:fldCharType="separate"/>
          </w:r>
          <w:r>
            <w:rPr>
              <w:rFonts w:ascii="楷体_GB2312" w:hAnsi="楷体_GB2312" w:eastAsia="楷体_GB2312" w:cs="楷体_GB2312"/>
            </w:rPr>
            <w:t>第二节</w:t>
          </w:r>
          <w:r>
            <w:rPr>
              <w:rFonts w:hint="eastAsia" w:ascii="楷体_GB2312" w:hAnsi="楷体_GB2312" w:eastAsia="楷体_GB2312" w:cs="楷体_GB2312"/>
            </w:rPr>
            <w:t xml:space="preserve"> </w:t>
          </w:r>
          <w:r>
            <w:rPr>
              <w:rFonts w:ascii="楷体_GB2312" w:hAnsi="楷体_GB2312" w:eastAsia="楷体_GB2312" w:cs="楷体_GB2312"/>
            </w:rPr>
            <w:t xml:space="preserve"> 基本原则</w:t>
          </w:r>
          <w:r>
            <w:tab/>
          </w:r>
          <w:r>
            <w:fldChar w:fldCharType="begin"/>
          </w:r>
          <w:r>
            <w:instrText xml:space="preserve"> PAGEREF _Toc10366 \h </w:instrText>
          </w:r>
          <w:r>
            <w:fldChar w:fldCharType="separate"/>
          </w:r>
          <w:r>
            <w:t>15</w:t>
          </w:r>
          <w:r>
            <w:fldChar w:fldCharType="end"/>
          </w:r>
          <w:r>
            <w:rPr>
              <w:rFonts w:hint="eastAsia" w:ascii="黑体" w:hAnsi="黑体" w:eastAsia="黑体" w:cs="黑体"/>
              <w:szCs w:val="44"/>
            </w:rPr>
            <w:fldChar w:fldCharType="end"/>
          </w:r>
        </w:p>
        <w:p w14:paraId="3424B45F">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_Toc5479 </w:instrText>
          </w:r>
          <w:r>
            <w:rPr>
              <w:rFonts w:hint="eastAsia" w:ascii="黑体" w:hAnsi="黑体" w:eastAsia="黑体" w:cs="黑体"/>
              <w:szCs w:val="44"/>
            </w:rPr>
            <w:fldChar w:fldCharType="separate"/>
          </w:r>
          <w:r>
            <w:rPr>
              <w:rFonts w:ascii="楷体_GB2312" w:hAnsi="楷体_GB2312" w:eastAsia="楷体_GB2312" w:cs="楷体_GB2312"/>
            </w:rPr>
            <w:t xml:space="preserve">第三节 </w:t>
          </w:r>
          <w:r>
            <w:rPr>
              <w:rFonts w:hint="eastAsia" w:ascii="楷体_GB2312" w:hAnsi="楷体_GB2312" w:eastAsia="楷体_GB2312" w:cs="楷体_GB2312"/>
            </w:rPr>
            <w:t xml:space="preserve"> 发展战略</w:t>
          </w:r>
          <w:r>
            <w:tab/>
          </w:r>
          <w:r>
            <w:fldChar w:fldCharType="begin"/>
          </w:r>
          <w:r>
            <w:instrText xml:space="preserve"> PAGEREF _Toc5479 \h </w:instrText>
          </w:r>
          <w:r>
            <w:fldChar w:fldCharType="separate"/>
          </w:r>
          <w:r>
            <w:t>16</w:t>
          </w:r>
          <w:r>
            <w:fldChar w:fldCharType="end"/>
          </w:r>
          <w:r>
            <w:rPr>
              <w:rFonts w:hint="eastAsia" w:ascii="黑体" w:hAnsi="黑体" w:eastAsia="黑体" w:cs="黑体"/>
              <w:szCs w:val="44"/>
            </w:rPr>
            <w:fldChar w:fldCharType="end"/>
          </w:r>
        </w:p>
        <w:p w14:paraId="6AA9FAF0">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_Toc7423 </w:instrText>
          </w:r>
          <w:r>
            <w:rPr>
              <w:rFonts w:hint="eastAsia" w:ascii="黑体" w:hAnsi="黑体" w:eastAsia="黑体" w:cs="黑体"/>
              <w:szCs w:val="44"/>
            </w:rPr>
            <w:fldChar w:fldCharType="separate"/>
          </w:r>
          <w:r>
            <w:rPr>
              <w:rFonts w:hint="eastAsia" w:ascii="楷体_GB2312" w:hAnsi="楷体_GB2312" w:eastAsia="楷体_GB2312" w:cs="楷体_GB2312"/>
            </w:rPr>
            <w:t>第四节  主要目标</w:t>
          </w:r>
          <w:r>
            <w:tab/>
          </w:r>
          <w:r>
            <w:fldChar w:fldCharType="begin"/>
          </w:r>
          <w:r>
            <w:instrText xml:space="preserve"> PAGEREF _Toc7423 \h </w:instrText>
          </w:r>
          <w:r>
            <w:fldChar w:fldCharType="separate"/>
          </w:r>
          <w:r>
            <w:t>19</w:t>
          </w:r>
          <w:r>
            <w:fldChar w:fldCharType="end"/>
          </w:r>
          <w:r>
            <w:rPr>
              <w:rFonts w:hint="eastAsia" w:ascii="黑体" w:hAnsi="黑体" w:eastAsia="黑体" w:cs="黑体"/>
              <w:szCs w:val="44"/>
            </w:rPr>
            <w:fldChar w:fldCharType="end"/>
          </w:r>
        </w:p>
        <w:p w14:paraId="2CF5A3B5">
          <w:pPr>
            <w:pStyle w:val="14"/>
            <w:tabs>
              <w:tab w:val="right" w:leader="dot" w:pos="8844"/>
            </w:tabs>
            <w:ind w:left="0" w:leftChars="0" w:firstLine="0" w:firstLineChars="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_Toc6703 </w:instrText>
          </w:r>
          <w:r>
            <w:rPr>
              <w:rFonts w:hint="eastAsia" w:ascii="黑体" w:hAnsi="黑体" w:eastAsia="黑体" w:cs="黑体"/>
              <w:szCs w:val="44"/>
            </w:rPr>
            <w:fldChar w:fldCharType="separate"/>
          </w:r>
          <w:r>
            <w:rPr>
              <w:rFonts w:hint="eastAsia" w:ascii="黑体" w:hAnsi="黑体" w:eastAsia="黑体" w:cs="黑体"/>
              <w:szCs w:val="32"/>
            </w:rPr>
            <w:t>第三章  依托丰富能源资源</w:t>
          </w:r>
          <w:r>
            <w:rPr>
              <w:rFonts w:hint="eastAsia" w:ascii="黑体" w:hAnsi="黑体" w:eastAsia="黑体" w:cs="黑体"/>
              <w:szCs w:val="32"/>
              <w:lang w:val="en-US" w:eastAsia="zh-CN"/>
            </w:rPr>
            <w:t xml:space="preserve"> </w:t>
          </w:r>
          <w:r>
            <w:rPr>
              <w:rFonts w:hint="eastAsia" w:ascii="黑体" w:hAnsi="黑体" w:eastAsia="黑体" w:cs="黑体"/>
              <w:szCs w:val="32"/>
            </w:rPr>
            <w:t>加快打造“沁水能源”新名片</w:t>
          </w:r>
          <w:r>
            <w:tab/>
          </w:r>
          <w:r>
            <w:fldChar w:fldCharType="begin"/>
          </w:r>
          <w:r>
            <w:instrText xml:space="preserve"> PAGEREF _Toc6703 \h </w:instrText>
          </w:r>
          <w:r>
            <w:fldChar w:fldCharType="separate"/>
          </w:r>
          <w:r>
            <w:t>24</w:t>
          </w:r>
          <w:r>
            <w:fldChar w:fldCharType="end"/>
          </w:r>
          <w:r>
            <w:rPr>
              <w:rFonts w:hint="eastAsia" w:ascii="黑体" w:hAnsi="黑体" w:eastAsia="黑体" w:cs="黑体"/>
              <w:szCs w:val="44"/>
            </w:rPr>
            <w:fldChar w:fldCharType="end"/>
          </w:r>
        </w:p>
        <w:p w14:paraId="5C140886">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_Toc10729 </w:instrText>
          </w:r>
          <w:r>
            <w:rPr>
              <w:rFonts w:hint="eastAsia" w:ascii="黑体" w:hAnsi="黑体" w:eastAsia="黑体" w:cs="黑体"/>
              <w:szCs w:val="44"/>
            </w:rPr>
            <w:fldChar w:fldCharType="separate"/>
          </w:r>
          <w:r>
            <w:rPr>
              <w:rFonts w:ascii="Times New Roman" w:hAnsi="Times New Roman" w:eastAsia="楷体_GB2312" w:cs="Times New Roman"/>
            </w:rPr>
            <w:t>第一节</w:t>
          </w:r>
          <w:r>
            <w:rPr>
              <w:rFonts w:hint="eastAsia" w:ascii="Times New Roman" w:hAnsi="Times New Roman" w:cs="Times New Roman"/>
            </w:rPr>
            <w:t xml:space="preserve"> </w:t>
          </w:r>
          <w:r>
            <w:rPr>
              <w:rFonts w:ascii="Times New Roman" w:hAnsi="Times New Roman" w:eastAsia="楷体_GB2312" w:cs="Times New Roman"/>
            </w:rPr>
            <w:t xml:space="preserve"> 推动煤炭产业优化升级和转型发展</w:t>
          </w:r>
          <w:r>
            <w:tab/>
          </w:r>
          <w:r>
            <w:fldChar w:fldCharType="begin"/>
          </w:r>
          <w:r>
            <w:instrText xml:space="preserve"> PAGEREF _Toc10729 \h </w:instrText>
          </w:r>
          <w:r>
            <w:fldChar w:fldCharType="separate"/>
          </w:r>
          <w:r>
            <w:t>24</w:t>
          </w:r>
          <w:r>
            <w:fldChar w:fldCharType="end"/>
          </w:r>
          <w:r>
            <w:rPr>
              <w:rFonts w:hint="eastAsia" w:ascii="黑体" w:hAnsi="黑体" w:eastAsia="黑体" w:cs="黑体"/>
              <w:szCs w:val="44"/>
            </w:rPr>
            <w:fldChar w:fldCharType="end"/>
          </w:r>
        </w:p>
        <w:p w14:paraId="4F952472">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_Toc23370 </w:instrText>
          </w:r>
          <w:r>
            <w:rPr>
              <w:rFonts w:hint="eastAsia" w:ascii="黑体" w:hAnsi="黑体" w:eastAsia="黑体" w:cs="黑体"/>
              <w:szCs w:val="44"/>
            </w:rPr>
            <w:fldChar w:fldCharType="separate"/>
          </w:r>
          <w:r>
            <w:rPr>
              <w:rFonts w:ascii="Times New Roman" w:hAnsi="Times New Roman" w:eastAsia="楷体_GB2312" w:cs="Times New Roman"/>
            </w:rPr>
            <w:t xml:space="preserve">第二节 </w:t>
          </w:r>
          <w:r>
            <w:rPr>
              <w:rFonts w:hint="eastAsia" w:ascii="Times New Roman" w:hAnsi="Times New Roman" w:eastAsia="楷体_GB2312" w:cs="Times New Roman"/>
            </w:rPr>
            <w:t xml:space="preserve"> </w:t>
          </w:r>
          <w:r>
            <w:rPr>
              <w:rFonts w:ascii="Times New Roman" w:hAnsi="Times New Roman" w:eastAsia="楷体_GB2312" w:cs="Times New Roman"/>
            </w:rPr>
            <w:t>加快煤层气规模化开发和多元化利用</w:t>
          </w:r>
          <w:r>
            <w:tab/>
          </w:r>
          <w:r>
            <w:fldChar w:fldCharType="begin"/>
          </w:r>
          <w:r>
            <w:instrText xml:space="preserve"> PAGEREF _Toc23370 \h </w:instrText>
          </w:r>
          <w:r>
            <w:fldChar w:fldCharType="separate"/>
          </w:r>
          <w:r>
            <w:t>27</w:t>
          </w:r>
          <w:r>
            <w:fldChar w:fldCharType="end"/>
          </w:r>
          <w:r>
            <w:rPr>
              <w:rFonts w:hint="eastAsia" w:ascii="黑体" w:hAnsi="黑体" w:eastAsia="黑体" w:cs="黑体"/>
              <w:szCs w:val="44"/>
            </w:rPr>
            <w:fldChar w:fldCharType="end"/>
          </w:r>
        </w:p>
        <w:p w14:paraId="0821C7A3">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_Toc553 </w:instrText>
          </w:r>
          <w:r>
            <w:rPr>
              <w:rFonts w:hint="eastAsia" w:ascii="黑体" w:hAnsi="黑体" w:eastAsia="黑体" w:cs="黑体"/>
              <w:szCs w:val="44"/>
            </w:rPr>
            <w:fldChar w:fldCharType="separate"/>
          </w:r>
          <w:r>
            <w:rPr>
              <w:rFonts w:ascii="Times New Roman" w:hAnsi="Times New Roman" w:eastAsia="楷体_GB2312" w:cs="Times New Roman"/>
            </w:rPr>
            <w:t>第三节</w:t>
          </w:r>
          <w:r>
            <w:rPr>
              <w:rFonts w:hint="eastAsia" w:ascii="Times New Roman" w:hAnsi="Times New Roman" w:cs="Times New Roman"/>
            </w:rPr>
            <w:t xml:space="preserve"> </w:t>
          </w:r>
          <w:r>
            <w:rPr>
              <w:rFonts w:ascii="Times New Roman" w:hAnsi="Times New Roman" w:eastAsia="楷体_GB2312" w:cs="Times New Roman"/>
            </w:rPr>
            <w:t xml:space="preserve"> 促进新能源开发利用和消纳转化</w:t>
          </w:r>
          <w:r>
            <w:tab/>
          </w:r>
          <w:r>
            <w:fldChar w:fldCharType="begin"/>
          </w:r>
          <w:r>
            <w:instrText xml:space="preserve"> PAGEREF _Toc553 \h </w:instrText>
          </w:r>
          <w:r>
            <w:fldChar w:fldCharType="separate"/>
          </w:r>
          <w:r>
            <w:t>30</w:t>
          </w:r>
          <w:r>
            <w:fldChar w:fldCharType="end"/>
          </w:r>
          <w:r>
            <w:rPr>
              <w:rFonts w:hint="eastAsia" w:ascii="黑体" w:hAnsi="黑体" w:eastAsia="黑体" w:cs="黑体"/>
              <w:szCs w:val="44"/>
            </w:rPr>
            <w:fldChar w:fldCharType="end"/>
          </w:r>
        </w:p>
        <w:p w14:paraId="59DF1687">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_Toc1655 </w:instrText>
          </w:r>
          <w:r>
            <w:rPr>
              <w:rFonts w:hint="eastAsia" w:ascii="黑体" w:hAnsi="黑体" w:eastAsia="黑体" w:cs="黑体"/>
              <w:szCs w:val="44"/>
            </w:rPr>
            <w:fldChar w:fldCharType="separate"/>
          </w:r>
          <w:r>
            <w:rPr>
              <w:rFonts w:ascii="Times New Roman" w:hAnsi="Times New Roman" w:eastAsia="楷体_GB2312" w:cs="Times New Roman"/>
            </w:rPr>
            <w:t xml:space="preserve">第四节 </w:t>
          </w:r>
          <w:r>
            <w:rPr>
              <w:rFonts w:hint="eastAsia" w:ascii="Times New Roman" w:hAnsi="Times New Roman" w:eastAsia="楷体_GB2312" w:cs="Times New Roman"/>
            </w:rPr>
            <w:t xml:space="preserve"> </w:t>
          </w:r>
          <w:r>
            <w:rPr>
              <w:rFonts w:ascii="Times New Roman" w:hAnsi="Times New Roman" w:eastAsia="楷体_GB2312" w:cs="Times New Roman"/>
            </w:rPr>
            <w:t>打造绿电与产业协同发展新模式</w:t>
          </w:r>
          <w:r>
            <w:tab/>
          </w:r>
          <w:r>
            <w:fldChar w:fldCharType="begin"/>
          </w:r>
          <w:r>
            <w:instrText xml:space="preserve"> PAGEREF _Toc1655 \h </w:instrText>
          </w:r>
          <w:r>
            <w:fldChar w:fldCharType="separate"/>
          </w:r>
          <w:r>
            <w:t>32</w:t>
          </w:r>
          <w:r>
            <w:fldChar w:fldCharType="end"/>
          </w:r>
          <w:r>
            <w:rPr>
              <w:rFonts w:hint="eastAsia" w:ascii="黑体" w:hAnsi="黑体" w:eastAsia="黑体" w:cs="黑体"/>
              <w:szCs w:val="44"/>
            </w:rPr>
            <w:fldChar w:fldCharType="end"/>
          </w:r>
        </w:p>
        <w:p w14:paraId="7DFFEF39">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_Toc20731 </w:instrText>
          </w:r>
          <w:r>
            <w:rPr>
              <w:rFonts w:hint="eastAsia" w:ascii="黑体" w:hAnsi="黑体" w:eastAsia="黑体" w:cs="黑体"/>
              <w:szCs w:val="44"/>
            </w:rPr>
            <w:fldChar w:fldCharType="separate"/>
          </w:r>
          <w:r>
            <w:rPr>
              <w:rFonts w:ascii="Times New Roman" w:hAnsi="Times New Roman" w:eastAsia="楷体_GB2312" w:cs="Times New Roman"/>
            </w:rPr>
            <w:t>第五节</w:t>
          </w:r>
          <w:r>
            <w:rPr>
              <w:rFonts w:hint="eastAsia" w:ascii="Times New Roman" w:hAnsi="Times New Roman" w:eastAsia="楷体_GB2312" w:cs="Times New Roman"/>
            </w:rPr>
            <w:t xml:space="preserve"> </w:t>
          </w:r>
          <w:r>
            <w:rPr>
              <w:rFonts w:ascii="Times New Roman" w:hAnsi="Times New Roman" w:eastAsia="楷体_GB2312" w:cs="Times New Roman"/>
            </w:rPr>
            <w:t xml:space="preserve"> 强化能源领域重大风险管控</w:t>
          </w:r>
          <w:r>
            <w:tab/>
          </w:r>
          <w:r>
            <w:fldChar w:fldCharType="begin"/>
          </w:r>
          <w:r>
            <w:instrText xml:space="preserve"> PAGEREF _Toc20731 \h </w:instrText>
          </w:r>
          <w:r>
            <w:fldChar w:fldCharType="separate"/>
          </w:r>
          <w:r>
            <w:t>33</w:t>
          </w:r>
          <w:r>
            <w:fldChar w:fldCharType="end"/>
          </w:r>
          <w:r>
            <w:rPr>
              <w:rFonts w:hint="eastAsia" w:ascii="黑体" w:hAnsi="黑体" w:eastAsia="黑体" w:cs="黑体"/>
              <w:szCs w:val="44"/>
            </w:rPr>
            <w:fldChar w:fldCharType="end"/>
          </w:r>
        </w:p>
        <w:p w14:paraId="65D53077">
          <w:pPr>
            <w:pStyle w:val="14"/>
            <w:tabs>
              <w:tab w:val="right" w:leader="dot" w:pos="8844"/>
            </w:tabs>
            <w:ind w:left="0" w:leftChars="0" w:firstLine="0" w:firstLineChars="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_Toc25744 </w:instrText>
          </w:r>
          <w:r>
            <w:rPr>
              <w:rFonts w:hint="eastAsia" w:ascii="黑体" w:hAnsi="黑体" w:eastAsia="黑体" w:cs="黑体"/>
              <w:szCs w:val="44"/>
            </w:rPr>
            <w:fldChar w:fldCharType="separate"/>
          </w:r>
          <w:r>
            <w:rPr>
              <w:rFonts w:hint="eastAsia" w:eastAsia="黑体" w:cs="Times New Roman"/>
              <w:kern w:val="44"/>
              <w:szCs w:val="32"/>
            </w:rPr>
            <w:t xml:space="preserve">第四章 </w:t>
          </w:r>
          <w:r>
            <w:rPr>
              <w:rFonts w:eastAsia="黑体" w:cs="Times New Roman"/>
              <w:kern w:val="44"/>
              <w:szCs w:val="32"/>
            </w:rPr>
            <w:t>立足沁水特色优势</w:t>
          </w:r>
          <w:r>
            <w:rPr>
              <w:rFonts w:hint="eastAsia" w:eastAsia="黑体" w:cs="Times New Roman"/>
              <w:kern w:val="44"/>
              <w:szCs w:val="32"/>
              <w:lang w:val="en-US" w:eastAsia="zh-CN"/>
            </w:rPr>
            <w:t xml:space="preserve"> </w:t>
          </w:r>
          <w:r>
            <w:rPr>
              <w:rFonts w:eastAsia="黑体" w:cs="Times New Roman"/>
              <w:kern w:val="44"/>
              <w:szCs w:val="32"/>
            </w:rPr>
            <w:t>加快构建多元支撑现代化产业体系</w:t>
          </w:r>
          <w:r>
            <w:tab/>
          </w:r>
          <w:r>
            <w:fldChar w:fldCharType="begin"/>
          </w:r>
          <w:r>
            <w:instrText xml:space="preserve"> PAGEREF _Toc25744 \h </w:instrText>
          </w:r>
          <w:r>
            <w:fldChar w:fldCharType="separate"/>
          </w:r>
          <w:r>
            <w:t>35</w:t>
          </w:r>
          <w:r>
            <w:fldChar w:fldCharType="end"/>
          </w:r>
          <w:r>
            <w:rPr>
              <w:rFonts w:hint="eastAsia" w:ascii="黑体" w:hAnsi="黑体" w:eastAsia="黑体" w:cs="黑体"/>
              <w:szCs w:val="44"/>
            </w:rPr>
            <w:fldChar w:fldCharType="end"/>
          </w:r>
        </w:p>
        <w:p w14:paraId="29E96C29">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_Toc9246 </w:instrText>
          </w:r>
          <w:r>
            <w:rPr>
              <w:rFonts w:hint="eastAsia" w:ascii="黑体" w:hAnsi="黑体" w:eastAsia="黑体" w:cs="黑体"/>
              <w:szCs w:val="44"/>
            </w:rPr>
            <w:fldChar w:fldCharType="separate"/>
          </w:r>
          <w:r>
            <w:rPr>
              <w:rFonts w:eastAsia="楷体_GB2312" w:cs="Times New Roman"/>
              <w:bCs/>
            </w:rPr>
            <w:t>第一节</w:t>
          </w:r>
          <w:r>
            <w:rPr>
              <w:rFonts w:hint="eastAsia" w:eastAsia="楷体_GB2312" w:cs="Times New Roman"/>
              <w:bCs/>
            </w:rPr>
            <w:t xml:space="preserve"> </w:t>
          </w:r>
          <w:r>
            <w:rPr>
              <w:rFonts w:eastAsia="楷体_GB2312" w:cs="Times New Roman"/>
              <w:bCs/>
            </w:rPr>
            <w:t xml:space="preserve"> 打造碳基新材料产业集聚区</w:t>
          </w:r>
          <w:r>
            <w:tab/>
          </w:r>
          <w:r>
            <w:fldChar w:fldCharType="begin"/>
          </w:r>
          <w:r>
            <w:instrText xml:space="preserve"> PAGEREF _Toc9246 \h </w:instrText>
          </w:r>
          <w:r>
            <w:fldChar w:fldCharType="separate"/>
          </w:r>
          <w:r>
            <w:t>35</w:t>
          </w:r>
          <w:r>
            <w:fldChar w:fldCharType="end"/>
          </w:r>
          <w:r>
            <w:rPr>
              <w:rFonts w:hint="eastAsia" w:ascii="黑体" w:hAnsi="黑体" w:eastAsia="黑体" w:cs="黑体"/>
              <w:szCs w:val="44"/>
            </w:rPr>
            <w:fldChar w:fldCharType="end"/>
          </w:r>
        </w:p>
        <w:p w14:paraId="7EB14264">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_Toc15231 </w:instrText>
          </w:r>
          <w:r>
            <w:rPr>
              <w:rFonts w:hint="eastAsia" w:ascii="黑体" w:hAnsi="黑体" w:eastAsia="黑体" w:cs="黑体"/>
              <w:szCs w:val="44"/>
            </w:rPr>
            <w:fldChar w:fldCharType="separate"/>
          </w:r>
          <w:r>
            <w:rPr>
              <w:rFonts w:eastAsia="楷体_GB2312" w:cs="Times New Roman"/>
              <w:bCs/>
            </w:rPr>
            <w:t>第</w:t>
          </w:r>
          <w:r>
            <w:rPr>
              <w:rFonts w:hint="eastAsia" w:eastAsia="楷体_GB2312" w:cs="Times New Roman"/>
              <w:bCs/>
            </w:rPr>
            <w:t>二</w:t>
          </w:r>
          <w:r>
            <w:rPr>
              <w:rFonts w:eastAsia="楷体_GB2312" w:cs="Times New Roman"/>
              <w:bCs/>
            </w:rPr>
            <w:t>节</w:t>
          </w:r>
          <w:r>
            <w:rPr>
              <w:rFonts w:hint="eastAsia" w:ascii="楷体_GB2312" w:hAnsi="楷体_GB2312" w:eastAsia="楷体_GB2312" w:cs="楷体_GB2312"/>
            </w:rPr>
            <w:t xml:space="preserve">  </w:t>
          </w:r>
          <w:r>
            <w:rPr>
              <w:rFonts w:eastAsia="楷体_GB2312" w:cs="Times New Roman"/>
              <w:bCs/>
              <w:szCs w:val="32"/>
            </w:rPr>
            <w:t>强力推动文旅康养产业融合发展</w:t>
          </w:r>
          <w:r>
            <w:tab/>
          </w:r>
          <w:r>
            <w:fldChar w:fldCharType="begin"/>
          </w:r>
          <w:r>
            <w:instrText xml:space="preserve"> PAGEREF _Toc15231 \h </w:instrText>
          </w:r>
          <w:r>
            <w:fldChar w:fldCharType="separate"/>
          </w:r>
          <w:r>
            <w:t>38</w:t>
          </w:r>
          <w:r>
            <w:fldChar w:fldCharType="end"/>
          </w:r>
          <w:r>
            <w:rPr>
              <w:rFonts w:hint="eastAsia" w:ascii="黑体" w:hAnsi="黑体" w:eastAsia="黑体" w:cs="黑体"/>
              <w:szCs w:val="44"/>
            </w:rPr>
            <w:fldChar w:fldCharType="end"/>
          </w:r>
        </w:p>
        <w:p w14:paraId="14C6F59B">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_Toc25710 </w:instrText>
          </w:r>
          <w:r>
            <w:rPr>
              <w:rFonts w:hint="eastAsia" w:ascii="黑体" w:hAnsi="黑体" w:eastAsia="黑体" w:cs="黑体"/>
              <w:szCs w:val="44"/>
            </w:rPr>
            <w:fldChar w:fldCharType="separate"/>
          </w:r>
          <w:r>
            <w:rPr>
              <w:rFonts w:eastAsia="楷体_GB2312" w:cs="Times New Roman"/>
              <w:bCs/>
            </w:rPr>
            <w:t>第</w:t>
          </w:r>
          <w:r>
            <w:rPr>
              <w:rFonts w:hint="eastAsia" w:eastAsia="楷体_GB2312" w:cs="Times New Roman"/>
              <w:bCs/>
            </w:rPr>
            <w:t>三</w:t>
          </w:r>
          <w:r>
            <w:rPr>
              <w:rFonts w:eastAsia="楷体_GB2312" w:cs="Times New Roman"/>
              <w:bCs/>
            </w:rPr>
            <w:t>节</w:t>
          </w:r>
          <w:r>
            <w:rPr>
              <w:rFonts w:hint="eastAsia" w:ascii="楷体_GB2312" w:hAnsi="楷体_GB2312" w:eastAsia="楷体_GB2312" w:cs="楷体_GB2312"/>
            </w:rPr>
            <w:t xml:space="preserve">  </w:t>
          </w:r>
          <w:r>
            <w:rPr>
              <w:rFonts w:eastAsia="楷体_GB2312" w:cs="Times New Roman"/>
              <w:bCs/>
            </w:rPr>
            <w:t>高质量发展现代服务业</w:t>
          </w:r>
          <w:r>
            <w:tab/>
          </w:r>
          <w:r>
            <w:fldChar w:fldCharType="begin"/>
          </w:r>
          <w:r>
            <w:instrText xml:space="preserve"> PAGEREF _Toc25710 \h </w:instrText>
          </w:r>
          <w:r>
            <w:fldChar w:fldCharType="separate"/>
          </w:r>
          <w:r>
            <w:t>41</w:t>
          </w:r>
          <w:r>
            <w:fldChar w:fldCharType="end"/>
          </w:r>
          <w:r>
            <w:rPr>
              <w:rFonts w:hint="eastAsia" w:ascii="黑体" w:hAnsi="黑体" w:eastAsia="黑体" w:cs="黑体"/>
              <w:szCs w:val="44"/>
            </w:rPr>
            <w:fldChar w:fldCharType="end"/>
          </w:r>
        </w:p>
        <w:p w14:paraId="1218EA58">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_Toc2272 </w:instrText>
          </w:r>
          <w:r>
            <w:rPr>
              <w:rFonts w:hint="eastAsia" w:ascii="黑体" w:hAnsi="黑体" w:eastAsia="黑体" w:cs="黑体"/>
              <w:szCs w:val="44"/>
            </w:rPr>
            <w:fldChar w:fldCharType="separate"/>
          </w:r>
          <w:r>
            <w:rPr>
              <w:rFonts w:hint="eastAsia" w:ascii="楷体_GB2312" w:hAnsi="楷体_GB2312" w:eastAsia="楷体_GB2312" w:cs="楷体_GB2312"/>
              <w:bCs/>
            </w:rPr>
            <w:t>第四节</w:t>
          </w:r>
          <w:r>
            <w:rPr>
              <w:rFonts w:hint="eastAsia" w:ascii="楷体_GB2312" w:hAnsi="楷体_GB2312" w:eastAsia="楷体_GB2312" w:cs="楷体_GB2312"/>
            </w:rPr>
            <w:t xml:space="preserve">  </w:t>
          </w:r>
          <w:r>
            <w:rPr>
              <w:rFonts w:hint="eastAsia" w:ascii="楷体_GB2312" w:hAnsi="楷体_GB2312" w:eastAsia="楷体_GB2312" w:cs="楷体_GB2312"/>
              <w:bCs/>
            </w:rPr>
            <w:t>发展壮大先进装备制造和现代中医药产业</w:t>
          </w:r>
          <w:r>
            <w:tab/>
          </w:r>
          <w:r>
            <w:fldChar w:fldCharType="begin"/>
          </w:r>
          <w:r>
            <w:instrText xml:space="preserve"> PAGEREF _Toc2272 \h </w:instrText>
          </w:r>
          <w:r>
            <w:fldChar w:fldCharType="separate"/>
          </w:r>
          <w:r>
            <w:t>44</w:t>
          </w:r>
          <w:r>
            <w:fldChar w:fldCharType="end"/>
          </w:r>
          <w:r>
            <w:rPr>
              <w:rFonts w:hint="eastAsia" w:ascii="黑体" w:hAnsi="黑体" w:eastAsia="黑体" w:cs="黑体"/>
              <w:szCs w:val="44"/>
            </w:rPr>
            <w:fldChar w:fldCharType="end"/>
          </w:r>
        </w:p>
        <w:p w14:paraId="66B651CF">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_Toc14461 </w:instrText>
          </w:r>
          <w:r>
            <w:rPr>
              <w:rFonts w:hint="eastAsia" w:ascii="黑体" w:hAnsi="黑体" w:eastAsia="黑体" w:cs="黑体"/>
              <w:szCs w:val="44"/>
            </w:rPr>
            <w:fldChar w:fldCharType="separate"/>
          </w:r>
          <w:r>
            <w:rPr>
              <w:rFonts w:eastAsia="楷体_GB2312" w:cs="Times New Roman"/>
              <w:bCs/>
            </w:rPr>
            <w:t>第</w:t>
          </w:r>
          <w:r>
            <w:rPr>
              <w:rFonts w:hint="eastAsia" w:eastAsia="楷体_GB2312" w:cs="Times New Roman"/>
              <w:bCs/>
            </w:rPr>
            <w:t>五</w:t>
          </w:r>
          <w:r>
            <w:rPr>
              <w:rFonts w:eastAsia="楷体_GB2312" w:cs="Times New Roman"/>
              <w:bCs/>
            </w:rPr>
            <w:t>节</w:t>
          </w:r>
          <w:r>
            <w:rPr>
              <w:rFonts w:hint="eastAsia" w:ascii="楷体_GB2312" w:hAnsi="楷体_GB2312" w:eastAsia="楷体_GB2312" w:cs="楷体_GB2312"/>
            </w:rPr>
            <w:t xml:space="preserve">  </w:t>
          </w:r>
          <w:r>
            <w:rPr>
              <w:rFonts w:eastAsia="楷体_GB2312" w:cs="Times New Roman"/>
              <w:bCs/>
            </w:rPr>
            <w:t>加快布局数智产业与低空经济</w:t>
          </w:r>
          <w:r>
            <w:tab/>
          </w:r>
          <w:r>
            <w:fldChar w:fldCharType="begin"/>
          </w:r>
          <w:r>
            <w:instrText xml:space="preserve"> PAGEREF _Toc14461 \h </w:instrText>
          </w:r>
          <w:r>
            <w:fldChar w:fldCharType="separate"/>
          </w:r>
          <w:r>
            <w:t>46</w:t>
          </w:r>
          <w:r>
            <w:fldChar w:fldCharType="end"/>
          </w:r>
          <w:r>
            <w:rPr>
              <w:rFonts w:hint="eastAsia" w:ascii="黑体" w:hAnsi="黑体" w:eastAsia="黑体" w:cs="黑体"/>
              <w:szCs w:val="44"/>
            </w:rPr>
            <w:fldChar w:fldCharType="end"/>
          </w:r>
        </w:p>
        <w:p w14:paraId="2F2C46AB">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_Toc8890 </w:instrText>
          </w:r>
          <w:r>
            <w:rPr>
              <w:rFonts w:hint="eastAsia" w:ascii="黑体" w:hAnsi="黑体" w:eastAsia="黑体" w:cs="黑体"/>
              <w:szCs w:val="44"/>
            </w:rPr>
            <w:fldChar w:fldCharType="separate"/>
          </w:r>
          <w:r>
            <w:rPr>
              <w:rFonts w:eastAsia="楷体_GB2312" w:cs="Times New Roman"/>
              <w:bCs/>
            </w:rPr>
            <w:t>第六节</w:t>
          </w:r>
          <w:r>
            <w:rPr>
              <w:rFonts w:hint="eastAsia" w:ascii="楷体_GB2312" w:hAnsi="楷体_GB2312" w:eastAsia="楷体_GB2312" w:cs="楷体_GB2312"/>
            </w:rPr>
            <w:t xml:space="preserve">  </w:t>
          </w:r>
          <w:r>
            <w:rPr>
              <w:rFonts w:eastAsia="楷体_GB2312" w:cs="Times New Roman"/>
              <w:bCs/>
            </w:rPr>
            <w:t>打造链镇区产业协同发展格局</w:t>
          </w:r>
          <w:r>
            <w:tab/>
          </w:r>
          <w:r>
            <w:fldChar w:fldCharType="begin"/>
          </w:r>
          <w:r>
            <w:instrText xml:space="preserve"> PAGEREF _Toc8890 \h </w:instrText>
          </w:r>
          <w:r>
            <w:fldChar w:fldCharType="separate"/>
          </w:r>
          <w:r>
            <w:t>49</w:t>
          </w:r>
          <w:r>
            <w:fldChar w:fldCharType="end"/>
          </w:r>
          <w:r>
            <w:rPr>
              <w:rFonts w:hint="eastAsia" w:ascii="黑体" w:hAnsi="黑体" w:eastAsia="黑体" w:cs="黑体"/>
              <w:szCs w:val="44"/>
            </w:rPr>
            <w:fldChar w:fldCharType="end"/>
          </w:r>
        </w:p>
        <w:p w14:paraId="33F39799">
          <w:pPr>
            <w:pStyle w:val="14"/>
            <w:tabs>
              <w:tab w:val="right" w:leader="dot" w:pos="8844"/>
            </w:tabs>
            <w:ind w:left="0" w:leftChars="0" w:firstLine="0" w:firstLineChars="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_Toc18673 </w:instrText>
          </w:r>
          <w:r>
            <w:rPr>
              <w:rFonts w:hint="eastAsia" w:ascii="黑体" w:hAnsi="黑体" w:eastAsia="黑体" w:cs="黑体"/>
              <w:szCs w:val="44"/>
            </w:rPr>
            <w:fldChar w:fldCharType="separate"/>
          </w:r>
          <w:r>
            <w:rPr>
              <w:rFonts w:hint="eastAsia" w:eastAsia="黑体" w:cs="Times New Roman"/>
              <w:kern w:val="44"/>
              <w:szCs w:val="32"/>
            </w:rPr>
            <w:t xml:space="preserve">第五章 </w:t>
          </w:r>
          <w:r>
            <w:rPr>
              <w:rFonts w:eastAsia="黑体" w:cs="Times New Roman"/>
              <w:kern w:val="44"/>
              <w:szCs w:val="32"/>
            </w:rPr>
            <w:t>促进投资消费良性互动</w:t>
          </w:r>
          <w:r>
            <w:rPr>
              <w:rFonts w:hint="eastAsia" w:eastAsia="黑体" w:cs="Times New Roman"/>
              <w:kern w:val="44"/>
              <w:szCs w:val="32"/>
              <w:lang w:val="en-US" w:eastAsia="zh-CN"/>
            </w:rPr>
            <w:t xml:space="preserve"> </w:t>
          </w:r>
          <w:r>
            <w:rPr>
              <w:rFonts w:eastAsia="黑体" w:cs="Times New Roman"/>
              <w:kern w:val="44"/>
              <w:szCs w:val="32"/>
            </w:rPr>
            <w:t>主动融入全国统一大市场</w:t>
          </w:r>
          <w:r>
            <w:tab/>
          </w:r>
          <w:r>
            <w:fldChar w:fldCharType="begin"/>
          </w:r>
          <w:r>
            <w:instrText xml:space="preserve"> PAGEREF _Toc18673 \h </w:instrText>
          </w:r>
          <w:r>
            <w:fldChar w:fldCharType="separate"/>
          </w:r>
          <w:r>
            <w:t>52</w:t>
          </w:r>
          <w:r>
            <w:fldChar w:fldCharType="end"/>
          </w:r>
          <w:r>
            <w:rPr>
              <w:rFonts w:hint="eastAsia" w:ascii="黑体" w:hAnsi="黑体" w:eastAsia="黑体" w:cs="黑体"/>
              <w:szCs w:val="44"/>
            </w:rPr>
            <w:fldChar w:fldCharType="end"/>
          </w:r>
        </w:p>
        <w:p w14:paraId="345A7FB3">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_Toc30453 </w:instrText>
          </w:r>
          <w:r>
            <w:rPr>
              <w:rFonts w:hint="eastAsia" w:ascii="黑体" w:hAnsi="黑体" w:eastAsia="黑体" w:cs="黑体"/>
              <w:szCs w:val="44"/>
            </w:rPr>
            <w:fldChar w:fldCharType="separate"/>
          </w:r>
          <w:r>
            <w:rPr>
              <w:rFonts w:eastAsia="楷体_GB2312" w:cs="Times New Roman"/>
              <w:bCs/>
            </w:rPr>
            <w:t>第一节</w:t>
          </w:r>
          <w:r>
            <w:rPr>
              <w:rFonts w:hint="eastAsia" w:ascii="楷体_GB2312" w:hAnsi="楷体_GB2312" w:eastAsia="楷体_GB2312" w:cs="楷体_GB2312"/>
            </w:rPr>
            <w:t xml:space="preserve">  </w:t>
          </w:r>
          <w:r>
            <w:rPr>
              <w:rFonts w:eastAsia="楷体_GB2312" w:cs="Times New Roman"/>
              <w:bCs/>
            </w:rPr>
            <w:t>激发消费市场活力</w:t>
          </w:r>
          <w:r>
            <w:tab/>
          </w:r>
          <w:r>
            <w:fldChar w:fldCharType="begin"/>
          </w:r>
          <w:r>
            <w:instrText xml:space="preserve"> PAGEREF _Toc30453 \h </w:instrText>
          </w:r>
          <w:r>
            <w:fldChar w:fldCharType="separate"/>
          </w:r>
          <w:r>
            <w:t>52</w:t>
          </w:r>
          <w:r>
            <w:fldChar w:fldCharType="end"/>
          </w:r>
          <w:r>
            <w:rPr>
              <w:rFonts w:hint="eastAsia" w:ascii="黑体" w:hAnsi="黑体" w:eastAsia="黑体" w:cs="黑体"/>
              <w:szCs w:val="44"/>
            </w:rPr>
            <w:fldChar w:fldCharType="end"/>
          </w:r>
        </w:p>
        <w:p w14:paraId="2CE1DED9">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_Toc23711 </w:instrText>
          </w:r>
          <w:r>
            <w:rPr>
              <w:rFonts w:hint="eastAsia" w:ascii="黑体" w:hAnsi="黑体" w:eastAsia="黑体" w:cs="黑体"/>
              <w:szCs w:val="44"/>
            </w:rPr>
            <w:fldChar w:fldCharType="separate"/>
          </w:r>
          <w:r>
            <w:rPr>
              <w:rFonts w:eastAsia="楷体_GB2312" w:cs="Times New Roman"/>
              <w:bCs/>
            </w:rPr>
            <w:t xml:space="preserve">第二节 </w:t>
          </w:r>
          <w:r>
            <w:rPr>
              <w:rFonts w:hint="eastAsia" w:eastAsia="楷体_GB2312" w:cs="Times New Roman"/>
              <w:bCs/>
            </w:rPr>
            <w:t xml:space="preserve"> </w:t>
          </w:r>
          <w:r>
            <w:rPr>
              <w:rFonts w:eastAsia="楷体_GB2312" w:cs="Times New Roman"/>
              <w:bCs/>
            </w:rPr>
            <w:t>提升投资质量效益</w:t>
          </w:r>
          <w:r>
            <w:tab/>
          </w:r>
          <w:r>
            <w:fldChar w:fldCharType="begin"/>
          </w:r>
          <w:r>
            <w:instrText xml:space="preserve"> PAGEREF _Toc23711 \h </w:instrText>
          </w:r>
          <w:r>
            <w:fldChar w:fldCharType="separate"/>
          </w:r>
          <w:r>
            <w:t>55</w:t>
          </w:r>
          <w:r>
            <w:fldChar w:fldCharType="end"/>
          </w:r>
          <w:r>
            <w:rPr>
              <w:rFonts w:hint="eastAsia" w:ascii="黑体" w:hAnsi="黑体" w:eastAsia="黑体" w:cs="黑体"/>
              <w:szCs w:val="44"/>
            </w:rPr>
            <w:fldChar w:fldCharType="end"/>
          </w:r>
        </w:p>
        <w:p w14:paraId="06F0F879">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_Toc10096 </w:instrText>
          </w:r>
          <w:r>
            <w:rPr>
              <w:rFonts w:hint="eastAsia" w:ascii="黑体" w:hAnsi="黑体" w:eastAsia="黑体" w:cs="黑体"/>
              <w:szCs w:val="44"/>
            </w:rPr>
            <w:fldChar w:fldCharType="separate"/>
          </w:r>
          <w:r>
            <w:rPr>
              <w:rFonts w:eastAsia="楷体_GB2312" w:cs="Times New Roman"/>
              <w:bCs/>
            </w:rPr>
            <w:t xml:space="preserve">第三节 </w:t>
          </w:r>
          <w:r>
            <w:rPr>
              <w:rFonts w:hint="eastAsia" w:eastAsia="楷体_GB2312" w:cs="Times New Roman"/>
              <w:bCs/>
            </w:rPr>
            <w:t xml:space="preserve"> </w:t>
          </w:r>
          <w:r>
            <w:rPr>
              <w:rFonts w:eastAsia="楷体_GB2312" w:cs="Times New Roman"/>
              <w:bCs/>
            </w:rPr>
            <w:t>推进重大项目建设</w:t>
          </w:r>
          <w:r>
            <w:tab/>
          </w:r>
          <w:r>
            <w:fldChar w:fldCharType="begin"/>
          </w:r>
          <w:r>
            <w:instrText xml:space="preserve"> PAGEREF _Toc10096 \h </w:instrText>
          </w:r>
          <w:r>
            <w:fldChar w:fldCharType="separate"/>
          </w:r>
          <w:r>
            <w:t>57</w:t>
          </w:r>
          <w:r>
            <w:fldChar w:fldCharType="end"/>
          </w:r>
          <w:r>
            <w:rPr>
              <w:rFonts w:hint="eastAsia" w:ascii="黑体" w:hAnsi="黑体" w:eastAsia="黑体" w:cs="黑体"/>
              <w:szCs w:val="44"/>
            </w:rPr>
            <w:fldChar w:fldCharType="end"/>
          </w:r>
        </w:p>
        <w:p w14:paraId="71D82E13">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_Toc12994 </w:instrText>
          </w:r>
          <w:r>
            <w:rPr>
              <w:rFonts w:hint="eastAsia" w:ascii="黑体" w:hAnsi="黑体" w:eastAsia="黑体" w:cs="黑体"/>
              <w:szCs w:val="44"/>
            </w:rPr>
            <w:fldChar w:fldCharType="separate"/>
          </w:r>
          <w:r>
            <w:rPr>
              <w:rFonts w:eastAsia="楷体_GB2312" w:cs="Times New Roman"/>
              <w:bCs/>
            </w:rPr>
            <w:t>第四节</w:t>
          </w:r>
          <w:r>
            <w:rPr>
              <w:rFonts w:hint="eastAsia" w:eastAsia="楷体_GB2312" w:cs="Times New Roman"/>
              <w:bCs/>
            </w:rPr>
            <w:t xml:space="preserve"> </w:t>
          </w:r>
          <w:r>
            <w:rPr>
              <w:rFonts w:eastAsia="楷体_GB2312" w:cs="Times New Roman"/>
              <w:bCs/>
            </w:rPr>
            <w:t xml:space="preserve"> 主动服务和融入全国统一大市场</w:t>
          </w:r>
          <w:r>
            <w:tab/>
          </w:r>
          <w:r>
            <w:fldChar w:fldCharType="begin"/>
          </w:r>
          <w:r>
            <w:instrText xml:space="preserve"> PAGEREF _Toc12994 \h </w:instrText>
          </w:r>
          <w:r>
            <w:fldChar w:fldCharType="separate"/>
          </w:r>
          <w:r>
            <w:t>59</w:t>
          </w:r>
          <w:r>
            <w:fldChar w:fldCharType="end"/>
          </w:r>
          <w:r>
            <w:rPr>
              <w:rFonts w:hint="eastAsia" w:ascii="黑体" w:hAnsi="黑体" w:eastAsia="黑体" w:cs="黑体"/>
              <w:szCs w:val="44"/>
            </w:rPr>
            <w:fldChar w:fldCharType="end"/>
          </w:r>
        </w:p>
        <w:p w14:paraId="61F3A117">
          <w:pPr>
            <w:pStyle w:val="14"/>
            <w:tabs>
              <w:tab w:val="right" w:leader="dot" w:pos="8844"/>
            </w:tabs>
            <w:ind w:left="0" w:leftChars="0" w:firstLine="0" w:firstLineChars="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_Toc28649 </w:instrText>
          </w:r>
          <w:r>
            <w:rPr>
              <w:rFonts w:hint="eastAsia" w:ascii="黑体" w:hAnsi="黑体" w:eastAsia="黑体" w:cs="黑体"/>
              <w:szCs w:val="44"/>
            </w:rPr>
            <w:fldChar w:fldCharType="separate"/>
          </w:r>
          <w:r>
            <w:rPr>
              <w:rFonts w:hint="eastAsia" w:ascii="黑体" w:hAnsi="黑体" w:eastAsia="黑体" w:cs="黑体"/>
              <w:szCs w:val="32"/>
            </w:rPr>
            <w:t>第六章</w:t>
          </w:r>
          <w:r>
            <w:rPr>
              <w:rFonts w:hint="eastAsia" w:ascii="黑体" w:hAnsi="黑体" w:eastAsia="黑体" w:cs="黑体"/>
              <w:szCs w:val="32"/>
              <w:lang w:val="en-US" w:eastAsia="zh-CN"/>
            </w:rPr>
            <w:t xml:space="preserve"> </w:t>
          </w:r>
          <w:r>
            <w:rPr>
              <w:rFonts w:hint="eastAsia" w:ascii="黑体" w:hAnsi="黑体" w:eastAsia="黑体" w:cs="黑体"/>
              <w:szCs w:val="32"/>
            </w:rPr>
            <w:t>全面深化改革创新</w:t>
          </w:r>
          <w:r>
            <w:rPr>
              <w:rFonts w:hint="eastAsia" w:ascii="黑体" w:hAnsi="黑体" w:eastAsia="黑体" w:cs="黑体"/>
              <w:szCs w:val="32"/>
              <w:lang w:val="en-US" w:eastAsia="zh-CN"/>
            </w:rPr>
            <w:t xml:space="preserve"> </w:t>
          </w:r>
          <w:r>
            <w:rPr>
              <w:rFonts w:hint="eastAsia" w:ascii="黑体" w:hAnsi="黑体" w:eastAsia="黑体" w:cs="黑体"/>
              <w:szCs w:val="32"/>
            </w:rPr>
            <w:t>激发沁水高质量发展动力活力</w:t>
          </w:r>
          <w:r>
            <w:tab/>
          </w:r>
          <w:r>
            <w:fldChar w:fldCharType="begin"/>
          </w:r>
          <w:r>
            <w:instrText xml:space="preserve"> PAGEREF _Toc28649 \h </w:instrText>
          </w:r>
          <w:r>
            <w:fldChar w:fldCharType="separate"/>
          </w:r>
          <w:r>
            <w:t>61</w:t>
          </w:r>
          <w:r>
            <w:fldChar w:fldCharType="end"/>
          </w:r>
          <w:r>
            <w:rPr>
              <w:rFonts w:hint="eastAsia" w:ascii="黑体" w:hAnsi="黑体" w:eastAsia="黑体" w:cs="黑体"/>
              <w:szCs w:val="44"/>
            </w:rPr>
            <w:fldChar w:fldCharType="end"/>
          </w:r>
        </w:p>
        <w:p w14:paraId="2C9313B7">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_Toc29641 </w:instrText>
          </w:r>
          <w:r>
            <w:rPr>
              <w:rFonts w:hint="eastAsia" w:ascii="黑体" w:hAnsi="黑体" w:eastAsia="黑体" w:cs="黑体"/>
              <w:szCs w:val="44"/>
            </w:rPr>
            <w:fldChar w:fldCharType="separate"/>
          </w:r>
          <w:r>
            <w:rPr>
              <w:rFonts w:hint="eastAsia" w:ascii="楷体_GB2312" w:hAnsi="楷体_GB2312" w:eastAsia="楷体_GB2312" w:cs="楷体_GB2312"/>
            </w:rPr>
            <w:t>第一节  深化重点领域改革</w:t>
          </w:r>
          <w:r>
            <w:tab/>
          </w:r>
          <w:r>
            <w:fldChar w:fldCharType="begin"/>
          </w:r>
          <w:r>
            <w:instrText xml:space="preserve"> PAGEREF _Toc29641 \h </w:instrText>
          </w:r>
          <w:r>
            <w:fldChar w:fldCharType="separate"/>
          </w:r>
          <w:r>
            <w:t>61</w:t>
          </w:r>
          <w:r>
            <w:fldChar w:fldCharType="end"/>
          </w:r>
          <w:r>
            <w:rPr>
              <w:rFonts w:hint="eastAsia" w:ascii="黑体" w:hAnsi="黑体" w:eastAsia="黑体" w:cs="黑体"/>
              <w:szCs w:val="44"/>
            </w:rPr>
            <w:fldChar w:fldCharType="end"/>
          </w:r>
        </w:p>
        <w:p w14:paraId="2C67420C">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_Toc27675 </w:instrText>
          </w:r>
          <w:r>
            <w:rPr>
              <w:rFonts w:hint="eastAsia" w:ascii="黑体" w:hAnsi="黑体" w:eastAsia="黑体" w:cs="黑体"/>
              <w:szCs w:val="44"/>
            </w:rPr>
            <w:fldChar w:fldCharType="separate"/>
          </w:r>
          <w:r>
            <w:rPr>
              <w:rFonts w:hint="eastAsia" w:ascii="楷体_GB2312" w:hAnsi="楷体_GB2312" w:eastAsia="楷体_GB2312" w:cs="楷体_GB2312"/>
            </w:rPr>
            <w:t>第二节  持续优化营商环境</w:t>
          </w:r>
          <w:r>
            <w:tab/>
          </w:r>
          <w:r>
            <w:fldChar w:fldCharType="begin"/>
          </w:r>
          <w:r>
            <w:instrText xml:space="preserve"> PAGEREF _Toc27675 \h </w:instrText>
          </w:r>
          <w:r>
            <w:fldChar w:fldCharType="separate"/>
          </w:r>
          <w:r>
            <w:t>63</w:t>
          </w:r>
          <w:r>
            <w:fldChar w:fldCharType="end"/>
          </w:r>
          <w:r>
            <w:rPr>
              <w:rFonts w:hint="eastAsia" w:ascii="黑体" w:hAnsi="黑体" w:eastAsia="黑体" w:cs="黑体"/>
              <w:szCs w:val="44"/>
            </w:rPr>
            <w:fldChar w:fldCharType="end"/>
          </w:r>
        </w:p>
        <w:p w14:paraId="4A16A0AC">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_Toc5503 </w:instrText>
          </w:r>
          <w:r>
            <w:rPr>
              <w:rFonts w:hint="eastAsia" w:ascii="黑体" w:hAnsi="黑体" w:eastAsia="黑体" w:cs="黑体"/>
              <w:szCs w:val="44"/>
            </w:rPr>
            <w:fldChar w:fldCharType="separate"/>
          </w:r>
          <w:r>
            <w:rPr>
              <w:rFonts w:hint="eastAsia" w:ascii="楷体_GB2312" w:hAnsi="楷体_GB2312" w:eastAsia="楷体_GB2312" w:cs="楷体_GB2312"/>
            </w:rPr>
            <w:t>第三节  构建良好科技创新生态</w:t>
          </w:r>
          <w:r>
            <w:tab/>
          </w:r>
          <w:r>
            <w:fldChar w:fldCharType="begin"/>
          </w:r>
          <w:r>
            <w:instrText xml:space="preserve"> PAGEREF _Toc5503 \h </w:instrText>
          </w:r>
          <w:r>
            <w:fldChar w:fldCharType="separate"/>
          </w:r>
          <w:r>
            <w:t>66</w:t>
          </w:r>
          <w:r>
            <w:fldChar w:fldCharType="end"/>
          </w:r>
          <w:r>
            <w:rPr>
              <w:rFonts w:hint="eastAsia" w:ascii="黑体" w:hAnsi="黑体" w:eastAsia="黑体" w:cs="黑体"/>
              <w:szCs w:val="44"/>
            </w:rPr>
            <w:fldChar w:fldCharType="end"/>
          </w:r>
        </w:p>
        <w:p w14:paraId="61D7896A">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_Toc18356 </w:instrText>
          </w:r>
          <w:r>
            <w:rPr>
              <w:rFonts w:hint="eastAsia" w:ascii="黑体" w:hAnsi="黑体" w:eastAsia="黑体" w:cs="黑体"/>
              <w:szCs w:val="44"/>
            </w:rPr>
            <w:fldChar w:fldCharType="separate"/>
          </w:r>
          <w:r>
            <w:rPr>
              <w:rFonts w:hint="eastAsia" w:ascii="楷体_GB2312" w:hAnsi="楷体_GB2312" w:eastAsia="楷体_GB2312" w:cs="楷体_GB2312"/>
            </w:rPr>
            <w:t>第四节  扩大高水平对外开放</w:t>
          </w:r>
          <w:r>
            <w:tab/>
          </w:r>
          <w:r>
            <w:fldChar w:fldCharType="begin"/>
          </w:r>
          <w:r>
            <w:instrText xml:space="preserve"> PAGEREF _Toc18356 \h </w:instrText>
          </w:r>
          <w:r>
            <w:fldChar w:fldCharType="separate"/>
          </w:r>
          <w:r>
            <w:t>69</w:t>
          </w:r>
          <w:r>
            <w:fldChar w:fldCharType="end"/>
          </w:r>
          <w:r>
            <w:rPr>
              <w:rFonts w:hint="eastAsia" w:ascii="黑体" w:hAnsi="黑体" w:eastAsia="黑体" w:cs="黑体"/>
              <w:szCs w:val="44"/>
            </w:rPr>
            <w:fldChar w:fldCharType="end"/>
          </w:r>
        </w:p>
        <w:p w14:paraId="566F041C">
          <w:pPr>
            <w:pStyle w:val="14"/>
            <w:tabs>
              <w:tab w:val="right" w:leader="dot" w:pos="8844"/>
            </w:tabs>
            <w:ind w:left="0" w:leftChars="0" w:firstLine="0" w:firstLineChars="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_Toc13734 </w:instrText>
          </w:r>
          <w:r>
            <w:rPr>
              <w:rFonts w:hint="eastAsia" w:ascii="黑体" w:hAnsi="黑体" w:eastAsia="黑体" w:cs="黑体"/>
              <w:szCs w:val="44"/>
            </w:rPr>
            <w:fldChar w:fldCharType="separate"/>
          </w:r>
          <w:r>
            <w:rPr>
              <w:rFonts w:hint="eastAsia" w:ascii="黑体" w:hAnsi="黑体" w:eastAsia="黑体" w:cs="黑体"/>
              <w:szCs w:val="32"/>
            </w:rPr>
            <w:t>第七章 推进以人为本新型城镇化</w:t>
          </w:r>
          <w:r>
            <w:rPr>
              <w:rFonts w:hint="eastAsia" w:ascii="黑体" w:hAnsi="黑体" w:eastAsia="黑体" w:cs="黑体"/>
              <w:szCs w:val="32"/>
              <w:lang w:val="en-US" w:eastAsia="zh-CN"/>
            </w:rPr>
            <w:t xml:space="preserve"> </w:t>
          </w:r>
          <w:r>
            <w:rPr>
              <w:rFonts w:hint="eastAsia" w:ascii="黑体" w:hAnsi="黑体" w:eastAsia="黑体" w:cs="黑体"/>
              <w:szCs w:val="32"/>
            </w:rPr>
            <w:t>构建城乡融合发展新格局</w:t>
          </w:r>
          <w:r>
            <w:tab/>
          </w:r>
          <w:r>
            <w:fldChar w:fldCharType="begin"/>
          </w:r>
          <w:r>
            <w:instrText xml:space="preserve"> PAGEREF _Toc13734 \h </w:instrText>
          </w:r>
          <w:r>
            <w:fldChar w:fldCharType="separate"/>
          </w:r>
          <w:r>
            <w:t>71</w:t>
          </w:r>
          <w:r>
            <w:fldChar w:fldCharType="end"/>
          </w:r>
          <w:r>
            <w:rPr>
              <w:rFonts w:hint="eastAsia" w:ascii="黑体" w:hAnsi="黑体" w:eastAsia="黑体" w:cs="黑体"/>
              <w:szCs w:val="44"/>
            </w:rPr>
            <w:fldChar w:fldCharType="end"/>
          </w:r>
        </w:p>
        <w:p w14:paraId="38252492">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_Toc28434 </w:instrText>
          </w:r>
          <w:r>
            <w:rPr>
              <w:rFonts w:hint="eastAsia" w:ascii="黑体" w:hAnsi="黑体" w:eastAsia="黑体" w:cs="黑体"/>
              <w:szCs w:val="44"/>
            </w:rPr>
            <w:fldChar w:fldCharType="separate"/>
          </w:r>
          <w:r>
            <w:rPr>
              <w:rFonts w:eastAsia="楷体_GB2312" w:cs="Times New Roman"/>
              <w:bCs/>
            </w:rPr>
            <w:t>第一节</w:t>
          </w:r>
          <w:r>
            <w:rPr>
              <w:rFonts w:hint="eastAsia" w:eastAsia="楷体_GB2312" w:cs="Times New Roman"/>
              <w:bCs/>
            </w:rPr>
            <w:t xml:space="preserve"> </w:t>
          </w:r>
          <w:r>
            <w:rPr>
              <w:rFonts w:eastAsia="楷体_GB2312" w:cs="Times New Roman"/>
              <w:bCs/>
            </w:rPr>
            <w:t xml:space="preserve"> 优化县域空间布局</w:t>
          </w:r>
          <w:r>
            <w:tab/>
          </w:r>
          <w:r>
            <w:fldChar w:fldCharType="begin"/>
          </w:r>
          <w:r>
            <w:instrText xml:space="preserve"> PAGEREF _Toc28434 \h </w:instrText>
          </w:r>
          <w:r>
            <w:fldChar w:fldCharType="separate"/>
          </w:r>
          <w:r>
            <w:t>71</w:t>
          </w:r>
          <w:r>
            <w:fldChar w:fldCharType="end"/>
          </w:r>
          <w:r>
            <w:rPr>
              <w:rFonts w:hint="eastAsia" w:ascii="黑体" w:hAnsi="黑体" w:eastAsia="黑体" w:cs="黑体"/>
              <w:szCs w:val="44"/>
            </w:rPr>
            <w:fldChar w:fldCharType="end"/>
          </w:r>
        </w:p>
        <w:p w14:paraId="31E215E1">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_Toc17978 </w:instrText>
          </w:r>
          <w:r>
            <w:rPr>
              <w:rFonts w:hint="eastAsia" w:ascii="黑体" w:hAnsi="黑体" w:eastAsia="黑体" w:cs="黑体"/>
              <w:szCs w:val="44"/>
            </w:rPr>
            <w:fldChar w:fldCharType="separate"/>
          </w:r>
          <w:r>
            <w:rPr>
              <w:rFonts w:eastAsia="楷体_GB2312" w:cs="Times New Roman"/>
              <w:bCs/>
            </w:rPr>
            <w:t>第二节</w:t>
          </w:r>
          <w:r>
            <w:rPr>
              <w:rFonts w:hint="eastAsia" w:eastAsia="楷体_GB2312" w:cs="Times New Roman"/>
              <w:bCs/>
            </w:rPr>
            <w:t xml:space="preserve"> </w:t>
          </w:r>
          <w:r>
            <w:rPr>
              <w:rFonts w:eastAsia="楷体_GB2312" w:cs="Times New Roman"/>
              <w:bCs/>
            </w:rPr>
            <w:t xml:space="preserve"> 提升县城功能品质</w:t>
          </w:r>
          <w:r>
            <w:tab/>
          </w:r>
          <w:r>
            <w:fldChar w:fldCharType="begin"/>
          </w:r>
          <w:r>
            <w:instrText xml:space="preserve"> PAGEREF _Toc17978 \h </w:instrText>
          </w:r>
          <w:r>
            <w:fldChar w:fldCharType="separate"/>
          </w:r>
          <w:r>
            <w:t>73</w:t>
          </w:r>
          <w:r>
            <w:fldChar w:fldCharType="end"/>
          </w:r>
          <w:r>
            <w:rPr>
              <w:rFonts w:hint="eastAsia" w:ascii="黑体" w:hAnsi="黑体" w:eastAsia="黑体" w:cs="黑体"/>
              <w:szCs w:val="44"/>
            </w:rPr>
            <w:fldChar w:fldCharType="end"/>
          </w:r>
        </w:p>
        <w:p w14:paraId="04DDF4E9">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_Toc20208 </w:instrText>
          </w:r>
          <w:r>
            <w:rPr>
              <w:rFonts w:hint="eastAsia" w:ascii="黑体" w:hAnsi="黑体" w:eastAsia="黑体" w:cs="黑体"/>
              <w:szCs w:val="44"/>
            </w:rPr>
            <w:fldChar w:fldCharType="separate"/>
          </w:r>
          <w:r>
            <w:rPr>
              <w:rFonts w:hint="eastAsia" w:ascii="楷体_GB2312" w:hAnsi="楷体_GB2312" w:eastAsia="楷体_GB2312" w:cs="楷体_GB2312"/>
              <w:bCs/>
              <w:szCs w:val="32"/>
            </w:rPr>
            <w:t>第三节  强化特色镇和中心村建设</w:t>
          </w:r>
          <w:r>
            <w:tab/>
          </w:r>
          <w:r>
            <w:fldChar w:fldCharType="begin"/>
          </w:r>
          <w:r>
            <w:instrText xml:space="preserve"> PAGEREF _Toc20208 \h </w:instrText>
          </w:r>
          <w:r>
            <w:fldChar w:fldCharType="separate"/>
          </w:r>
          <w:r>
            <w:t>79</w:t>
          </w:r>
          <w:r>
            <w:fldChar w:fldCharType="end"/>
          </w:r>
          <w:r>
            <w:rPr>
              <w:rFonts w:hint="eastAsia" w:ascii="黑体" w:hAnsi="黑体" w:eastAsia="黑体" w:cs="黑体"/>
              <w:szCs w:val="44"/>
            </w:rPr>
            <w:fldChar w:fldCharType="end"/>
          </w:r>
        </w:p>
        <w:p w14:paraId="0C34E5FE">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_Toc244 </w:instrText>
          </w:r>
          <w:r>
            <w:rPr>
              <w:rFonts w:hint="eastAsia" w:ascii="黑体" w:hAnsi="黑体" w:eastAsia="黑体" w:cs="黑体"/>
              <w:szCs w:val="44"/>
            </w:rPr>
            <w:fldChar w:fldCharType="separate"/>
          </w:r>
          <w:r>
            <w:rPr>
              <w:rFonts w:eastAsia="楷体_GB2312" w:cs="Times New Roman"/>
              <w:bCs/>
            </w:rPr>
            <w:t>第四节</w:t>
          </w:r>
          <w:r>
            <w:rPr>
              <w:rFonts w:hint="eastAsia" w:eastAsia="楷体_GB2312" w:cs="Times New Roman"/>
              <w:bCs/>
            </w:rPr>
            <w:t xml:space="preserve"> </w:t>
          </w:r>
          <w:r>
            <w:rPr>
              <w:rFonts w:eastAsia="楷体_GB2312" w:cs="Times New Roman"/>
              <w:bCs/>
            </w:rPr>
            <w:t xml:space="preserve"> 推动城乡融合发展</w:t>
          </w:r>
          <w:r>
            <w:tab/>
          </w:r>
          <w:r>
            <w:fldChar w:fldCharType="begin"/>
          </w:r>
          <w:r>
            <w:instrText xml:space="preserve"> PAGEREF _Toc244 \h </w:instrText>
          </w:r>
          <w:r>
            <w:fldChar w:fldCharType="separate"/>
          </w:r>
          <w:r>
            <w:t>82</w:t>
          </w:r>
          <w:r>
            <w:fldChar w:fldCharType="end"/>
          </w:r>
          <w:r>
            <w:rPr>
              <w:rFonts w:hint="eastAsia" w:ascii="黑体" w:hAnsi="黑体" w:eastAsia="黑体" w:cs="黑体"/>
              <w:szCs w:val="44"/>
            </w:rPr>
            <w:fldChar w:fldCharType="end"/>
          </w:r>
        </w:p>
        <w:p w14:paraId="6D3FBC19">
          <w:pPr>
            <w:pStyle w:val="14"/>
            <w:tabs>
              <w:tab w:val="right" w:leader="dot" w:pos="8844"/>
            </w:tabs>
            <w:ind w:left="0" w:leftChars="0" w:firstLine="0" w:firstLineChars="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_Toc25188 </w:instrText>
          </w:r>
          <w:r>
            <w:rPr>
              <w:rFonts w:hint="eastAsia" w:ascii="黑体" w:hAnsi="黑体" w:eastAsia="黑体" w:cs="黑体"/>
              <w:szCs w:val="44"/>
            </w:rPr>
            <w:fldChar w:fldCharType="separate"/>
          </w:r>
          <w:r>
            <w:rPr>
              <w:rFonts w:hint="eastAsia" w:ascii="黑体" w:hAnsi="黑体" w:eastAsia="黑体" w:cs="黑体"/>
              <w:szCs w:val="32"/>
            </w:rPr>
            <w:t>第八章 坚持农业农村优先发展</w:t>
          </w:r>
          <w:r>
            <w:rPr>
              <w:rFonts w:hint="eastAsia" w:ascii="黑体" w:hAnsi="黑体" w:eastAsia="黑体" w:cs="黑体"/>
              <w:szCs w:val="32"/>
              <w:lang w:val="en-US" w:eastAsia="zh-CN"/>
            </w:rPr>
            <w:t xml:space="preserve"> </w:t>
          </w:r>
          <w:r>
            <w:rPr>
              <w:rFonts w:hint="eastAsia" w:ascii="黑体" w:hAnsi="黑体" w:eastAsia="黑体" w:cs="黑体"/>
              <w:szCs w:val="32"/>
            </w:rPr>
            <w:t>打造宜居宜业和美乡村典范</w:t>
          </w:r>
          <w:r>
            <w:tab/>
          </w:r>
          <w:r>
            <w:fldChar w:fldCharType="begin"/>
          </w:r>
          <w:r>
            <w:instrText xml:space="preserve"> PAGEREF _Toc25188 \h </w:instrText>
          </w:r>
          <w:r>
            <w:fldChar w:fldCharType="separate"/>
          </w:r>
          <w:r>
            <w:t>85</w:t>
          </w:r>
          <w:r>
            <w:fldChar w:fldCharType="end"/>
          </w:r>
          <w:r>
            <w:rPr>
              <w:rFonts w:hint="eastAsia" w:ascii="黑体" w:hAnsi="黑体" w:eastAsia="黑体" w:cs="黑体"/>
              <w:szCs w:val="44"/>
            </w:rPr>
            <w:fldChar w:fldCharType="end"/>
          </w:r>
        </w:p>
        <w:p w14:paraId="271B8B5E">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_Toc971 </w:instrText>
          </w:r>
          <w:r>
            <w:rPr>
              <w:rFonts w:hint="eastAsia" w:ascii="黑体" w:hAnsi="黑体" w:eastAsia="黑体" w:cs="黑体"/>
              <w:szCs w:val="44"/>
            </w:rPr>
            <w:fldChar w:fldCharType="separate"/>
          </w:r>
          <w:r>
            <w:rPr>
              <w:rFonts w:ascii="Times New Roman" w:hAnsi="Times New Roman" w:eastAsia="楷体_GB2312" w:cs="Times New Roman"/>
            </w:rPr>
            <w:t>第一节</w:t>
          </w:r>
          <w:r>
            <w:rPr>
              <w:rFonts w:hint="eastAsia" w:ascii="Times New Roman" w:hAnsi="Times New Roman" w:eastAsia="楷体_GB2312" w:cs="Times New Roman"/>
              <w:lang w:val="en-US" w:eastAsia="zh-CN"/>
            </w:rPr>
            <w:t xml:space="preserve"> </w:t>
          </w:r>
          <w:r>
            <w:rPr>
              <w:rFonts w:ascii="Times New Roman" w:hAnsi="Times New Roman" w:eastAsia="楷体_GB2312" w:cs="Times New Roman"/>
            </w:rPr>
            <w:t>全面保障粮食和重要农产品供给</w:t>
          </w:r>
          <w:r>
            <w:tab/>
          </w:r>
          <w:r>
            <w:fldChar w:fldCharType="begin"/>
          </w:r>
          <w:r>
            <w:instrText xml:space="preserve"> PAGEREF _Toc971 \h </w:instrText>
          </w:r>
          <w:r>
            <w:fldChar w:fldCharType="separate"/>
          </w:r>
          <w:r>
            <w:t>85</w:t>
          </w:r>
          <w:r>
            <w:fldChar w:fldCharType="end"/>
          </w:r>
          <w:r>
            <w:rPr>
              <w:rFonts w:hint="eastAsia" w:ascii="黑体" w:hAnsi="黑体" w:eastAsia="黑体" w:cs="黑体"/>
              <w:szCs w:val="44"/>
            </w:rPr>
            <w:fldChar w:fldCharType="end"/>
          </w:r>
        </w:p>
        <w:p w14:paraId="101AF17A">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_Toc2527 </w:instrText>
          </w:r>
          <w:r>
            <w:rPr>
              <w:rFonts w:hint="eastAsia" w:ascii="黑体" w:hAnsi="黑体" w:eastAsia="黑体" w:cs="黑体"/>
              <w:szCs w:val="44"/>
            </w:rPr>
            <w:fldChar w:fldCharType="separate"/>
          </w:r>
          <w:r>
            <w:rPr>
              <w:rFonts w:ascii="Times New Roman" w:hAnsi="Times New Roman" w:eastAsia="楷体_GB2312" w:cs="Times New Roman"/>
            </w:rPr>
            <w:t>第二节</w:t>
          </w:r>
          <w:r>
            <w:rPr>
              <w:rFonts w:hint="eastAsia" w:ascii="Times New Roman" w:hAnsi="Times New Roman" w:cs="Times New Roman"/>
            </w:rPr>
            <w:t xml:space="preserve"> </w:t>
          </w:r>
          <w:r>
            <w:rPr>
              <w:rFonts w:ascii="Times New Roman" w:hAnsi="Times New Roman" w:eastAsia="楷体_GB2312" w:cs="Times New Roman"/>
            </w:rPr>
            <w:t xml:space="preserve"> 壮大农业现代化产业体系</w:t>
          </w:r>
          <w:r>
            <w:tab/>
          </w:r>
          <w:r>
            <w:fldChar w:fldCharType="begin"/>
          </w:r>
          <w:r>
            <w:instrText xml:space="preserve"> PAGEREF _Toc2527 \h </w:instrText>
          </w:r>
          <w:r>
            <w:fldChar w:fldCharType="separate"/>
          </w:r>
          <w:r>
            <w:t>87</w:t>
          </w:r>
          <w:r>
            <w:fldChar w:fldCharType="end"/>
          </w:r>
          <w:r>
            <w:rPr>
              <w:rFonts w:hint="eastAsia" w:ascii="黑体" w:hAnsi="黑体" w:eastAsia="黑体" w:cs="黑体"/>
              <w:szCs w:val="44"/>
            </w:rPr>
            <w:fldChar w:fldCharType="end"/>
          </w:r>
        </w:p>
        <w:p w14:paraId="65DD889B">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_Toc18045 </w:instrText>
          </w:r>
          <w:r>
            <w:rPr>
              <w:rFonts w:hint="eastAsia" w:ascii="黑体" w:hAnsi="黑体" w:eastAsia="黑体" w:cs="黑体"/>
              <w:szCs w:val="44"/>
            </w:rPr>
            <w:fldChar w:fldCharType="separate"/>
          </w:r>
          <w:r>
            <w:rPr>
              <w:rFonts w:hint="eastAsia" w:ascii="楷体_GB2312" w:hAnsi="楷体_GB2312" w:eastAsia="楷体_GB2312" w:cs="楷体_GB2312"/>
              <w:bCs/>
            </w:rPr>
            <w:t>第三节  打造和美乡村建设典范</w:t>
          </w:r>
          <w:r>
            <w:tab/>
          </w:r>
          <w:r>
            <w:fldChar w:fldCharType="begin"/>
          </w:r>
          <w:r>
            <w:instrText xml:space="preserve"> PAGEREF _Toc18045 \h </w:instrText>
          </w:r>
          <w:r>
            <w:fldChar w:fldCharType="separate"/>
          </w:r>
          <w:r>
            <w:t>92</w:t>
          </w:r>
          <w:r>
            <w:fldChar w:fldCharType="end"/>
          </w:r>
          <w:r>
            <w:rPr>
              <w:rFonts w:hint="eastAsia" w:ascii="黑体" w:hAnsi="黑体" w:eastAsia="黑体" w:cs="黑体"/>
              <w:szCs w:val="44"/>
            </w:rPr>
            <w:fldChar w:fldCharType="end"/>
          </w:r>
        </w:p>
        <w:p w14:paraId="5231AB2B">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_Toc15111 </w:instrText>
          </w:r>
          <w:r>
            <w:rPr>
              <w:rFonts w:hint="eastAsia" w:ascii="黑体" w:hAnsi="黑体" w:eastAsia="黑体" w:cs="黑体"/>
              <w:szCs w:val="44"/>
            </w:rPr>
            <w:fldChar w:fldCharType="separate"/>
          </w:r>
          <w:r>
            <w:rPr>
              <w:rFonts w:ascii="Times New Roman" w:hAnsi="Times New Roman" w:eastAsia="楷体_GB2312" w:cs="Times New Roman"/>
            </w:rPr>
            <w:t>第</w:t>
          </w:r>
          <w:r>
            <w:rPr>
              <w:rFonts w:ascii="Times New Roman" w:hAnsi="Times New Roman" w:cs="Times New Roman"/>
            </w:rPr>
            <w:t>四</w:t>
          </w:r>
          <w:r>
            <w:rPr>
              <w:rFonts w:ascii="Times New Roman" w:hAnsi="Times New Roman" w:eastAsia="楷体_GB2312" w:cs="Times New Roman"/>
            </w:rPr>
            <w:t>节</w:t>
          </w:r>
          <w:r>
            <w:rPr>
              <w:rFonts w:hint="eastAsia" w:ascii="楷体_GB2312" w:hAnsi="楷体_GB2312" w:eastAsia="楷体_GB2312" w:cs="楷体_GB2312"/>
            </w:rPr>
            <w:t xml:space="preserve">  </w:t>
          </w:r>
          <w:r>
            <w:rPr>
              <w:rFonts w:ascii="Times New Roman" w:hAnsi="Times New Roman" w:eastAsia="楷体_GB2312" w:cs="Times New Roman"/>
            </w:rPr>
            <w:t>持续深化农村重点领域改革</w:t>
          </w:r>
          <w:r>
            <w:tab/>
          </w:r>
          <w:r>
            <w:fldChar w:fldCharType="begin"/>
          </w:r>
          <w:r>
            <w:instrText xml:space="preserve"> PAGEREF _Toc15111 \h </w:instrText>
          </w:r>
          <w:r>
            <w:fldChar w:fldCharType="separate"/>
          </w:r>
          <w:r>
            <w:t>98</w:t>
          </w:r>
          <w:r>
            <w:fldChar w:fldCharType="end"/>
          </w:r>
          <w:r>
            <w:rPr>
              <w:rFonts w:hint="eastAsia" w:ascii="黑体" w:hAnsi="黑体" w:eastAsia="黑体" w:cs="黑体"/>
              <w:szCs w:val="44"/>
            </w:rPr>
            <w:fldChar w:fldCharType="end"/>
          </w:r>
        </w:p>
        <w:p w14:paraId="7C86C685">
          <w:pPr>
            <w:pStyle w:val="14"/>
            <w:tabs>
              <w:tab w:val="right" w:leader="dot" w:pos="8844"/>
            </w:tabs>
            <w:ind w:left="0" w:leftChars="0" w:firstLine="0" w:firstLineChars="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_Toc22890 </w:instrText>
          </w:r>
          <w:r>
            <w:rPr>
              <w:rFonts w:hint="eastAsia" w:ascii="黑体" w:hAnsi="黑体" w:eastAsia="黑体" w:cs="黑体"/>
              <w:szCs w:val="44"/>
            </w:rPr>
            <w:fldChar w:fldCharType="separate"/>
          </w:r>
          <w:r>
            <w:rPr>
              <w:rFonts w:hint="eastAsia" w:ascii="黑体" w:hAnsi="黑体" w:eastAsia="黑体" w:cs="黑体"/>
              <w:szCs w:val="32"/>
            </w:rPr>
            <w:t>第九章 激发沁水文化创新活力</w:t>
          </w:r>
          <w:r>
            <w:rPr>
              <w:rFonts w:hint="eastAsia" w:ascii="黑体" w:hAnsi="黑体" w:eastAsia="黑体" w:cs="黑体"/>
              <w:szCs w:val="32"/>
              <w:lang w:val="en-US" w:eastAsia="zh-CN"/>
            </w:rPr>
            <w:t xml:space="preserve"> </w:t>
          </w:r>
          <w:r>
            <w:rPr>
              <w:rFonts w:hint="eastAsia" w:ascii="黑体" w:hAnsi="黑体" w:eastAsia="黑体" w:cs="黑体"/>
              <w:szCs w:val="32"/>
            </w:rPr>
            <w:t>筑牢地域发展精神根基</w:t>
          </w:r>
          <w:r>
            <w:tab/>
          </w:r>
          <w:r>
            <w:fldChar w:fldCharType="begin"/>
          </w:r>
          <w:r>
            <w:instrText xml:space="preserve"> PAGEREF _Toc22890 \h </w:instrText>
          </w:r>
          <w:r>
            <w:fldChar w:fldCharType="separate"/>
          </w:r>
          <w:r>
            <w:t>100</w:t>
          </w:r>
          <w:r>
            <w:fldChar w:fldCharType="end"/>
          </w:r>
          <w:r>
            <w:rPr>
              <w:rFonts w:hint="eastAsia" w:ascii="黑体" w:hAnsi="黑体" w:eastAsia="黑体" w:cs="黑体"/>
              <w:szCs w:val="44"/>
            </w:rPr>
            <w:fldChar w:fldCharType="end"/>
          </w:r>
        </w:p>
        <w:p w14:paraId="16A73635">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_Toc22702 </w:instrText>
          </w:r>
          <w:r>
            <w:rPr>
              <w:rFonts w:hint="eastAsia" w:ascii="黑体" w:hAnsi="黑体" w:eastAsia="黑体" w:cs="黑体"/>
              <w:szCs w:val="44"/>
            </w:rPr>
            <w:fldChar w:fldCharType="separate"/>
          </w:r>
          <w:r>
            <w:rPr>
              <w:rFonts w:hint="eastAsia" w:ascii="楷体_GB2312" w:hAnsi="楷体_GB2312" w:eastAsia="楷体_GB2312" w:cs="楷体_GB2312"/>
            </w:rPr>
            <w:t>第一节  着力培育和践行社会主义核心价值观</w:t>
          </w:r>
          <w:r>
            <w:tab/>
          </w:r>
          <w:r>
            <w:fldChar w:fldCharType="begin"/>
          </w:r>
          <w:r>
            <w:instrText xml:space="preserve"> PAGEREF _Toc22702 \h </w:instrText>
          </w:r>
          <w:r>
            <w:fldChar w:fldCharType="separate"/>
          </w:r>
          <w:r>
            <w:t>100</w:t>
          </w:r>
          <w:r>
            <w:fldChar w:fldCharType="end"/>
          </w:r>
          <w:r>
            <w:rPr>
              <w:rFonts w:hint="eastAsia" w:ascii="黑体" w:hAnsi="黑体" w:eastAsia="黑体" w:cs="黑体"/>
              <w:szCs w:val="44"/>
            </w:rPr>
            <w:fldChar w:fldCharType="end"/>
          </w:r>
        </w:p>
        <w:p w14:paraId="35671CF5">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_Toc8265 </w:instrText>
          </w:r>
          <w:r>
            <w:rPr>
              <w:rFonts w:hint="eastAsia" w:ascii="黑体" w:hAnsi="黑体" w:eastAsia="黑体" w:cs="黑体"/>
              <w:szCs w:val="44"/>
            </w:rPr>
            <w:fldChar w:fldCharType="separate"/>
          </w:r>
          <w:r>
            <w:rPr>
              <w:rFonts w:hint="eastAsia" w:ascii="楷体_GB2312" w:hAnsi="楷体_GB2312" w:eastAsia="楷体_GB2312" w:cs="楷体_GB2312"/>
            </w:rPr>
            <w:t>第二节  推动文化事业和文化产业协同发展</w:t>
          </w:r>
          <w:r>
            <w:tab/>
          </w:r>
          <w:r>
            <w:fldChar w:fldCharType="begin"/>
          </w:r>
          <w:r>
            <w:instrText xml:space="preserve"> PAGEREF _Toc8265 \h </w:instrText>
          </w:r>
          <w:r>
            <w:fldChar w:fldCharType="separate"/>
          </w:r>
          <w:r>
            <w:t>101</w:t>
          </w:r>
          <w:r>
            <w:fldChar w:fldCharType="end"/>
          </w:r>
          <w:r>
            <w:rPr>
              <w:rFonts w:hint="eastAsia" w:ascii="黑体" w:hAnsi="黑体" w:eastAsia="黑体" w:cs="黑体"/>
              <w:szCs w:val="44"/>
            </w:rPr>
            <w:fldChar w:fldCharType="end"/>
          </w:r>
        </w:p>
        <w:p w14:paraId="299FA8B5">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_Toc15154 </w:instrText>
          </w:r>
          <w:r>
            <w:rPr>
              <w:rFonts w:hint="eastAsia" w:ascii="黑体" w:hAnsi="黑体" w:eastAsia="黑体" w:cs="黑体"/>
              <w:szCs w:val="44"/>
            </w:rPr>
            <w:fldChar w:fldCharType="separate"/>
          </w:r>
          <w:r>
            <w:rPr>
              <w:rFonts w:hint="eastAsia" w:ascii="楷体_GB2312" w:hAnsi="楷体_GB2312" w:eastAsia="楷体_GB2312" w:cs="楷体_GB2312"/>
            </w:rPr>
            <w:t>第三节  加强文化遗产保护传承与创新利用</w:t>
          </w:r>
          <w:r>
            <w:tab/>
          </w:r>
          <w:r>
            <w:fldChar w:fldCharType="begin"/>
          </w:r>
          <w:r>
            <w:instrText xml:space="preserve"> PAGEREF _Toc15154 \h </w:instrText>
          </w:r>
          <w:r>
            <w:fldChar w:fldCharType="separate"/>
          </w:r>
          <w:r>
            <w:t>103</w:t>
          </w:r>
          <w:r>
            <w:fldChar w:fldCharType="end"/>
          </w:r>
          <w:r>
            <w:rPr>
              <w:rFonts w:hint="eastAsia" w:ascii="黑体" w:hAnsi="黑体" w:eastAsia="黑体" w:cs="黑体"/>
              <w:szCs w:val="44"/>
            </w:rPr>
            <w:fldChar w:fldCharType="end"/>
          </w:r>
        </w:p>
        <w:p w14:paraId="3AF3088E">
          <w:pPr>
            <w:pStyle w:val="14"/>
            <w:tabs>
              <w:tab w:val="right" w:leader="dot" w:pos="8844"/>
            </w:tabs>
            <w:ind w:left="0" w:leftChars="0" w:firstLine="0" w:firstLineChars="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_Toc3965 </w:instrText>
          </w:r>
          <w:r>
            <w:rPr>
              <w:rFonts w:hint="eastAsia" w:ascii="黑体" w:hAnsi="黑体" w:eastAsia="黑体" w:cs="黑体"/>
              <w:szCs w:val="44"/>
            </w:rPr>
            <w:fldChar w:fldCharType="separate"/>
          </w:r>
          <w:r>
            <w:rPr>
              <w:rFonts w:hint="eastAsia" w:ascii="黑体" w:hAnsi="黑体" w:eastAsia="黑体" w:cs="黑体"/>
              <w:szCs w:val="32"/>
            </w:rPr>
            <w:t>第十章</w:t>
          </w:r>
          <w:r>
            <w:rPr>
              <w:rFonts w:hint="eastAsia" w:ascii="黑体" w:hAnsi="黑体" w:eastAsia="黑体" w:cs="黑体"/>
              <w:szCs w:val="32"/>
              <w:lang w:val="en-US" w:eastAsia="zh-CN"/>
            </w:rPr>
            <w:t xml:space="preserve"> </w:t>
          </w:r>
          <w:r>
            <w:rPr>
              <w:rFonts w:hint="eastAsia" w:ascii="黑体" w:hAnsi="黑体" w:eastAsia="黑体" w:cs="黑体"/>
              <w:szCs w:val="32"/>
            </w:rPr>
            <w:t>协同推进减污降碳扩绿增长</w:t>
          </w:r>
          <w:r>
            <w:rPr>
              <w:rFonts w:hint="eastAsia" w:ascii="黑体" w:hAnsi="黑体" w:eastAsia="黑体" w:cs="黑体"/>
              <w:szCs w:val="32"/>
              <w:lang w:val="en-US" w:eastAsia="zh-CN"/>
            </w:rPr>
            <w:t xml:space="preserve"> </w:t>
          </w:r>
          <w:r>
            <w:rPr>
              <w:rFonts w:hint="eastAsia" w:ascii="黑体" w:hAnsi="黑体" w:eastAsia="黑体" w:cs="黑体"/>
              <w:szCs w:val="32"/>
            </w:rPr>
            <w:t>厚植“如画沁水”生态底色</w:t>
          </w:r>
          <w:r>
            <w:tab/>
          </w:r>
          <w:r>
            <w:fldChar w:fldCharType="begin"/>
          </w:r>
          <w:r>
            <w:instrText xml:space="preserve"> PAGEREF _Toc3965 \h </w:instrText>
          </w:r>
          <w:r>
            <w:fldChar w:fldCharType="separate"/>
          </w:r>
          <w:r>
            <w:t>105</w:t>
          </w:r>
          <w:r>
            <w:fldChar w:fldCharType="end"/>
          </w:r>
          <w:r>
            <w:rPr>
              <w:rFonts w:hint="eastAsia" w:ascii="黑体" w:hAnsi="黑体" w:eastAsia="黑体" w:cs="黑体"/>
              <w:szCs w:val="44"/>
            </w:rPr>
            <w:fldChar w:fldCharType="end"/>
          </w:r>
        </w:p>
        <w:p w14:paraId="70AF713E">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_Toc29947 </w:instrText>
          </w:r>
          <w:r>
            <w:rPr>
              <w:rFonts w:hint="eastAsia" w:ascii="黑体" w:hAnsi="黑体" w:eastAsia="黑体" w:cs="黑体"/>
              <w:szCs w:val="44"/>
            </w:rPr>
            <w:fldChar w:fldCharType="separate"/>
          </w:r>
          <w:r>
            <w:rPr>
              <w:rFonts w:hint="eastAsia" w:ascii="楷体_GB2312" w:hAnsi="楷体_GB2312" w:eastAsia="楷体_GB2312" w:cs="楷体_GB2312"/>
            </w:rPr>
            <w:t>第一节  持续深入推进污染防治攻坚</w:t>
          </w:r>
          <w:r>
            <w:tab/>
          </w:r>
          <w:r>
            <w:fldChar w:fldCharType="begin"/>
          </w:r>
          <w:r>
            <w:instrText xml:space="preserve"> PAGEREF _Toc29947 \h </w:instrText>
          </w:r>
          <w:r>
            <w:fldChar w:fldCharType="separate"/>
          </w:r>
          <w:r>
            <w:t>105</w:t>
          </w:r>
          <w:r>
            <w:fldChar w:fldCharType="end"/>
          </w:r>
          <w:r>
            <w:rPr>
              <w:rFonts w:hint="eastAsia" w:ascii="黑体" w:hAnsi="黑体" w:eastAsia="黑体" w:cs="黑体"/>
              <w:szCs w:val="44"/>
            </w:rPr>
            <w:fldChar w:fldCharType="end"/>
          </w:r>
        </w:p>
        <w:p w14:paraId="433DD6C6">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_Toc26898 </w:instrText>
          </w:r>
          <w:r>
            <w:rPr>
              <w:rFonts w:hint="eastAsia" w:ascii="黑体" w:hAnsi="黑体" w:eastAsia="黑体" w:cs="黑体"/>
              <w:szCs w:val="44"/>
            </w:rPr>
            <w:fldChar w:fldCharType="separate"/>
          </w:r>
          <w:r>
            <w:rPr>
              <w:rFonts w:hint="eastAsia" w:ascii="楷体_GB2312" w:hAnsi="楷体_GB2312" w:eastAsia="楷体_GB2312" w:cs="楷体_GB2312"/>
            </w:rPr>
            <w:t>第二节  加强生态系统保护与修复</w:t>
          </w:r>
          <w:r>
            <w:tab/>
          </w:r>
          <w:r>
            <w:fldChar w:fldCharType="begin"/>
          </w:r>
          <w:r>
            <w:instrText xml:space="preserve"> PAGEREF _Toc26898 \h </w:instrText>
          </w:r>
          <w:r>
            <w:fldChar w:fldCharType="separate"/>
          </w:r>
          <w:r>
            <w:t>108</w:t>
          </w:r>
          <w:r>
            <w:fldChar w:fldCharType="end"/>
          </w:r>
          <w:r>
            <w:rPr>
              <w:rFonts w:hint="eastAsia" w:ascii="黑体" w:hAnsi="黑体" w:eastAsia="黑体" w:cs="黑体"/>
              <w:szCs w:val="44"/>
            </w:rPr>
            <w:fldChar w:fldCharType="end"/>
          </w:r>
        </w:p>
        <w:p w14:paraId="77A774FD">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_Toc31751 </w:instrText>
          </w:r>
          <w:r>
            <w:rPr>
              <w:rFonts w:hint="eastAsia" w:ascii="黑体" w:hAnsi="黑体" w:eastAsia="黑体" w:cs="黑体"/>
              <w:szCs w:val="44"/>
            </w:rPr>
            <w:fldChar w:fldCharType="separate"/>
          </w:r>
          <w:r>
            <w:rPr>
              <w:rFonts w:hint="eastAsia" w:ascii="楷体_GB2312" w:hAnsi="楷体_GB2312" w:eastAsia="楷体_GB2312" w:cs="楷体_GB2312"/>
            </w:rPr>
            <w:t>第三节  加强资源节约集约循环利用</w:t>
          </w:r>
          <w:r>
            <w:tab/>
          </w:r>
          <w:r>
            <w:fldChar w:fldCharType="begin"/>
          </w:r>
          <w:r>
            <w:instrText xml:space="preserve"> PAGEREF _Toc31751 \h </w:instrText>
          </w:r>
          <w:r>
            <w:fldChar w:fldCharType="separate"/>
          </w:r>
          <w:r>
            <w:t>112</w:t>
          </w:r>
          <w:r>
            <w:fldChar w:fldCharType="end"/>
          </w:r>
          <w:r>
            <w:rPr>
              <w:rFonts w:hint="eastAsia" w:ascii="黑体" w:hAnsi="黑体" w:eastAsia="黑体" w:cs="黑体"/>
              <w:szCs w:val="44"/>
            </w:rPr>
            <w:fldChar w:fldCharType="end"/>
          </w:r>
        </w:p>
        <w:p w14:paraId="6DCA697D">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_Toc7854 </w:instrText>
          </w:r>
          <w:r>
            <w:rPr>
              <w:rFonts w:hint="eastAsia" w:ascii="黑体" w:hAnsi="黑体" w:eastAsia="黑体" w:cs="黑体"/>
              <w:szCs w:val="44"/>
            </w:rPr>
            <w:fldChar w:fldCharType="separate"/>
          </w:r>
          <w:r>
            <w:rPr>
              <w:rFonts w:hint="eastAsia" w:ascii="楷体_GB2312" w:hAnsi="楷体_GB2312" w:eastAsia="楷体_GB2312" w:cs="楷体_GB2312"/>
            </w:rPr>
            <w:t>第四节  积极稳妥推进碳达峰沁水行动</w:t>
          </w:r>
          <w:r>
            <w:tab/>
          </w:r>
          <w:r>
            <w:fldChar w:fldCharType="begin"/>
          </w:r>
          <w:r>
            <w:instrText xml:space="preserve"> PAGEREF _Toc7854 \h </w:instrText>
          </w:r>
          <w:r>
            <w:fldChar w:fldCharType="separate"/>
          </w:r>
          <w:r>
            <w:t>115</w:t>
          </w:r>
          <w:r>
            <w:fldChar w:fldCharType="end"/>
          </w:r>
          <w:r>
            <w:rPr>
              <w:rFonts w:hint="eastAsia" w:ascii="黑体" w:hAnsi="黑体" w:eastAsia="黑体" w:cs="黑体"/>
              <w:szCs w:val="44"/>
            </w:rPr>
            <w:fldChar w:fldCharType="end"/>
          </w:r>
        </w:p>
        <w:p w14:paraId="71E70C89">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_Toc26774 </w:instrText>
          </w:r>
          <w:r>
            <w:rPr>
              <w:rFonts w:hint="eastAsia" w:ascii="黑体" w:hAnsi="黑体" w:eastAsia="黑体" w:cs="黑体"/>
              <w:szCs w:val="44"/>
            </w:rPr>
            <w:fldChar w:fldCharType="separate"/>
          </w:r>
          <w:r>
            <w:rPr>
              <w:rFonts w:hint="eastAsia" w:ascii="楷体_GB2312" w:hAnsi="楷体_GB2312" w:eastAsia="楷体_GB2312" w:cs="楷体_GB2312"/>
            </w:rPr>
            <w:t>第五节  培育全社会绿色生产生活方式</w:t>
          </w:r>
          <w:r>
            <w:tab/>
          </w:r>
          <w:r>
            <w:fldChar w:fldCharType="begin"/>
          </w:r>
          <w:r>
            <w:instrText xml:space="preserve"> PAGEREF _Toc26774 \h </w:instrText>
          </w:r>
          <w:r>
            <w:fldChar w:fldCharType="separate"/>
          </w:r>
          <w:r>
            <w:t>117</w:t>
          </w:r>
          <w:r>
            <w:fldChar w:fldCharType="end"/>
          </w:r>
          <w:r>
            <w:rPr>
              <w:rFonts w:hint="eastAsia" w:ascii="黑体" w:hAnsi="黑体" w:eastAsia="黑体" w:cs="黑体"/>
              <w:szCs w:val="44"/>
            </w:rPr>
            <w:fldChar w:fldCharType="end"/>
          </w:r>
        </w:p>
        <w:p w14:paraId="0C9C3A7E">
          <w:pPr>
            <w:pStyle w:val="14"/>
            <w:tabs>
              <w:tab w:val="right" w:leader="dot" w:pos="8844"/>
            </w:tabs>
            <w:ind w:left="0" w:leftChars="0" w:firstLine="0" w:firstLineChars="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_Toc26616 </w:instrText>
          </w:r>
          <w:r>
            <w:rPr>
              <w:rFonts w:hint="eastAsia" w:ascii="黑体" w:hAnsi="黑体" w:eastAsia="黑体" w:cs="黑体"/>
              <w:szCs w:val="44"/>
            </w:rPr>
            <w:fldChar w:fldCharType="separate"/>
          </w:r>
          <w:r>
            <w:rPr>
              <w:rFonts w:hint="eastAsia" w:ascii="黑体" w:hAnsi="黑体" w:eastAsia="黑体" w:cs="黑体"/>
              <w:szCs w:val="32"/>
            </w:rPr>
            <w:t>第十一章</w:t>
          </w:r>
          <w:r>
            <w:rPr>
              <w:rFonts w:hint="eastAsia" w:ascii="黑体" w:hAnsi="黑体" w:eastAsia="黑体" w:cs="黑体"/>
              <w:szCs w:val="32"/>
              <w:lang w:val="en-US" w:eastAsia="zh-CN"/>
            </w:rPr>
            <w:t xml:space="preserve"> </w:t>
          </w:r>
          <w:r>
            <w:rPr>
              <w:rFonts w:hint="eastAsia" w:ascii="黑体" w:hAnsi="黑体" w:eastAsia="黑体" w:cs="黑体"/>
              <w:szCs w:val="32"/>
            </w:rPr>
            <w:t>着力增强民生福祉</w:t>
          </w:r>
          <w:r>
            <w:rPr>
              <w:rFonts w:hint="eastAsia" w:ascii="黑体" w:hAnsi="黑体" w:eastAsia="黑体" w:cs="黑体"/>
              <w:szCs w:val="32"/>
              <w:lang w:val="en-US" w:eastAsia="zh-CN"/>
            </w:rPr>
            <w:t xml:space="preserve"> </w:t>
          </w:r>
          <w:r>
            <w:rPr>
              <w:rFonts w:hint="eastAsia" w:ascii="黑体" w:hAnsi="黑体" w:eastAsia="黑体" w:cs="黑体"/>
              <w:szCs w:val="32"/>
            </w:rPr>
            <w:t>全面打造共同富裕“沁水样板”</w:t>
          </w:r>
          <w:r>
            <w:tab/>
          </w:r>
          <w:r>
            <w:fldChar w:fldCharType="begin"/>
          </w:r>
          <w:r>
            <w:instrText xml:space="preserve"> PAGEREF _Toc26616 \h </w:instrText>
          </w:r>
          <w:r>
            <w:fldChar w:fldCharType="separate"/>
          </w:r>
          <w:r>
            <w:t>119</w:t>
          </w:r>
          <w:r>
            <w:fldChar w:fldCharType="end"/>
          </w:r>
          <w:r>
            <w:rPr>
              <w:rFonts w:hint="eastAsia" w:ascii="黑体" w:hAnsi="黑体" w:eastAsia="黑体" w:cs="黑体"/>
              <w:szCs w:val="44"/>
            </w:rPr>
            <w:fldChar w:fldCharType="end"/>
          </w:r>
        </w:p>
        <w:p w14:paraId="1BA86F37">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_Toc14965 </w:instrText>
          </w:r>
          <w:r>
            <w:rPr>
              <w:rFonts w:hint="eastAsia" w:ascii="黑体" w:hAnsi="黑体" w:eastAsia="黑体" w:cs="黑体"/>
              <w:szCs w:val="44"/>
            </w:rPr>
            <w:fldChar w:fldCharType="separate"/>
          </w:r>
          <w:r>
            <w:rPr>
              <w:rFonts w:hint="eastAsia" w:ascii="楷体_GB2312" w:hAnsi="楷体_GB2312" w:eastAsia="楷体_GB2312" w:cs="楷体_GB2312"/>
            </w:rPr>
            <w:t>第一节  促进更加充分更高质量就业</w:t>
          </w:r>
          <w:r>
            <w:tab/>
          </w:r>
          <w:r>
            <w:fldChar w:fldCharType="begin"/>
          </w:r>
          <w:r>
            <w:instrText xml:space="preserve"> PAGEREF _Toc14965 \h </w:instrText>
          </w:r>
          <w:r>
            <w:fldChar w:fldCharType="separate"/>
          </w:r>
          <w:r>
            <w:t>119</w:t>
          </w:r>
          <w:r>
            <w:fldChar w:fldCharType="end"/>
          </w:r>
          <w:r>
            <w:rPr>
              <w:rFonts w:hint="eastAsia" w:ascii="黑体" w:hAnsi="黑体" w:eastAsia="黑体" w:cs="黑体"/>
              <w:szCs w:val="44"/>
            </w:rPr>
            <w:fldChar w:fldCharType="end"/>
          </w:r>
        </w:p>
        <w:p w14:paraId="79ADC937">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_Toc22849 </w:instrText>
          </w:r>
          <w:r>
            <w:rPr>
              <w:rFonts w:hint="eastAsia" w:ascii="黑体" w:hAnsi="黑体" w:eastAsia="黑体" w:cs="黑体"/>
              <w:szCs w:val="44"/>
            </w:rPr>
            <w:fldChar w:fldCharType="separate"/>
          </w:r>
          <w:r>
            <w:rPr>
              <w:rFonts w:hint="eastAsia" w:ascii="楷体_GB2312" w:hAnsi="楷体_GB2312" w:eastAsia="楷体_GB2312" w:cs="楷体_GB2312"/>
            </w:rPr>
            <w:t>第二节  全力打造一流教育强县</w:t>
          </w:r>
          <w:r>
            <w:tab/>
          </w:r>
          <w:r>
            <w:fldChar w:fldCharType="begin"/>
          </w:r>
          <w:r>
            <w:instrText xml:space="preserve"> PAGEREF _Toc22849 \h </w:instrText>
          </w:r>
          <w:r>
            <w:fldChar w:fldCharType="separate"/>
          </w:r>
          <w:r>
            <w:t>121</w:t>
          </w:r>
          <w:r>
            <w:fldChar w:fldCharType="end"/>
          </w:r>
          <w:r>
            <w:rPr>
              <w:rFonts w:hint="eastAsia" w:ascii="黑体" w:hAnsi="黑体" w:eastAsia="黑体" w:cs="黑体"/>
              <w:szCs w:val="44"/>
            </w:rPr>
            <w:fldChar w:fldCharType="end"/>
          </w:r>
        </w:p>
        <w:p w14:paraId="31180065">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_Toc24964 </w:instrText>
          </w:r>
          <w:r>
            <w:rPr>
              <w:rFonts w:hint="eastAsia" w:ascii="黑体" w:hAnsi="黑体" w:eastAsia="黑体" w:cs="黑体"/>
              <w:szCs w:val="44"/>
            </w:rPr>
            <w:fldChar w:fldCharType="separate"/>
          </w:r>
          <w:r>
            <w:rPr>
              <w:rFonts w:ascii="Times New Roman" w:hAnsi="Times New Roman" w:eastAsia="楷体_GB2312" w:cs="Times New Roman"/>
              <w:bCs/>
            </w:rPr>
            <w:t>第</w:t>
          </w:r>
          <w:r>
            <w:rPr>
              <w:rFonts w:hint="eastAsia" w:ascii="Times New Roman" w:hAnsi="Times New Roman" w:eastAsia="楷体_GB2312" w:cs="Times New Roman"/>
              <w:bCs/>
            </w:rPr>
            <w:t>三</w:t>
          </w:r>
          <w:r>
            <w:rPr>
              <w:rFonts w:ascii="Times New Roman" w:hAnsi="Times New Roman" w:eastAsia="楷体_GB2312" w:cs="Times New Roman"/>
              <w:bCs/>
            </w:rPr>
            <w:t>节</w:t>
          </w:r>
          <w:r>
            <w:rPr>
              <w:rFonts w:hint="eastAsia" w:ascii="楷体_GB2312" w:hAnsi="楷体_GB2312" w:eastAsia="楷体_GB2312" w:cs="楷体_GB2312"/>
            </w:rPr>
            <w:t xml:space="preserve">  </w:t>
          </w:r>
          <w:r>
            <w:rPr>
              <w:rFonts w:ascii="Times New Roman" w:hAnsi="Times New Roman" w:eastAsia="楷体_GB2312" w:cs="Times New Roman"/>
              <w:bCs/>
            </w:rPr>
            <w:t>健全多层次社会保障体系</w:t>
          </w:r>
          <w:r>
            <w:tab/>
          </w:r>
          <w:r>
            <w:fldChar w:fldCharType="begin"/>
          </w:r>
          <w:r>
            <w:instrText xml:space="preserve"> PAGEREF _Toc24964 \h </w:instrText>
          </w:r>
          <w:r>
            <w:fldChar w:fldCharType="separate"/>
          </w:r>
          <w:r>
            <w:t>125</w:t>
          </w:r>
          <w:r>
            <w:fldChar w:fldCharType="end"/>
          </w:r>
          <w:r>
            <w:rPr>
              <w:rFonts w:hint="eastAsia" w:ascii="黑体" w:hAnsi="黑体" w:eastAsia="黑体" w:cs="黑体"/>
              <w:szCs w:val="44"/>
            </w:rPr>
            <w:fldChar w:fldCharType="end"/>
          </w:r>
        </w:p>
        <w:p w14:paraId="08D87BE2">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_Toc25718 </w:instrText>
          </w:r>
          <w:r>
            <w:rPr>
              <w:rFonts w:hint="eastAsia" w:ascii="黑体" w:hAnsi="黑体" w:eastAsia="黑体" w:cs="黑体"/>
              <w:szCs w:val="44"/>
            </w:rPr>
            <w:fldChar w:fldCharType="separate"/>
          </w:r>
          <w:r>
            <w:rPr>
              <w:rFonts w:ascii="Times New Roman" w:hAnsi="Times New Roman" w:eastAsia="楷体_GB2312" w:cs="Times New Roman"/>
              <w:bCs/>
            </w:rPr>
            <w:t>第</w:t>
          </w:r>
          <w:r>
            <w:rPr>
              <w:rFonts w:hint="eastAsia" w:ascii="Times New Roman" w:hAnsi="Times New Roman" w:eastAsia="楷体_GB2312" w:cs="Times New Roman"/>
              <w:bCs/>
            </w:rPr>
            <w:t>四</w:t>
          </w:r>
          <w:r>
            <w:rPr>
              <w:rFonts w:ascii="Times New Roman" w:hAnsi="Times New Roman" w:eastAsia="楷体_GB2312" w:cs="Times New Roman"/>
              <w:bCs/>
            </w:rPr>
            <w:t>节</w:t>
          </w:r>
          <w:r>
            <w:rPr>
              <w:rFonts w:hint="eastAsia" w:ascii="楷体_GB2312" w:hAnsi="楷体_GB2312" w:eastAsia="楷体_GB2312" w:cs="楷体_GB2312"/>
            </w:rPr>
            <w:t xml:space="preserve">  </w:t>
          </w:r>
          <w:r>
            <w:rPr>
              <w:rFonts w:ascii="Times New Roman" w:hAnsi="Times New Roman" w:eastAsia="楷体_GB2312" w:cs="Times New Roman"/>
              <w:bCs/>
            </w:rPr>
            <w:t>扎实推进健康沁水建设</w:t>
          </w:r>
          <w:r>
            <w:tab/>
          </w:r>
          <w:r>
            <w:fldChar w:fldCharType="begin"/>
          </w:r>
          <w:r>
            <w:instrText xml:space="preserve"> PAGEREF _Toc25718 \h </w:instrText>
          </w:r>
          <w:r>
            <w:fldChar w:fldCharType="separate"/>
          </w:r>
          <w:r>
            <w:t>127</w:t>
          </w:r>
          <w:r>
            <w:fldChar w:fldCharType="end"/>
          </w:r>
          <w:r>
            <w:rPr>
              <w:rFonts w:hint="eastAsia" w:ascii="黑体" w:hAnsi="黑体" w:eastAsia="黑体" w:cs="黑体"/>
              <w:szCs w:val="44"/>
            </w:rPr>
            <w:fldChar w:fldCharType="end"/>
          </w:r>
        </w:p>
        <w:p w14:paraId="3E55FEA5">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_Toc27485 </w:instrText>
          </w:r>
          <w:r>
            <w:rPr>
              <w:rFonts w:hint="eastAsia" w:ascii="黑体" w:hAnsi="黑体" w:eastAsia="黑体" w:cs="黑体"/>
              <w:szCs w:val="44"/>
            </w:rPr>
            <w:fldChar w:fldCharType="separate"/>
          </w:r>
          <w:r>
            <w:rPr>
              <w:rFonts w:hint="eastAsia" w:ascii="楷体_GB2312" w:hAnsi="楷体_GB2312" w:eastAsia="楷体_GB2312" w:cs="楷体_GB2312"/>
            </w:rPr>
            <w:t>第五节  全面加强“一老一小”关爱服务</w:t>
          </w:r>
          <w:r>
            <w:tab/>
          </w:r>
          <w:r>
            <w:fldChar w:fldCharType="begin"/>
          </w:r>
          <w:r>
            <w:instrText xml:space="preserve"> PAGEREF _Toc27485 \h </w:instrText>
          </w:r>
          <w:r>
            <w:fldChar w:fldCharType="separate"/>
          </w:r>
          <w:r>
            <w:t>131</w:t>
          </w:r>
          <w:r>
            <w:fldChar w:fldCharType="end"/>
          </w:r>
          <w:r>
            <w:rPr>
              <w:rFonts w:hint="eastAsia" w:ascii="黑体" w:hAnsi="黑体" w:eastAsia="黑体" w:cs="黑体"/>
              <w:szCs w:val="44"/>
            </w:rPr>
            <w:fldChar w:fldCharType="end"/>
          </w:r>
        </w:p>
        <w:p w14:paraId="3A3AB525">
          <w:pPr>
            <w:pStyle w:val="14"/>
            <w:tabs>
              <w:tab w:val="right" w:leader="dot" w:pos="8844"/>
            </w:tabs>
            <w:ind w:left="0" w:leftChars="0" w:firstLine="0" w:firstLineChars="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_Toc16036 </w:instrText>
          </w:r>
          <w:r>
            <w:rPr>
              <w:rFonts w:hint="eastAsia" w:ascii="黑体" w:hAnsi="黑体" w:eastAsia="黑体" w:cs="黑体"/>
              <w:szCs w:val="44"/>
            </w:rPr>
            <w:fldChar w:fldCharType="separate"/>
          </w:r>
          <w:r>
            <w:rPr>
              <w:rFonts w:hint="eastAsia" w:ascii="黑体" w:hAnsi="黑体" w:eastAsia="黑体" w:cs="黑体"/>
              <w:szCs w:val="32"/>
            </w:rPr>
            <w:t>第十二章</w:t>
          </w:r>
          <w:r>
            <w:rPr>
              <w:rFonts w:hint="eastAsia" w:ascii="黑体" w:hAnsi="黑体" w:eastAsia="黑体" w:cs="黑体"/>
              <w:szCs w:val="32"/>
              <w:lang w:val="en-US" w:eastAsia="zh-CN"/>
            </w:rPr>
            <w:t xml:space="preserve"> </w:t>
          </w:r>
          <w:r>
            <w:rPr>
              <w:rFonts w:hint="eastAsia" w:ascii="黑体" w:hAnsi="黑体" w:eastAsia="黑体" w:cs="黑体"/>
              <w:szCs w:val="32"/>
            </w:rPr>
            <w:t>强化党建引领基层治理</w:t>
          </w:r>
          <w:r>
            <w:rPr>
              <w:rFonts w:hint="eastAsia" w:ascii="黑体" w:hAnsi="黑体" w:eastAsia="黑体" w:cs="黑体"/>
              <w:szCs w:val="32"/>
              <w:lang w:val="en-US" w:eastAsia="zh-CN"/>
            </w:rPr>
            <w:t xml:space="preserve"> </w:t>
          </w:r>
          <w:r>
            <w:rPr>
              <w:rFonts w:hint="eastAsia" w:ascii="黑体" w:hAnsi="黑体" w:eastAsia="黑体" w:cs="黑体"/>
              <w:szCs w:val="32"/>
            </w:rPr>
            <w:t>建设更高水平平安沁水</w:t>
          </w:r>
          <w:r>
            <w:tab/>
          </w:r>
          <w:r>
            <w:fldChar w:fldCharType="begin"/>
          </w:r>
          <w:r>
            <w:instrText xml:space="preserve"> PAGEREF _Toc16036 \h </w:instrText>
          </w:r>
          <w:r>
            <w:fldChar w:fldCharType="separate"/>
          </w:r>
          <w:r>
            <w:t>133</w:t>
          </w:r>
          <w:r>
            <w:fldChar w:fldCharType="end"/>
          </w:r>
          <w:r>
            <w:rPr>
              <w:rFonts w:hint="eastAsia" w:ascii="黑体" w:hAnsi="黑体" w:eastAsia="黑体" w:cs="黑体"/>
              <w:szCs w:val="44"/>
            </w:rPr>
            <w:fldChar w:fldCharType="end"/>
          </w:r>
        </w:p>
        <w:p w14:paraId="7D010B73">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_Toc1866 </w:instrText>
          </w:r>
          <w:r>
            <w:rPr>
              <w:rFonts w:hint="eastAsia" w:ascii="黑体" w:hAnsi="黑体" w:eastAsia="黑体" w:cs="黑体"/>
              <w:szCs w:val="44"/>
            </w:rPr>
            <w:fldChar w:fldCharType="separate"/>
          </w:r>
          <w:r>
            <w:rPr>
              <w:rFonts w:ascii="Times New Roman" w:hAnsi="Times New Roman" w:eastAsia="楷体_GB2312" w:cs="Times New Roman"/>
              <w:bCs/>
              <w:szCs w:val="32"/>
            </w:rPr>
            <w:t>第一节</w:t>
          </w:r>
          <w:r>
            <w:rPr>
              <w:rFonts w:hint="eastAsia" w:ascii="楷体_GB2312" w:hAnsi="楷体_GB2312" w:eastAsia="楷体_GB2312" w:cs="楷体_GB2312"/>
            </w:rPr>
            <w:t xml:space="preserve">  </w:t>
          </w:r>
          <w:r>
            <w:rPr>
              <w:rFonts w:ascii="Times New Roman" w:hAnsi="Times New Roman" w:eastAsia="楷体_GB2312" w:cs="Times New Roman"/>
              <w:bCs/>
              <w:szCs w:val="32"/>
            </w:rPr>
            <w:t>全面实施党建引领基层治理</w:t>
          </w:r>
          <w:r>
            <w:tab/>
          </w:r>
          <w:r>
            <w:fldChar w:fldCharType="begin"/>
          </w:r>
          <w:r>
            <w:instrText xml:space="preserve"> PAGEREF _Toc1866 \h </w:instrText>
          </w:r>
          <w:r>
            <w:fldChar w:fldCharType="separate"/>
          </w:r>
          <w:r>
            <w:t>133</w:t>
          </w:r>
          <w:r>
            <w:fldChar w:fldCharType="end"/>
          </w:r>
          <w:r>
            <w:rPr>
              <w:rFonts w:hint="eastAsia" w:ascii="黑体" w:hAnsi="黑体" w:eastAsia="黑体" w:cs="黑体"/>
              <w:szCs w:val="44"/>
            </w:rPr>
            <w:fldChar w:fldCharType="end"/>
          </w:r>
        </w:p>
        <w:p w14:paraId="674260A9">
          <w:pPr>
            <w:pStyle w:val="15"/>
            <w:tabs>
              <w:tab w:val="right" w:leader="dot" w:pos="8844"/>
            </w:tabs>
            <w:ind w:left="0" w:leftChars="0" w:firstLine="640" w:firstLineChars="200"/>
            <w:rPr>
              <w:rFonts w:hint="eastAsia" w:ascii="黑体" w:hAnsi="黑体" w:eastAsia="黑体" w:cs="黑体"/>
              <w:szCs w:val="44"/>
            </w:rPr>
            <w:sectPr>
              <w:headerReference r:id="rId5" w:type="default"/>
              <w:footerReference r:id="rId6" w:type="default"/>
              <w:pgSz w:w="11906" w:h="16838"/>
              <w:pgMar w:top="1871" w:right="1531" w:bottom="1871" w:left="1531" w:header="851" w:footer="1417" w:gutter="0"/>
              <w:pgNumType w:start="1"/>
              <w:cols w:space="0" w:num="1"/>
              <w:docGrid w:type="lines" w:linePitch="312" w:charSpace="0"/>
            </w:sectPr>
          </w:pPr>
        </w:p>
        <w:p w14:paraId="6AFECAC7">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_Toc13973 </w:instrText>
          </w:r>
          <w:r>
            <w:rPr>
              <w:rFonts w:hint="eastAsia" w:ascii="黑体" w:hAnsi="黑体" w:eastAsia="黑体" w:cs="黑体"/>
              <w:szCs w:val="44"/>
            </w:rPr>
            <w:fldChar w:fldCharType="separate"/>
          </w:r>
          <w:r>
            <w:rPr>
              <w:rFonts w:hint="eastAsia" w:ascii="楷体_GB2312" w:hAnsi="楷体_GB2312" w:eastAsia="楷体_GB2312" w:cs="楷体_GB2312"/>
            </w:rPr>
            <w:t>第二节  完善应急管理体系建设</w:t>
          </w:r>
          <w:r>
            <w:tab/>
          </w:r>
          <w:r>
            <w:fldChar w:fldCharType="begin"/>
          </w:r>
          <w:r>
            <w:instrText xml:space="preserve"> PAGEREF _Toc13973 \h </w:instrText>
          </w:r>
          <w:r>
            <w:fldChar w:fldCharType="separate"/>
          </w:r>
          <w:r>
            <w:t>137</w:t>
          </w:r>
          <w:r>
            <w:fldChar w:fldCharType="end"/>
          </w:r>
          <w:r>
            <w:rPr>
              <w:rFonts w:hint="eastAsia" w:ascii="黑体" w:hAnsi="黑体" w:eastAsia="黑体" w:cs="黑体"/>
              <w:szCs w:val="44"/>
            </w:rPr>
            <w:fldChar w:fldCharType="end"/>
          </w:r>
        </w:p>
        <w:p w14:paraId="05A381F9">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_Toc23283 </w:instrText>
          </w:r>
          <w:r>
            <w:rPr>
              <w:rFonts w:hint="eastAsia" w:ascii="黑体" w:hAnsi="黑体" w:eastAsia="黑体" w:cs="黑体"/>
              <w:szCs w:val="44"/>
            </w:rPr>
            <w:fldChar w:fldCharType="separate"/>
          </w:r>
          <w:r>
            <w:rPr>
              <w:rFonts w:ascii="Times New Roman" w:hAnsi="Times New Roman" w:eastAsia="楷体_GB2312" w:cs="Times New Roman"/>
            </w:rPr>
            <w:t>第三节</w:t>
          </w:r>
          <w:r>
            <w:rPr>
              <w:rFonts w:hint="eastAsia" w:ascii="Times New Roman" w:hAnsi="Times New Roman" w:cs="Times New Roman"/>
            </w:rPr>
            <w:t xml:space="preserve"> </w:t>
          </w:r>
          <w:r>
            <w:rPr>
              <w:rFonts w:ascii="Times New Roman" w:hAnsi="Times New Roman" w:eastAsia="楷体_GB2312" w:cs="Times New Roman"/>
            </w:rPr>
            <w:t xml:space="preserve"> 推进社会治安防控体系现代化</w:t>
          </w:r>
          <w:r>
            <w:tab/>
          </w:r>
          <w:r>
            <w:fldChar w:fldCharType="begin"/>
          </w:r>
          <w:r>
            <w:instrText xml:space="preserve"> PAGEREF _Toc23283 \h </w:instrText>
          </w:r>
          <w:r>
            <w:fldChar w:fldCharType="separate"/>
          </w:r>
          <w:r>
            <w:t>139</w:t>
          </w:r>
          <w:r>
            <w:fldChar w:fldCharType="end"/>
          </w:r>
          <w:r>
            <w:rPr>
              <w:rFonts w:hint="eastAsia" w:ascii="黑体" w:hAnsi="黑体" w:eastAsia="黑体" w:cs="黑体"/>
              <w:szCs w:val="44"/>
            </w:rPr>
            <w:fldChar w:fldCharType="end"/>
          </w:r>
        </w:p>
        <w:p w14:paraId="70FCFA50">
          <w:pPr>
            <w:pStyle w:val="14"/>
            <w:tabs>
              <w:tab w:val="right" w:leader="dot" w:pos="8844"/>
            </w:tabs>
            <w:ind w:left="0" w:leftChars="0" w:firstLine="0" w:firstLineChars="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_Toc11592 </w:instrText>
          </w:r>
          <w:r>
            <w:rPr>
              <w:rFonts w:hint="eastAsia" w:ascii="黑体" w:hAnsi="黑体" w:eastAsia="黑体" w:cs="黑体"/>
              <w:szCs w:val="44"/>
            </w:rPr>
            <w:fldChar w:fldCharType="separate"/>
          </w:r>
          <w:r>
            <w:rPr>
              <w:rFonts w:hint="eastAsia" w:ascii="黑体" w:hAnsi="黑体" w:eastAsia="黑体" w:cs="黑体"/>
              <w:szCs w:val="32"/>
            </w:rPr>
            <w:t>第十三章</w:t>
          </w:r>
          <w:r>
            <w:rPr>
              <w:rFonts w:hint="eastAsia" w:ascii="黑体" w:hAnsi="黑体" w:eastAsia="黑体" w:cs="黑体"/>
              <w:szCs w:val="32"/>
              <w:lang w:val="en-US" w:eastAsia="zh-CN"/>
            </w:rPr>
            <w:t xml:space="preserve"> </w:t>
          </w:r>
          <w:r>
            <w:rPr>
              <w:rFonts w:hint="eastAsia" w:ascii="黑体" w:hAnsi="黑体" w:eastAsia="黑体" w:cs="黑体"/>
              <w:szCs w:val="32"/>
            </w:rPr>
            <w:t>坚持和加强党的全面领导</w:t>
          </w:r>
          <w:r>
            <w:rPr>
              <w:rFonts w:hint="eastAsia" w:ascii="黑体" w:hAnsi="黑体" w:eastAsia="黑体" w:cs="黑体"/>
              <w:szCs w:val="32"/>
              <w:lang w:val="en-US" w:eastAsia="zh-CN"/>
            </w:rPr>
            <w:t xml:space="preserve"> </w:t>
          </w:r>
          <w:r>
            <w:rPr>
              <w:rFonts w:hint="eastAsia" w:ascii="黑体" w:hAnsi="黑体" w:eastAsia="黑体" w:cs="黑体"/>
              <w:szCs w:val="32"/>
            </w:rPr>
            <w:t>完善规划实施保障</w:t>
          </w:r>
          <w:r>
            <w:tab/>
          </w:r>
          <w:r>
            <w:fldChar w:fldCharType="begin"/>
          </w:r>
          <w:r>
            <w:instrText xml:space="preserve"> PAGEREF _Toc11592 \h </w:instrText>
          </w:r>
          <w:r>
            <w:fldChar w:fldCharType="separate"/>
          </w:r>
          <w:r>
            <w:t>143</w:t>
          </w:r>
          <w:r>
            <w:fldChar w:fldCharType="end"/>
          </w:r>
          <w:r>
            <w:rPr>
              <w:rFonts w:hint="eastAsia" w:ascii="黑体" w:hAnsi="黑体" w:eastAsia="黑体" w:cs="黑体"/>
              <w:szCs w:val="44"/>
            </w:rPr>
            <w:fldChar w:fldCharType="end"/>
          </w:r>
        </w:p>
        <w:p w14:paraId="4C67366E">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_Toc13672 </w:instrText>
          </w:r>
          <w:r>
            <w:rPr>
              <w:rFonts w:hint="eastAsia" w:ascii="黑体" w:hAnsi="黑体" w:eastAsia="黑体" w:cs="黑体"/>
              <w:szCs w:val="44"/>
            </w:rPr>
            <w:fldChar w:fldCharType="separate"/>
          </w:r>
          <w:r>
            <w:rPr>
              <w:rFonts w:hint="eastAsia" w:ascii="楷体_GB2312" w:hAnsi="楷体_GB2312" w:eastAsia="楷体_GB2312" w:cs="楷体_GB2312"/>
            </w:rPr>
            <w:t>第一节  加强党的全面领导</w:t>
          </w:r>
          <w:r>
            <w:tab/>
          </w:r>
          <w:r>
            <w:fldChar w:fldCharType="begin"/>
          </w:r>
          <w:r>
            <w:instrText xml:space="preserve"> PAGEREF _Toc13672 \h </w:instrText>
          </w:r>
          <w:r>
            <w:fldChar w:fldCharType="separate"/>
          </w:r>
          <w:r>
            <w:t>143</w:t>
          </w:r>
          <w:r>
            <w:fldChar w:fldCharType="end"/>
          </w:r>
          <w:r>
            <w:rPr>
              <w:rFonts w:hint="eastAsia" w:ascii="黑体" w:hAnsi="黑体" w:eastAsia="黑体" w:cs="黑体"/>
              <w:szCs w:val="44"/>
            </w:rPr>
            <w:fldChar w:fldCharType="end"/>
          </w:r>
        </w:p>
        <w:p w14:paraId="0443A036">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_Toc10079 </w:instrText>
          </w:r>
          <w:r>
            <w:rPr>
              <w:rFonts w:hint="eastAsia" w:ascii="黑体" w:hAnsi="黑体" w:eastAsia="黑体" w:cs="黑体"/>
              <w:szCs w:val="44"/>
            </w:rPr>
            <w:fldChar w:fldCharType="separate"/>
          </w:r>
          <w:r>
            <w:rPr>
              <w:rFonts w:hint="eastAsia" w:ascii="楷体_GB2312" w:hAnsi="楷体_GB2312" w:eastAsia="楷体_GB2312" w:cs="楷体_GB2312"/>
            </w:rPr>
            <w:t>第二节  统筹规划体系建设</w:t>
          </w:r>
          <w:r>
            <w:tab/>
          </w:r>
          <w:r>
            <w:fldChar w:fldCharType="begin"/>
          </w:r>
          <w:r>
            <w:instrText xml:space="preserve"> PAGEREF _Toc10079 \h </w:instrText>
          </w:r>
          <w:r>
            <w:fldChar w:fldCharType="separate"/>
          </w:r>
          <w:r>
            <w:t>145</w:t>
          </w:r>
          <w:r>
            <w:fldChar w:fldCharType="end"/>
          </w:r>
          <w:r>
            <w:rPr>
              <w:rFonts w:hint="eastAsia" w:ascii="黑体" w:hAnsi="黑体" w:eastAsia="黑体" w:cs="黑体"/>
              <w:szCs w:val="44"/>
            </w:rPr>
            <w:fldChar w:fldCharType="end"/>
          </w:r>
        </w:p>
        <w:p w14:paraId="1F234D30">
          <w:pPr>
            <w:pStyle w:val="15"/>
            <w:tabs>
              <w:tab w:val="right" w:leader="dot" w:pos="8844"/>
            </w:tabs>
            <w:ind w:left="0" w:leftChars="0" w:firstLine="640" w:firstLineChars="200"/>
          </w:pPr>
          <w:r>
            <w:rPr>
              <w:rFonts w:hint="eastAsia" w:ascii="黑体" w:hAnsi="黑体" w:eastAsia="黑体" w:cs="黑体"/>
              <w:szCs w:val="44"/>
            </w:rPr>
            <w:fldChar w:fldCharType="begin"/>
          </w:r>
          <w:r>
            <w:rPr>
              <w:rFonts w:hint="eastAsia" w:ascii="黑体" w:hAnsi="黑体" w:eastAsia="黑体" w:cs="黑体"/>
              <w:szCs w:val="44"/>
            </w:rPr>
            <w:instrText xml:space="preserve"> HYPERLINK \l _Toc23400 </w:instrText>
          </w:r>
          <w:r>
            <w:rPr>
              <w:rFonts w:hint="eastAsia" w:ascii="黑体" w:hAnsi="黑体" w:eastAsia="黑体" w:cs="黑体"/>
              <w:szCs w:val="44"/>
            </w:rPr>
            <w:fldChar w:fldCharType="separate"/>
          </w:r>
          <w:r>
            <w:rPr>
              <w:rFonts w:hint="eastAsia" w:ascii="楷体_GB2312" w:hAnsi="楷体_GB2312" w:eastAsia="楷体_GB2312" w:cs="楷体_GB2312"/>
            </w:rPr>
            <w:t>第三节  完善规划实施机制</w:t>
          </w:r>
          <w:r>
            <w:tab/>
          </w:r>
          <w:r>
            <w:fldChar w:fldCharType="begin"/>
          </w:r>
          <w:r>
            <w:instrText xml:space="preserve"> PAGEREF _Toc23400 \h </w:instrText>
          </w:r>
          <w:r>
            <w:fldChar w:fldCharType="separate"/>
          </w:r>
          <w:r>
            <w:t>146</w:t>
          </w:r>
          <w:r>
            <w:fldChar w:fldCharType="end"/>
          </w:r>
          <w:r>
            <w:rPr>
              <w:rFonts w:hint="eastAsia" w:ascii="黑体" w:hAnsi="黑体" w:eastAsia="黑体" w:cs="黑体"/>
              <w:szCs w:val="44"/>
            </w:rPr>
            <w:fldChar w:fldCharType="end"/>
          </w:r>
        </w:p>
        <w:p w14:paraId="5022C97B">
          <w:pPr>
            <w:overflowPunct w:val="0"/>
            <w:spacing w:line="622" w:lineRule="exact"/>
            <w:ind w:firstLine="880"/>
            <w:rPr>
              <w:rFonts w:hint="eastAsia" w:ascii="黑体" w:hAnsi="黑体" w:eastAsia="黑体" w:cs="黑体"/>
              <w:kern w:val="2"/>
              <w:sz w:val="32"/>
              <w:szCs w:val="44"/>
              <w:lang w:val="en-US" w:eastAsia="zh-CN" w:bidi="ar-SA"/>
            </w:rPr>
          </w:pPr>
          <w:r>
            <w:rPr>
              <w:rFonts w:hint="eastAsia" w:ascii="黑体" w:hAnsi="黑体" w:eastAsia="黑体" w:cs="黑体"/>
              <w:szCs w:val="44"/>
            </w:rPr>
            <w:fldChar w:fldCharType="end"/>
          </w:r>
        </w:p>
      </w:sdtContent>
    </w:sdt>
    <w:p w14:paraId="0F84835E">
      <w:pPr>
        <w:pStyle w:val="2"/>
        <w:rPr>
          <w:rFonts w:hint="eastAsia"/>
        </w:rPr>
      </w:pPr>
    </w:p>
    <w:p w14:paraId="266AE331">
      <w:pPr>
        <w:overflowPunct w:val="0"/>
        <w:spacing w:line="622" w:lineRule="exact"/>
        <w:ind w:firstLine="0" w:firstLineChars="0"/>
        <w:jc w:val="center"/>
        <w:outlineLvl w:val="0"/>
        <w:rPr>
          <w:rFonts w:hint="eastAsia" w:ascii="方正小标宋简体" w:hAnsi="方正小标宋简体" w:eastAsia="方正小标宋简体" w:cs="方正小标宋简体"/>
          <w:sz w:val="44"/>
          <w:szCs w:val="44"/>
        </w:rPr>
        <w:sectPr>
          <w:footerReference r:id="rId7" w:type="default"/>
          <w:pgSz w:w="11906" w:h="16838"/>
          <w:pgMar w:top="1871" w:right="1531" w:bottom="1871" w:left="1531" w:header="851" w:footer="1417" w:gutter="0"/>
          <w:pgNumType w:fmt="decimal" w:start="1"/>
          <w:cols w:space="0" w:num="1"/>
          <w:docGrid w:type="lines" w:linePitch="312" w:charSpace="0"/>
        </w:sectPr>
      </w:pPr>
      <w:bookmarkStart w:id="0" w:name="_Toc18896"/>
    </w:p>
    <w:p w14:paraId="6198523E">
      <w:pPr>
        <w:overflowPunct w:val="0"/>
        <w:spacing w:line="622" w:lineRule="exact"/>
        <w:ind w:firstLine="0" w:firstLineChars="0"/>
        <w:jc w:val="center"/>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沁水县国民经济和社会发展</w:t>
      </w:r>
      <w:bookmarkEnd w:id="0"/>
    </w:p>
    <w:p w14:paraId="2B97F735">
      <w:pPr>
        <w:overflowPunct w:val="0"/>
        <w:spacing w:line="622" w:lineRule="exact"/>
        <w:ind w:firstLine="0" w:firstLineChars="0"/>
        <w:jc w:val="center"/>
        <w:outlineLvl w:val="0"/>
        <w:rPr>
          <w:rFonts w:hint="eastAsia" w:ascii="方正小标宋简体" w:hAnsi="方正小标宋简体" w:eastAsia="方正小标宋简体" w:cs="方正小标宋简体"/>
          <w:sz w:val="44"/>
          <w:szCs w:val="44"/>
        </w:rPr>
      </w:pPr>
      <w:bookmarkStart w:id="1" w:name="_Toc30142"/>
      <w:r>
        <w:rPr>
          <w:rFonts w:hint="eastAsia" w:ascii="方正小标宋简体" w:hAnsi="方正小标宋简体" w:eastAsia="方正小标宋简体" w:cs="方正小标宋简体"/>
          <w:sz w:val="44"/>
          <w:szCs w:val="44"/>
        </w:rPr>
        <w:t>第十五个五年规划纲要（草案）</w:t>
      </w:r>
      <w:bookmarkEnd w:id="1"/>
    </w:p>
    <w:p w14:paraId="7FF36831">
      <w:pPr>
        <w:overflowPunct w:val="0"/>
        <w:spacing w:line="622" w:lineRule="exact"/>
        <w:ind w:firstLine="640"/>
        <w:rPr>
          <w:rFonts w:ascii="Times New Roman" w:hAnsi="Times New Roman" w:cs="Times New Roman"/>
          <w:szCs w:val="32"/>
        </w:rPr>
      </w:pPr>
    </w:p>
    <w:p w14:paraId="37F12BFE">
      <w:pPr>
        <w:overflowPunct w:val="0"/>
        <w:spacing w:line="622" w:lineRule="exact"/>
        <w:ind w:firstLine="640"/>
        <w:rPr>
          <w:rFonts w:hint="eastAsia" w:ascii="仿宋_GB2312" w:hAnsi="仿宋_GB2312" w:cs="仿宋_GB2312"/>
          <w:spacing w:val="6"/>
          <w:szCs w:val="32"/>
        </w:rPr>
      </w:pPr>
      <w:r>
        <w:rPr>
          <w:rFonts w:hint="eastAsia" w:ascii="仿宋_GB2312" w:hAnsi="仿宋_GB2312" w:cs="仿宋_GB2312"/>
          <w:spacing w:val="6"/>
          <w:szCs w:val="32"/>
        </w:rPr>
        <w:t>沁水县国民经济和社会发展第十五个五年规划，</w:t>
      </w:r>
      <w:r>
        <w:rPr>
          <w:rFonts w:hint="eastAsia" w:ascii="仿宋_GB2312" w:eastAsia="仿宋_GB2312"/>
          <w:spacing w:val="4"/>
          <w:sz w:val="31"/>
          <w:szCs w:val="31"/>
          <w:highlight w:val="none"/>
        </w:rPr>
        <w:t>根据中共</w:t>
      </w:r>
      <w:r>
        <w:rPr>
          <w:rFonts w:hint="eastAsia" w:ascii="仿宋_GB2312"/>
          <w:spacing w:val="4"/>
          <w:sz w:val="31"/>
          <w:szCs w:val="31"/>
          <w:highlight w:val="none"/>
          <w:lang w:val="en-US" w:eastAsia="zh-CN"/>
        </w:rPr>
        <w:t>沁水县</w:t>
      </w:r>
      <w:r>
        <w:rPr>
          <w:rFonts w:hint="eastAsia" w:ascii="仿宋_GB2312" w:eastAsia="仿宋_GB2312"/>
          <w:spacing w:val="4"/>
          <w:sz w:val="31"/>
          <w:szCs w:val="31"/>
          <w:highlight w:val="none"/>
        </w:rPr>
        <w:t>委关于制定国民经济和社会发展第十五个五年规划的建议</w:t>
      </w:r>
      <w:r>
        <w:rPr>
          <w:rFonts w:hint="eastAsia" w:ascii="仿宋_GB2312"/>
          <w:spacing w:val="4"/>
          <w:sz w:val="31"/>
          <w:szCs w:val="31"/>
          <w:highlight w:val="none"/>
          <w:lang w:val="en-US" w:eastAsia="zh-CN"/>
        </w:rPr>
        <w:t>制定</w:t>
      </w:r>
      <w:r>
        <w:rPr>
          <w:rFonts w:hint="eastAsia" w:ascii="仿宋_GB2312" w:eastAsia="仿宋_GB2312"/>
          <w:spacing w:val="4"/>
          <w:sz w:val="31"/>
          <w:szCs w:val="31"/>
          <w:highlight w:val="none"/>
        </w:rPr>
        <w:t>，</w:t>
      </w:r>
      <w:r>
        <w:rPr>
          <w:rFonts w:hint="eastAsia" w:ascii="仿宋_GB2312" w:hAnsi="仿宋_GB2312" w:cs="仿宋_GB2312"/>
          <w:spacing w:val="6"/>
          <w:szCs w:val="32"/>
        </w:rPr>
        <w:t>主要明确未来五年经济社会发展的战略定位、建设目标、发展任务和重大举措，是党领导经济社会发展、政府履行职责的重要依据，是指导沁水未来发展的宏伟蓝图，是全县人民共同奋斗的行动纲领。</w:t>
      </w:r>
    </w:p>
    <w:p w14:paraId="3A31836B">
      <w:pPr>
        <w:overflowPunct w:val="0"/>
        <w:spacing w:line="622" w:lineRule="exact"/>
        <w:ind w:firstLine="640"/>
        <w:rPr>
          <w:rFonts w:ascii="Times New Roman" w:hAnsi="Times New Roman" w:cs="Times New Roman"/>
        </w:rPr>
      </w:pPr>
      <w:bookmarkStart w:id="2" w:name="_Toc7871"/>
    </w:p>
    <w:p w14:paraId="188B790A">
      <w:pPr>
        <w:overflowPunct w:val="0"/>
        <w:spacing w:line="622" w:lineRule="exact"/>
        <w:ind w:firstLine="0" w:firstLineChars="0"/>
        <w:jc w:val="center"/>
        <w:outlineLvl w:val="0"/>
        <w:rPr>
          <w:rFonts w:hint="eastAsia" w:ascii="黑体" w:hAnsi="黑体" w:eastAsia="黑体" w:cs="黑体"/>
          <w:szCs w:val="32"/>
        </w:rPr>
      </w:pPr>
      <w:bookmarkStart w:id="3" w:name="_Toc27013"/>
      <w:r>
        <w:rPr>
          <w:rFonts w:hint="eastAsia" w:ascii="黑体" w:hAnsi="黑体" w:eastAsia="黑体" w:cs="黑体"/>
          <w:szCs w:val="32"/>
        </w:rPr>
        <w:t>第一章  发展基础和面临的形势</w:t>
      </w:r>
      <w:bookmarkEnd w:id="2"/>
      <w:bookmarkEnd w:id="3"/>
    </w:p>
    <w:p w14:paraId="39AF2DF4">
      <w:pPr>
        <w:overflowPunct w:val="0"/>
        <w:spacing w:line="622" w:lineRule="exact"/>
        <w:ind w:firstLine="640"/>
        <w:rPr>
          <w:rFonts w:ascii="Times New Roman" w:hAnsi="Times New Roman" w:cs="Times New Roman"/>
          <w:szCs w:val="32"/>
        </w:rPr>
      </w:pPr>
    </w:p>
    <w:p w14:paraId="1082C1C2">
      <w:pPr>
        <w:overflowPunct w:val="0"/>
        <w:spacing w:line="622" w:lineRule="exact"/>
        <w:ind w:firstLine="640"/>
        <w:rPr>
          <w:rFonts w:ascii="Times New Roman" w:hAnsi="Times New Roman" w:cs="仿宋_GB2312"/>
          <w:bCs/>
          <w:kern w:val="0"/>
          <w:szCs w:val="32"/>
          <w:shd w:val="clear" w:color="auto" w:fill="FFFFFF"/>
        </w:rPr>
      </w:pPr>
      <w:r>
        <w:rPr>
          <w:rFonts w:hint="eastAsia" w:ascii="Times New Roman" w:hAnsi="Times New Roman" w:cs="Times New Roman"/>
          <w:szCs w:val="32"/>
        </w:rPr>
        <w:t>“十四五”时期是沁水</w:t>
      </w:r>
      <w:r>
        <w:rPr>
          <w:rFonts w:ascii="Times New Roman" w:hAnsi="Times New Roman" w:cs="Times New Roman"/>
          <w:szCs w:val="32"/>
        </w:rPr>
        <w:t>发展历程中极不寻常、极不平凡的五年</w:t>
      </w:r>
      <w:r>
        <w:rPr>
          <w:rFonts w:hint="eastAsia" w:ascii="Times New Roman" w:hAnsi="Times New Roman" w:cs="Times New Roman"/>
          <w:szCs w:val="32"/>
        </w:rPr>
        <w:t>，是全县人民加压奋进、勇毅前行的五年。</w:t>
      </w:r>
      <w:r>
        <w:rPr>
          <w:rFonts w:ascii="Times New Roman" w:hAnsi="Times New Roman" w:cs="Times New Roman"/>
          <w:bCs/>
          <w:kern w:val="0"/>
          <w:szCs w:val="32"/>
          <w:shd w:val="clear" w:color="auto" w:fill="FFFFFF"/>
        </w:rPr>
        <w:t>面对复杂严峻的国内外形势和艰巨繁重的转型发展任务，全县上下以习近平新时代中国特色社会主义思想为指导，攻坚克难、锐意进取，</w:t>
      </w:r>
      <w:r>
        <w:rPr>
          <w:rFonts w:hint="eastAsia" w:ascii="Times New Roman" w:hAnsi="Times New Roman" w:cs="仿宋_GB2312"/>
          <w:bCs/>
          <w:kern w:val="0"/>
          <w:szCs w:val="32"/>
          <w:shd w:val="clear" w:color="auto" w:fill="FFFFFF"/>
        </w:rPr>
        <w:t>顺利完成“十四五”发展规划的主要目标任务，为“十五五”时期全县高质量高速度发展奠定了良好基础。</w:t>
      </w:r>
    </w:p>
    <w:p w14:paraId="034FFA55">
      <w:pPr>
        <w:overflowPunct w:val="0"/>
        <w:spacing w:line="622" w:lineRule="exact"/>
        <w:ind w:firstLine="640"/>
        <w:rPr>
          <w:rFonts w:ascii="Times New Roman" w:hAnsi="Times New Roman" w:eastAsia="楷体_GB2312" w:cs="Times New Roman"/>
        </w:rPr>
      </w:pPr>
      <w:bookmarkStart w:id="4" w:name="_Toc3725"/>
    </w:p>
    <w:p w14:paraId="2E4353F7">
      <w:pPr>
        <w:overflowPunct w:val="0"/>
        <w:spacing w:line="622" w:lineRule="exact"/>
        <w:ind w:firstLine="0" w:firstLineChars="0"/>
        <w:jc w:val="center"/>
        <w:outlineLvl w:val="1"/>
        <w:rPr>
          <w:rFonts w:hint="eastAsia" w:ascii="楷体_GB2312" w:hAnsi="楷体_GB2312" w:eastAsia="楷体_GB2312" w:cs="楷体_GB2312"/>
        </w:rPr>
      </w:pPr>
      <w:bookmarkStart w:id="5" w:name="_Toc31910"/>
      <w:r>
        <w:rPr>
          <w:rFonts w:hint="eastAsia" w:ascii="楷体_GB2312" w:hAnsi="楷体_GB2312" w:eastAsia="楷体_GB2312" w:cs="楷体_GB2312"/>
        </w:rPr>
        <w:t>第一节  “十四五”发展成就</w:t>
      </w:r>
      <w:bookmarkEnd w:id="4"/>
      <w:bookmarkEnd w:id="5"/>
    </w:p>
    <w:p w14:paraId="67F8F057">
      <w:pPr>
        <w:overflowPunct w:val="0"/>
        <w:spacing w:line="622" w:lineRule="exact"/>
        <w:ind w:firstLine="640"/>
        <w:rPr>
          <w:rFonts w:ascii="Times New Roman" w:hAnsi="Times New Roman" w:cs="Times New Roman"/>
          <w:szCs w:val="32"/>
        </w:rPr>
      </w:pPr>
    </w:p>
    <w:p w14:paraId="542920A2">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五年来，</w:t>
      </w:r>
      <w:r>
        <w:rPr>
          <w:rFonts w:hint="eastAsia" w:ascii="仿宋_GB2312" w:hAnsi="仿宋_GB2312" w:cs="仿宋_GB2312"/>
          <w:color w:val="000000" w:themeColor="text1"/>
          <w:szCs w:val="32"/>
          <w14:textFill>
            <w14:solidFill>
              <w14:schemeClr w14:val="tx1"/>
            </w14:solidFill>
          </w14:textFill>
        </w:rPr>
        <w:t>县委、县政府认真贯彻落实党中央、国务院和省委、省政府、市委、市政府重大决策，持续实施“三地三区五提升”战略部署，</w:t>
      </w:r>
      <w:r>
        <w:rPr>
          <w:rFonts w:hint="eastAsia" w:ascii="仿宋_GB2312" w:hAnsi="仿宋_GB2312" w:cs="仿宋_GB2312"/>
          <w:szCs w:val="32"/>
        </w:rPr>
        <w:t>扎实推进高质量发展，不断深化全方位转型，经济社会发展取得重大成就。</w:t>
      </w:r>
    </w:p>
    <w:p w14:paraId="48D5B753">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县域综合实力稳步攀升。</w:t>
      </w:r>
      <w:r>
        <w:rPr>
          <w:rFonts w:hint="eastAsia" w:ascii="仿宋_GB2312" w:hAnsi="仿宋_GB2312" w:cs="仿宋_GB2312"/>
          <w:szCs w:val="32"/>
        </w:rPr>
        <w:t>“十四五”期间，全县地区生产总值将近翻一番，</w:t>
      </w:r>
      <w:r>
        <w:rPr>
          <w:rFonts w:hint="eastAsia" w:ascii="仿宋_GB2312" w:hAnsi="仿宋_GB2312" w:cs="仿宋_GB2312"/>
          <w:color w:val="000000" w:themeColor="text1"/>
          <w:szCs w:val="32"/>
          <w14:textFill>
            <w14:solidFill>
              <w14:schemeClr w14:val="tx1"/>
            </w14:solidFill>
          </w14:textFill>
        </w:rPr>
        <w:t>年均增长8.5%，连续5年稳居全省91个县（市）前十，</w:t>
      </w:r>
      <w:r>
        <w:rPr>
          <w:rFonts w:hint="eastAsia" w:ascii="仿宋_GB2312" w:hAnsi="仿宋_GB2312" w:cs="仿宋_GB2312"/>
          <w:szCs w:val="32"/>
        </w:rPr>
        <w:t>成功上榜“2024中国中部地区综合竞争力百强县市”。全县规上工业增加值年均增长10.5%，沁水经济技术开发区规上工业增加值达114.1亿元，总量居全省71个工业类开发区第6位。一般公共预算收入由16.2亿元增长到36.3亿元，年均增长17.5%，连续4年位居全省前十。全社会固定资产投资总额增幅近95%，年均增长14.3%，总量挺进全省前十。社会消费品零售总额由26.8亿元增长到39.9亿元，年均增长8.3%。城镇居民人均可支配收入、农村居民人均可支配收入分别增长31.5%、50.5%。</w:t>
      </w:r>
    </w:p>
    <w:p w14:paraId="49E6C823">
      <w:pPr>
        <w:overflowPunct w:val="0"/>
        <w:spacing w:line="622" w:lineRule="exact"/>
        <w:ind w:firstLine="643"/>
        <w:rPr>
          <w:rFonts w:hint="eastAsia" w:ascii="仿宋_GB2312" w:hAnsi="仿宋_GB2312" w:cs="仿宋_GB2312"/>
        </w:rPr>
      </w:pPr>
      <w:r>
        <w:rPr>
          <w:rFonts w:hint="eastAsia" w:ascii="仿宋_GB2312" w:hAnsi="仿宋_GB2312" w:cs="仿宋_GB2312"/>
          <w:b/>
          <w:bCs/>
          <w:szCs w:val="32"/>
        </w:rPr>
        <w:t>能源产业厚积起势。</w:t>
      </w:r>
      <w:r>
        <w:rPr>
          <w:rFonts w:hint="eastAsia" w:ascii="仿宋_GB2312" w:hAnsi="仿宋_GB2312" w:cs="仿宋_GB2312"/>
          <w:szCs w:val="32"/>
        </w:rPr>
        <w:t>煤炭产业压舱石作用持续巩固，原煤产量连续三年保持在4000万吨以上</w:t>
      </w:r>
      <w:r>
        <w:rPr>
          <w:rFonts w:hint="eastAsia" w:ascii="仿宋_GB2312" w:hAnsi="仿宋_GB2312" w:cs="仿宋_GB2312"/>
          <w:kern w:val="32"/>
          <w:szCs w:val="32"/>
        </w:rPr>
        <w:t>；</w:t>
      </w:r>
      <w:r>
        <w:rPr>
          <w:rFonts w:hint="eastAsia" w:ascii="仿宋_GB2312" w:hAnsi="仿宋_GB2312" w:cs="仿宋_GB2312"/>
          <w:szCs w:val="32"/>
        </w:rPr>
        <w:t>煤炭行业重点项目有序实施，累计实施煤炭重点项目71个，完成投资141.21亿元，较“十三五”期间增长44.7%，沁裕煤矿投产达效，永安宏泰煤矿进入试运行阶段，东大、里必、郑庄等大型骨干矿井及配套铁路专用线稳步推进；</w:t>
      </w:r>
      <w:r>
        <w:rPr>
          <w:rFonts w:hint="eastAsia" w:ascii="仿宋_GB2312" w:hAnsi="仿宋_GB2312" w:cs="仿宋_GB2312"/>
          <w:kern w:val="32"/>
          <w:szCs w:val="32"/>
        </w:rPr>
        <w:t>煤矿智能化建设加快推进，“十四五”前四年，全县累计建成智能化煤矿7座、57处智能化采掘工作面，</w:t>
      </w:r>
      <w:r>
        <w:rPr>
          <w:rFonts w:hint="eastAsia" w:ascii="仿宋_GB2312" w:hAnsi="仿宋_GB2312" w:cs="仿宋_GB2312"/>
          <w:szCs w:val="32"/>
        </w:rPr>
        <w:t>煤炭先进产能占比达到100%。煤层气产业全链条发展成效显著，产量、液化量连续10年位居省市第一，“十四五”期间，产量增加18.3亿方，年均增幅7%，液化量增加17.8万吨，年均增幅4.7%。马必、潘庄、郑庄、柿庄等区块持续开发；煤层气储运网络不断完善，中石油中央处理厂三期建成投运，京津冀LNG调峰储备中心液化单元即将试运行，沁水煤层气增压站</w:t>
      </w:r>
      <w:r>
        <w:rPr>
          <w:rFonts w:hint="eastAsia" w:ascii="仿宋_GB2312" w:hAnsi="仿宋_GB2312" w:cs="仿宋_GB2312"/>
        </w:rPr>
        <w:t>建成</w:t>
      </w:r>
      <w:r>
        <w:rPr>
          <w:rFonts w:hint="eastAsia" w:ascii="仿宋_GB2312" w:hAnsi="仿宋_GB2312" w:cs="仿宋_GB2312"/>
          <w:szCs w:val="32"/>
        </w:rPr>
        <w:t>投用，管网密度达117米/平方公里，居全省第一。</w:t>
      </w:r>
      <w:r>
        <w:rPr>
          <w:rFonts w:hint="eastAsia" w:ascii="仿宋_GB2312" w:hAnsi="仿宋_GB2312" w:cs="仿宋_GB2312"/>
        </w:rPr>
        <w:t>新能源产业提质增量，全县新能源和清洁能源总装机容量达到1695兆瓦，同比增长27.9%，装机容量和发电量均居全市第一；国能沁水、金风天翼、华电沁水、华能中来4个光伏发电项目全容量并网，中电农创一期、二期2个光伏发电项目顺利开工，常店瓦斯发电项目具备并网条件，新增并网装机容量370兆瓦。</w:t>
      </w:r>
    </w:p>
    <w:p w14:paraId="3598D084">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产业转型升级成效显著。</w:t>
      </w:r>
      <w:r>
        <w:rPr>
          <w:rFonts w:hint="eastAsia" w:ascii="仿宋_GB2312" w:hAnsi="仿宋_GB2312" w:cs="仿宋_GB2312"/>
          <w:szCs w:val="32"/>
        </w:rPr>
        <w:t>传统能源产业转型步伐加快，煤炭先进产能占比达到100%，成立全省唯一的煤层气全产业链研发中心。战略性新兴产业加速发展，2025年，全县规模以上工业企业数量较“十三五”末增长39家，规模以上工业战略性新兴产业增加值完成67.3亿元，较“十三五”末增长28.8%。中电农创、鹏飞集团、上海骐杰等龙头企业落地并投产，被评为全国首批自然资源节约集约示范县。产业链、开发区、专业镇三大抓手同步发力，转型动能不断积蓄。煤层气、装备制造、现代医药、优质农产品、肉产品加工等五条产业链加快构建，肉鸡、黑山羊、食用菌、三文鱼等特色产业扩规提档，三文鱼养殖基地知名度不断扩大；华月沁谷、骐杰、大来药业3家企业入选省级产业链链上企业。以开发区为核心的“沁河碳谷”建设初具雏形，高端碳基复合材料产业示范基地加快建设，开发区规上工业增加值总量位居全省同类前十。建成煤层气、道地药材等4个市级专业镇。沁水蜂蜜入选全国名特优新农产品名录，蜂蜜、黑山羊、道地药材专业镇实现营收3.33亿元。</w:t>
      </w:r>
    </w:p>
    <w:p w14:paraId="42841DB6">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文旅康养目的地建设初见成效。</w:t>
      </w:r>
      <w:r>
        <w:rPr>
          <w:rFonts w:hint="eastAsia" w:ascii="仿宋_GB2312" w:hAnsi="仿宋_GB2312" w:cs="仿宋_GB2312"/>
          <w:szCs w:val="32"/>
        </w:rPr>
        <w:t>坚持把全县域作为功能完整的文旅康养目的地来规划建设，推动全域整合、全域布局、全域宣传。我县成功被认定为山西省全域旅游示范区。组建县文旅集团，以市场化机制</w:t>
      </w:r>
      <w:r>
        <w:rPr>
          <w:rFonts w:hint="eastAsia" w:ascii="仿宋_GB2312" w:hAnsi="仿宋_GB2312" w:cs="仿宋_GB2312"/>
        </w:rPr>
        <w:t>推进全域文旅资源优化配置</w:t>
      </w:r>
      <w:r>
        <w:rPr>
          <w:rFonts w:hint="eastAsia" w:ascii="仿宋_GB2312" w:hAnsi="仿宋_GB2312" w:cs="仿宋_GB2312"/>
          <w:szCs w:val="32"/>
        </w:rPr>
        <w:t>，县旅游集散服务体验中心即将投入运营。多层级文旅康养目的地体系基本形成，以太行一号文旅康养和乡村振兴融合发展示范带、百里沁河生态经济带为牵引，湘峪古堡大景区加速推进，树理小镇、郎壁红色休闲康养特色村、沁河休闲农庄、樊山天街等一批特色景区景点持续“火爆出圈”，中村镇、土沃乡获评省级乡村旅游重点乡镇，下川村、尉迟村获评省级乡村旅游重点村，张马村、张村村、应郭村三个新建特色康养村有序推进，形成了多点支撑、错位发展的格局。体旅融合不断深化，连续7年举办沁水半程马拉松赛，吸引全国27省市选手参赛，成功举办“村BA”“自行车公开赛”等赛事，带动“赛事经济”持续增长，文化惠民活动深入推进，精心打造树理书场、树理周末公益剧场等文化服务品牌，深入开展“五个一批”群众文化惠民活动，轮番举办“游千年古县品如画沁水”全国“四季村晚”示范展示、“礼赞新中国·逐梦新时代”群众消夏晚会、《李家山竹马》入列第六批省级非遗项目保护名录，荣获“中国曲艺之乡”称号。县域旅游热度持续攀升，2025年全县接待游客同比增长33%，旅游综合性收入同比增长200%</w:t>
      </w:r>
      <w:r>
        <w:rPr>
          <w:rFonts w:hint="eastAsia" w:ascii="仿宋_GB2312" w:hAnsi="仿宋_GB2312" w:cs="仿宋_GB2312"/>
        </w:rPr>
        <w:t>。</w:t>
      </w:r>
      <w:r>
        <w:rPr>
          <w:rFonts w:hint="eastAsia" w:ascii="仿宋_GB2312" w:hAnsi="仿宋_GB2312" w:cs="仿宋_GB2312"/>
          <w:szCs w:val="32"/>
        </w:rPr>
        <w:t>全域宣传持续创新，成功举办“山水有约如画沁水”2025年赵树理文旅康养品牌宣介暨百家旅行社采风活动，</w:t>
      </w:r>
      <w:r>
        <w:rPr>
          <w:rFonts w:hint="eastAsia" w:ascii="仿宋_GB2312" w:hAnsi="仿宋_GB2312" w:cs="仿宋_GB2312"/>
        </w:rPr>
        <w:t>推介发布</w:t>
      </w:r>
      <w:r>
        <w:rPr>
          <w:rFonts w:hint="eastAsia" w:ascii="仿宋_GB2312" w:hAnsi="仿宋_GB2312" w:cs="仿宋_GB2312"/>
          <w:szCs w:val="32"/>
        </w:rPr>
        <w:t>4</w:t>
      </w:r>
      <w:r>
        <w:rPr>
          <w:rFonts w:hint="eastAsia" w:ascii="仿宋_GB2312" w:hAnsi="仿宋_GB2312" w:cs="仿宋_GB2312"/>
        </w:rPr>
        <w:t>项文旅政策，创新打造</w:t>
      </w:r>
      <w:r>
        <w:rPr>
          <w:rFonts w:hint="eastAsia" w:ascii="仿宋_GB2312" w:hAnsi="仿宋_GB2312" w:cs="仿宋_GB2312"/>
          <w:szCs w:val="32"/>
        </w:rPr>
        <w:t>6</w:t>
      </w:r>
      <w:r>
        <w:rPr>
          <w:rFonts w:hint="eastAsia" w:ascii="仿宋_GB2312" w:hAnsi="仿宋_GB2312" w:cs="仿宋_GB2312"/>
        </w:rPr>
        <w:t>条精品旅游线路，新达成合作近</w:t>
      </w:r>
      <w:r>
        <w:rPr>
          <w:rFonts w:hint="eastAsia" w:ascii="仿宋_GB2312" w:hAnsi="仿宋_GB2312" w:cs="仿宋_GB2312"/>
          <w:szCs w:val="32"/>
        </w:rPr>
        <w:t>50</w:t>
      </w:r>
      <w:r>
        <w:rPr>
          <w:rFonts w:hint="eastAsia" w:ascii="仿宋_GB2312" w:hAnsi="仿宋_GB2312" w:cs="仿宋_GB2312"/>
        </w:rPr>
        <w:t>项，</w:t>
      </w:r>
      <w:r>
        <w:rPr>
          <w:rFonts w:hint="eastAsia" w:ascii="仿宋_GB2312" w:hAnsi="仿宋_GB2312" w:cs="仿宋_GB2312"/>
          <w:szCs w:val="32"/>
        </w:rPr>
        <w:t>鱼化龙”和“狮狮如意”文创产品在中国旅游商品大赛中斩获全省唯一奖项，品牌影响力有效提升。</w:t>
      </w:r>
    </w:p>
    <w:p w14:paraId="6174AD13">
      <w:pPr>
        <w:pStyle w:val="10"/>
        <w:overflowPunct w:val="0"/>
        <w:spacing w:after="0" w:line="622" w:lineRule="exact"/>
        <w:ind w:firstLine="643"/>
        <w:rPr>
          <w:rFonts w:hint="eastAsia" w:ascii="仿宋_GB2312" w:hAnsi="仿宋_GB2312" w:cs="仿宋_GB2312"/>
          <w:szCs w:val="32"/>
        </w:rPr>
      </w:pPr>
      <w:r>
        <w:rPr>
          <w:rFonts w:hint="eastAsia" w:ascii="仿宋_GB2312" w:hAnsi="仿宋_GB2312" w:cs="仿宋_GB2312"/>
          <w:b/>
          <w:bCs/>
          <w:szCs w:val="32"/>
        </w:rPr>
        <w:t>企业创新动能加快积蓄。</w:t>
      </w:r>
      <w:r>
        <w:rPr>
          <w:rFonts w:hint="eastAsia" w:ascii="仿宋_GB2312" w:hAnsi="仿宋_GB2312" w:cs="仿宋_GB2312"/>
          <w:szCs w:val="32"/>
        </w:rPr>
        <w:t>创新主体培育量质提升，截</w:t>
      </w:r>
      <w:r>
        <w:rPr>
          <w:rFonts w:hint="eastAsia" w:ascii="仿宋_GB2312" w:hAnsi="仿宋_GB2312" w:cs="仿宋_GB2312"/>
          <w:szCs w:val="32"/>
          <w:lang w:eastAsia="zh-CN"/>
        </w:rPr>
        <w:t>至</w:t>
      </w:r>
      <w:r>
        <w:rPr>
          <w:rFonts w:hint="eastAsia" w:ascii="仿宋_GB2312" w:hAnsi="仿宋_GB2312" w:cs="仿宋_GB2312"/>
          <w:szCs w:val="32"/>
        </w:rPr>
        <w:t>2025年底，共建成市级技术创新中心2家，市级新型研发机构1家。全县共有高新技术企业19家。创新平台布局加速推进，煤层气产业综合实训基地入选山西省产教融合试点建设名单，中南大学国家技术转移中心分中心、上海交通大学实习基地落户沁水。企业创新活力显著增强，</w:t>
      </w:r>
      <w:r>
        <w:rPr>
          <w:rFonts w:hint="eastAsia" w:ascii="仿宋_GB2312" w:hAnsi="仿宋_GB2312" w:cs="仿宋_GB2312"/>
          <w:szCs w:val="32"/>
          <w:lang w:eastAsia="zh-CN"/>
        </w:rPr>
        <w:t>截至</w:t>
      </w:r>
      <w:r>
        <w:rPr>
          <w:rFonts w:hint="eastAsia" w:ascii="仿宋_GB2312" w:hAnsi="仿宋_GB2312" w:cs="仿宋_GB2312"/>
          <w:szCs w:val="32"/>
        </w:rPr>
        <w:t>2024年底，全县R&amp;D经费支出1.46亿元，26户规模以上工业企业开展了研发创新活动，源通饲料、森鼎立、圣康蜂业等8家企业被认定为市级企业技术中心，十里八香、大来药业、源通饲料、龙骏艾柯等十余家企业通过两化融合认定。人才支撑更加坚实，调整补充县委联系服务专家11名，高层次人才生活馆累计服务人才500人（次）。</w:t>
      </w:r>
    </w:p>
    <w:p w14:paraId="5420A990">
      <w:pPr>
        <w:pStyle w:val="10"/>
        <w:overflowPunct w:val="0"/>
        <w:spacing w:after="0" w:line="622" w:lineRule="exact"/>
        <w:ind w:firstLine="643"/>
        <w:rPr>
          <w:rFonts w:hint="eastAsia" w:ascii="仿宋_GB2312" w:hAnsi="仿宋_GB2312" w:cs="仿宋_GB2312"/>
          <w:szCs w:val="32"/>
        </w:rPr>
      </w:pPr>
      <w:r>
        <w:rPr>
          <w:rFonts w:hint="eastAsia" w:ascii="仿宋_GB2312" w:hAnsi="仿宋_GB2312" w:cs="仿宋_GB2312"/>
          <w:b/>
          <w:bCs/>
          <w:szCs w:val="32"/>
        </w:rPr>
        <w:t>数字赋能新高地建设稳步推进。</w:t>
      </w:r>
      <w:r>
        <w:rPr>
          <w:rFonts w:hint="eastAsia" w:ascii="仿宋_GB2312" w:hAnsi="仿宋_GB2312" w:cs="仿宋_GB2312"/>
          <w:szCs w:val="32"/>
        </w:rPr>
        <w:t>坚持以“数字沁水”建设为牵引，持续完善“城市大脑+基础平台+行业应用”数治体系。数字基础设施布局持续优化，累计建成5G基站486座，鹿台山、固县乡青阳岭等21个偏远山区网络覆盖点位全部完成建设，实现“重点区域全覆盖、关键场景无盲区”。产业数字化转型升级步伐加快，深入推进传统产业数字化改造，5座智能化矿井建设有序推进，坪上煤矿顺利通过省级评定，亿欣煤业即将完成验收评定；积极推动新一代信息技术赋能文旅产业发展，“智游沁水”小程序正式上线，实现吃住行游购娱一体化预约，“一部手机游沁水”成为现实；电商经济蓬勃发展，国家电子商务进农村综合示范项目和乡村e镇项目高效运营，乡村e镇范围内新增市场主体37户，培育电商带头人5人，全县网络零售额达到6亿元，农产品销售渠道持续拓宽。数字服务惠民利民，智慧城管、智慧人大、智慧惠民等数字政府特色应用场景建成投用，精准回应群众多元化需求。持续发放数字消费券，有效激发市场活力。</w:t>
      </w:r>
    </w:p>
    <w:p w14:paraId="0415D63A">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新型城镇化水平明显提高。</w:t>
      </w:r>
      <w:r>
        <w:rPr>
          <w:rFonts w:hint="eastAsia" w:ascii="仿宋_GB2312" w:hAnsi="仿宋_GB2312" w:cs="仿宋_GB2312"/>
          <w:szCs w:val="32"/>
        </w:rPr>
        <w:t>加快推进以县城为载体的新型城镇化，常住人口城镇化率由</w:t>
      </w:r>
      <w:r>
        <w:rPr>
          <w:rFonts w:hint="eastAsia" w:ascii="仿宋_GB2312" w:hAnsi="仿宋_GB2312" w:cs="仿宋_GB2312"/>
          <w:szCs w:val="32"/>
          <w:lang w:val="en-US" w:eastAsia="zh-CN"/>
        </w:rPr>
        <w:t>“十三五”末期的45.82%提升到了2025年55.57%，提高了9.75个百分点</w:t>
      </w:r>
      <w:r>
        <w:rPr>
          <w:rFonts w:hint="eastAsia" w:ascii="仿宋_GB2312" w:hAnsi="仿宋_GB2312" w:cs="仿宋_GB2312"/>
          <w:szCs w:val="32"/>
        </w:rPr>
        <w:t>；深入推进城市建设三年行动，加速构建环城大路网体系，沁水东立交枢纽、南山城市路、玉皇山外环路全面通车，定都路改扩建工程</w:t>
      </w:r>
      <w:r>
        <w:rPr>
          <w:rFonts w:hint="eastAsia" w:ascii="仿宋_GB2312" w:hAnsi="仿宋_GB2312" w:cs="仿宋_GB2312"/>
          <w:szCs w:val="32"/>
          <w:lang w:eastAsia="zh-CN"/>
        </w:rPr>
        <w:t>全面</w:t>
      </w:r>
      <w:r>
        <w:rPr>
          <w:rFonts w:hint="eastAsia" w:ascii="仿宋_GB2312" w:hAnsi="仿宋_GB2312" w:cs="仿宋_GB2312"/>
          <w:szCs w:val="32"/>
        </w:rPr>
        <w:t>通车，梅杏剧院、游泳馆、城隍庙商业广场建成投用，县人民医院、城市综合服务中心等项目即将投用，新建小微绿地和口袋公园14处，完成老旧小区改造48个、棚户区改造4处、街巷改造14条，建成启用树理广场等19处停车场，新增停车位3500余个，成功蝉联第七届全国文明城市。“两新”政策持续发力，3个夜经济专区提档升级，沁水县快递物流仓配中心、乡村e镇公共服务中心建成并投入使用。</w:t>
      </w:r>
    </w:p>
    <w:p w14:paraId="54C82B89">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乡村振兴战略深入实施。</w:t>
      </w:r>
      <w:r>
        <w:rPr>
          <w:rFonts w:hint="eastAsia" w:ascii="仿宋_GB2312" w:hAnsi="仿宋_GB2312" w:cs="仿宋_GB2312"/>
          <w:szCs w:val="32"/>
        </w:rPr>
        <w:t>农业现代化步伐加快，累计建成高标准农田面积超过15万亩，粮食播种面积持续稳定在34.5万亩以上，产量保持在11.4万吨以上。脱贫攻坚成果持续巩固，健全防返贫动态监测和帮扶机制，推动脱贫劳动力外出务工就业，及时发放各类就业补贴补助，持续促进脱贫人口稳定增收；深入学习运用“千万工程”经验，创新实施乡村建设“六统一、六提质”三年行动，有序推进24个精品示范村、74个提档升级村、84个环境整治村建设，乡村基础设施完备度、公共服务便利度、人居环境舒适度全面提高，</w:t>
      </w:r>
      <w:r>
        <w:rPr>
          <w:rFonts w:hint="eastAsia" w:ascii="仿宋_GB2312" w:hAnsi="仿宋_GB2312" w:cs="仿宋_GB2312"/>
        </w:rPr>
        <w:t>荣获“全国村庄清洁行动先进县”</w:t>
      </w:r>
      <w:r>
        <w:rPr>
          <w:rFonts w:hint="eastAsia" w:ascii="仿宋_GB2312" w:hAnsi="仿宋_GB2312" w:cs="仿宋_GB2312"/>
          <w:szCs w:val="32"/>
        </w:rPr>
        <w:t>。全县12个乡镇全部通三级及以上公路，182个建制村全部实现100%通硬化路和100%通客车，农村自来水普及率达到100%，生活垃圾收运处置体系行政村覆盖率达到100%，供热普及率90%，供气普及率100%，卫生厕所普及率达到86%，累计完成道路绿化约240公里。</w:t>
      </w:r>
      <w:r>
        <w:rPr>
          <w:rFonts w:hint="eastAsia" w:ascii="仿宋_GB2312" w:hAnsi="仿宋_GB2312" w:cs="仿宋_GB2312"/>
        </w:rPr>
        <w:t>大力发展“特”“优”农业，荣获“全国乡村振兴道地药材发展示范县”称号，沁水蜂蜜入选全国名特优新农产品名录，被评为全省实施乡村振兴战略实绩考核优秀单位。</w:t>
      </w:r>
    </w:p>
    <w:p w14:paraId="1E3B1704">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改革攻坚行动取得新突破。</w:t>
      </w:r>
      <w:r>
        <w:rPr>
          <w:rFonts w:hint="eastAsia" w:ascii="仿宋_GB2312" w:hAnsi="仿宋_GB2312" w:cs="仿宋_GB2312"/>
          <w:szCs w:val="32"/>
        </w:rPr>
        <w:t>实施新一轮国企改革深化提升行动，建立现代企业制度，健全国资监管体系。聚焦全省民营经济发展改革示范县创建，建立全周期闭环管理的民间资本推介工作机制，扎实推进“两不一欠”；农业农村改革巩固完善，第二轮土地承包期再延长30年、宅基地基础信息调查等改革试点整县推进，在全省率先建立田长制，全省全域土地综合整治现场会在我县召开；集体林权制度改革不断深化，完成林权不动产证面积117万亩登记发放工作，完成2755本村集体林权不动产证的股权量化到户工作；教育综合改革机制持续完善，深入推进办学模式，新时代教育评价等改革，启动推进校长职级制改革，稳妥推进中高考改革；营商环境不断优化，深入推进开发区“承诺制+标准地+全代办”改革，对重点建设项目审批事项进行全流程代办，承诺制服务项目覆盖率100%，“用地清单制”“桩基先行”改革提速审批，“7×24小时”自助服务专区建设延伸至乡镇，“‘1236’打造企业开办‘金字招牌’”被评为全国“小切口”改革优秀案例，民营企业账款清偿率全市第二。</w:t>
      </w:r>
    </w:p>
    <w:p w14:paraId="5BEEABAD">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生态环境质量持续向好。</w:t>
      </w:r>
      <w:r>
        <w:rPr>
          <w:rFonts w:hint="eastAsia" w:ascii="仿宋_GB2312" w:hAnsi="仿宋_GB2312" w:cs="仿宋_GB2312"/>
          <w:szCs w:val="32"/>
        </w:rPr>
        <w:t>持续深化“两山”实践，荣获全国“两山”实践创新基地，百里沁河生态经济带建成8个生态节点，新增蓄水水面8处150余万平方米，累计完成退化草原修复、草原改良等2万亩，荒山造林3.38万亩，森林抚育3.15万亩，水土保持率达到74.76%。大气污染防治持续发力，空气质量综合指数连续7年排名全省前</w:t>
      </w:r>
      <w:r>
        <w:rPr>
          <w:rFonts w:hint="eastAsia" w:ascii="仿宋_GB2312" w:hAnsi="仿宋_GB2312" w:cs="仿宋_GB2312"/>
          <w:szCs w:val="32"/>
          <w:lang w:eastAsia="zh-CN"/>
        </w:rPr>
        <w:t>列</w:t>
      </w:r>
      <w:r>
        <w:rPr>
          <w:rFonts w:hint="eastAsia" w:ascii="仿宋_GB2312" w:hAnsi="仿宋_GB2312" w:cs="仿宋_GB2312"/>
          <w:szCs w:val="32"/>
        </w:rPr>
        <w:t>、“十四五”</w:t>
      </w:r>
      <w:r>
        <w:rPr>
          <w:rFonts w:hint="eastAsia" w:ascii="仿宋_GB2312" w:hAnsi="仿宋_GB2312" w:cs="仿宋_GB2312"/>
          <w:szCs w:val="32"/>
          <w:lang w:eastAsia="zh-CN"/>
        </w:rPr>
        <w:t>期间</w:t>
      </w:r>
      <w:r>
        <w:rPr>
          <w:rFonts w:hint="eastAsia" w:ascii="仿宋_GB2312" w:hAnsi="仿宋_GB2312" w:cs="仿宋_GB2312"/>
          <w:szCs w:val="32"/>
        </w:rPr>
        <w:t>保持全市第一，荣膺2022年度“美丽中国·深呼吸小城”。全面推动城镇污水处理厂提标改造和农村生活污水治理，3处地表水考核断面和20处集中式饮用水水源地水质达标率均为100%。严格土壤污染风险管控，全县土壤安全利用率达到100%，工业固废监管能力、利用处置能力和环境风险防范能力显著提升。大力推进“无废城市”建设，提前实现城镇生活垃圾无害化处理率达到100%的目标。沁水县成功入选全国首批自然资源节约集约示范县，上榜“2022年中国绿色发展百强县（市）”，经济技术开发区成功入选山西省绿色低碳循环示范园区。</w:t>
      </w:r>
    </w:p>
    <w:p w14:paraId="6E3CE0AA">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民生福祉水平全面提高。</w:t>
      </w:r>
      <w:r>
        <w:rPr>
          <w:rFonts w:hint="eastAsia" w:ascii="仿宋_GB2312" w:hAnsi="仿宋_GB2312" w:cs="仿宋_GB2312"/>
          <w:szCs w:val="32"/>
        </w:rPr>
        <w:t>全面抓好民生保障，就业形势稳定向好。“十四五”期间，累计实现城镇新增就业1.8万人，农村劳动力转移就业2.8万人，城镇登记失业率稳定控制在4.5%以内，完善公益性零工市场运行管理机制，推进“沁河采掘工”等劳务品牌培育；教育资源布局得到优化，定都小学、和园幼儿园、新城小学、桃园小学、桃园幼儿园完成建设并投入使用，新增学位4500个，沁水中学、沁水二中、职业中学等学校完成提升改造，高考本科达线率逐年提升，2025年达到81.8%，全市第二，中考优生率2025年达到32.6%，较2021年实现翻番；公共服务持续完善，城乡公共医疗服务体系均衡性建设不断推进，12家卫生院全部通过“优质服务基层行”等级标准验收，妇女“两癌”免费检查3.5万余人次，“百名中医下基层”巡回医疗服务减免费用370余万元，基本医疗保险参保率稳定在95%以上，2025年参保率达97.9%，养老保险参保率提前完成“十四五”目标，实现全县社会保险法定人群参保全覆盖，公办示范性托育机构投入试运营，未成年人保护站和专职儿童督导员覆盖12个乡镇，42个农村老年人日间照料中心不断提档升级。</w:t>
      </w:r>
    </w:p>
    <w:p w14:paraId="3083CB47">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社会治理效能显著提升。</w:t>
      </w:r>
      <w:r>
        <w:rPr>
          <w:rFonts w:hint="eastAsia" w:ascii="仿宋_GB2312" w:hAnsi="仿宋_GB2312" w:cs="仿宋_GB2312"/>
          <w:szCs w:val="32"/>
        </w:rPr>
        <w:t>法治建设成果丰硕，“赵树理调解工作法”入选全国“枫桥式工作法”，累计创建3个国家级、4个省级、13个市级民主法治示范村，带动“村民说事”等14个矛调品牌，“树理公惠”劳动关系公共服务站点品牌在全省推广，矛盾纠纷化解率达98%，基层劳动争议化解率90%以上，基层治理法治化水平显著提升。平安沁水建设成效显著，探索形成“2141”捍卫政治安全沁水模式，构建“四圈六线”立体化社会治安防控体系，连续24年保持命案无积案，成功创建“平安山西建设示范县”，群众安全感和满意度连续14年位居全省前列。安全生产形势稳中向好，全面压实安全生产责任，事故起数和死亡人数实现“双下降”，社会大局保持和谐稳定。2025年再次荣膺“全国文明城市”荣誉称号。</w:t>
      </w:r>
    </w:p>
    <w:p w14:paraId="4B1A1D76">
      <w:pPr>
        <w:overflowPunct w:val="0"/>
        <w:spacing w:line="622" w:lineRule="exact"/>
        <w:ind w:firstLine="643"/>
        <w:rPr>
          <w:rFonts w:hint="eastAsia" w:ascii="仿宋_GB2312" w:hAnsi="仿宋_GB2312" w:eastAsia="仿宋_GB2312" w:cs="仿宋_GB2312"/>
          <w:szCs w:val="32"/>
          <w:lang w:eastAsia="zh-CN"/>
        </w:rPr>
      </w:pPr>
      <w:r>
        <w:rPr>
          <w:rFonts w:hint="eastAsia" w:ascii="仿宋_GB2312" w:hAnsi="仿宋_GB2312" w:cs="仿宋_GB2312"/>
          <w:b/>
          <w:bCs/>
          <w:color w:val="000000" w:themeColor="text1"/>
          <w:szCs w:val="32"/>
          <w14:textFill>
            <w14:solidFill>
              <w14:schemeClr w14:val="tx1"/>
            </w14:solidFill>
          </w14:textFill>
        </w:rPr>
        <w:t>党的建设全面加强</w:t>
      </w:r>
      <w:r>
        <w:rPr>
          <w:rFonts w:hint="eastAsia" w:ascii="仿宋_GB2312" w:hAnsi="仿宋_GB2312" w:cs="仿宋_GB2312"/>
          <w:b/>
          <w:bCs/>
          <w:szCs w:val="32"/>
        </w:rPr>
        <w:t>。</w:t>
      </w:r>
      <w:r>
        <w:rPr>
          <w:rFonts w:hint="eastAsia" w:ascii="仿宋_GB2312" w:hAnsi="仿宋_GB2312" w:cs="仿宋_GB2312"/>
          <w:szCs w:val="32"/>
        </w:rPr>
        <w:t>严格履行全面从严治党主体责任，扎实开展学习贯彻习近平新时代中国特色社会主义思想主题教育，执政基础不断夯实。常态化推进软弱涣散村党组织整顿，开展党支部领办合作社专项行动，所有行政村集体收入全部达10万元以上，</w:t>
      </w:r>
      <w:r>
        <w:rPr>
          <w:rFonts w:hint="eastAsia" w:ascii="仿宋_GB2312" w:hAnsi="仿宋_GB2312" w:cs="仿宋_GB2312"/>
          <w:szCs w:val="32"/>
          <w:lang w:val="en-US" w:eastAsia="zh-CN"/>
        </w:rPr>
        <w:t>92%的</w:t>
      </w:r>
      <w:r>
        <w:rPr>
          <w:rFonts w:hint="eastAsia" w:ascii="仿宋_GB2312" w:hAnsi="仿宋_GB2312" w:cs="仿宋_GB2312"/>
          <w:szCs w:val="32"/>
        </w:rPr>
        <w:t>村集体经济收入超30万元。坚持重实干、重担当、重实绩的用人导向，累计择优识别“狮子型”“老黄牛型”干部584人次。始终以零容忍态度惩治腐败，群众身边不正之风和腐败问题集中整治受到中央纪委国家监委表彰，清廉沁水建设成效显著。同心履职强势迈进，县人大强化监督职能，筑牢经济安全底线，推动项目与民生实事落实；深化代表工作与数字化改革，建设“智慧人大”工程。县政协高效履职，健全协商机制，围绕发展、民生、治理难题深入议政建言，强化团结联谊与自身建设。县委统战部实施同心行动，引导党外人士建言献策，依法管理民族宗教事务，动员统战力量参与基层治理，贡献智慧力量。</w:t>
      </w:r>
    </w:p>
    <w:p w14:paraId="0292A66B">
      <w:pPr>
        <w:overflowPunct w:val="0"/>
        <w:spacing w:line="622" w:lineRule="exact"/>
        <w:ind w:firstLine="640"/>
        <w:rPr>
          <w:rFonts w:ascii="Times New Roman" w:hAnsi="Times New Roman" w:cs="Times New Roman"/>
        </w:rPr>
      </w:pPr>
      <w:bookmarkStart w:id="6" w:name="_Toc24532"/>
    </w:p>
    <w:p w14:paraId="4F070374">
      <w:pPr>
        <w:overflowPunct w:val="0"/>
        <w:spacing w:line="622" w:lineRule="exact"/>
        <w:ind w:firstLine="0" w:firstLineChars="0"/>
        <w:jc w:val="center"/>
        <w:outlineLvl w:val="1"/>
        <w:rPr>
          <w:rFonts w:hint="eastAsia" w:ascii="楷体_GB2312" w:hAnsi="楷体_GB2312" w:eastAsia="楷体_GB2312" w:cs="楷体_GB2312"/>
        </w:rPr>
      </w:pPr>
      <w:bookmarkStart w:id="7" w:name="_Toc14421"/>
      <w:r>
        <w:rPr>
          <w:rFonts w:hint="eastAsia" w:ascii="楷体_GB2312" w:hAnsi="楷体_GB2312" w:eastAsia="楷体_GB2312" w:cs="楷体_GB2312"/>
        </w:rPr>
        <w:t>第二节  “十五五”发展面临的形势</w:t>
      </w:r>
      <w:bookmarkEnd w:id="6"/>
      <w:bookmarkEnd w:id="7"/>
    </w:p>
    <w:p w14:paraId="5B1C55E7">
      <w:pPr>
        <w:spacing w:line="622" w:lineRule="exact"/>
        <w:ind w:firstLine="640"/>
      </w:pPr>
    </w:p>
    <w:p w14:paraId="69186AD0">
      <w:pPr>
        <w:overflowPunct w:val="0"/>
        <w:spacing w:line="622" w:lineRule="exact"/>
        <w:ind w:firstLine="640"/>
        <w:rPr>
          <w:rFonts w:hint="eastAsia" w:ascii="仿宋_GB2312" w:hAnsi="仿宋_GB2312" w:cs="仿宋_GB2312"/>
          <w:spacing w:val="-6"/>
          <w:szCs w:val="32"/>
        </w:rPr>
      </w:pPr>
      <w:r>
        <w:rPr>
          <w:rFonts w:hint="eastAsia" w:ascii="仿宋_GB2312" w:hAnsi="仿宋_GB2312" w:cs="仿宋_GB2312"/>
          <w:color w:val="000000" w:themeColor="text1"/>
          <w:szCs w:val="32"/>
          <w14:textFill>
            <w14:solidFill>
              <w14:schemeClr w14:val="tx1"/>
            </w14:solidFill>
          </w14:textFill>
        </w:rPr>
        <w:t>“十</w:t>
      </w:r>
      <w:r>
        <w:rPr>
          <w:rFonts w:hint="eastAsia" w:ascii="仿宋_GB2312" w:hAnsi="仿宋_GB2312" w:cs="仿宋_GB2312"/>
          <w:color w:val="000000" w:themeColor="text1"/>
          <w:spacing w:val="-6"/>
          <w:szCs w:val="32"/>
          <w14:textFill>
            <w14:solidFill>
              <w14:schemeClr w14:val="tx1"/>
            </w14:solidFill>
          </w14:textFill>
        </w:rPr>
        <w:t>五五”时期是我国基本实现社会主义现代化夯实基础、全面发力的关键时期，</w:t>
      </w:r>
      <w:r>
        <w:rPr>
          <w:rFonts w:hint="eastAsia" w:ascii="仿宋_GB2312" w:hAnsi="仿宋_GB2312" w:cs="仿宋_GB2312"/>
          <w:spacing w:val="-6"/>
          <w:szCs w:val="32"/>
        </w:rPr>
        <w:t>也是我们推动高质量发展、深化全方位转型取得突破性进展的宝贵窗口期。无论是推动资源型经济转型发展，摆脱对煤炭产业的过多依赖、对煤炭价格的过多倚重，抢抓发展新质生产力先机，实现新旧动能转换，还是在科技创新、居民收入等方面进一步缩小与全国、全省、全市平均水平的差距，在高质量发展中更好体现沁水担当，“十五五”时期都至为紧迫、至关重要。必须充分发挥比较优势，着力破除瓶颈制约，加快补强短板弱项，推动习近平总书记和党中央赋予山西的重大使命任务、事关沁水现代化建设的战略任务取得显著成效，为我县与全国、全省、全市同步基本实现社会主义现代化奠定更加坚实的基础。</w:t>
      </w:r>
    </w:p>
    <w:p w14:paraId="68C69CFB">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综合研判国际国内形势变化和发展环境，紧跟省市发展大局，“十五五”时期，我县发展总体上仍然机遇大于挑战、有利条件强于不利因素。</w:t>
      </w:r>
      <w:r>
        <w:rPr>
          <w:rFonts w:hint="eastAsia" w:ascii="仿宋_GB2312" w:hAnsi="仿宋_GB2312" w:cs="仿宋_GB2312"/>
          <w:b/>
          <w:bCs/>
          <w:szCs w:val="32"/>
        </w:rPr>
        <w:t>从发展优势看，</w:t>
      </w:r>
      <w:r>
        <w:rPr>
          <w:rFonts w:hint="eastAsia" w:ascii="仿宋_GB2312" w:hAnsi="仿宋_GB2312" w:cs="仿宋_GB2312"/>
          <w:szCs w:val="32"/>
        </w:rPr>
        <w:t>习近平总书记始终心系山西发展，亲自为山西发展指航定向、擘画蓝图，这是我们发展的最大信心、最大底气所在。国家、省、市在“十五五”时期实施的一系列利好政策、战略举措和重大项目，将极大激活我县发展的内生动力，推动资源优势、动植物品类优势、生态优势、自然风光优势、人文历史优势、发展基础优势全面彰显、协同发力，为我县未来发展开辟了更加广阔的空间。过去五年，我县在经济社会发展中积累了扎实的物质基础与宝贵的精神财富，综合实力持续增强，城乡面貌显著改善，民生福祉不断提升，这些都为我们在“十五五”时期实现更高质量、更有效率、更可持续的发展奠定了坚实根基。</w:t>
      </w:r>
      <w:r>
        <w:rPr>
          <w:rFonts w:hint="eastAsia" w:ascii="仿宋_GB2312" w:hAnsi="仿宋_GB2312" w:cs="仿宋_GB2312"/>
          <w:b/>
          <w:bCs/>
          <w:szCs w:val="32"/>
        </w:rPr>
        <w:t>从风险挑战看，</w:t>
      </w:r>
      <w:r>
        <w:rPr>
          <w:rFonts w:hint="eastAsia" w:ascii="仿宋_GB2312" w:hAnsi="仿宋_GB2312" w:cs="仿宋_GB2312"/>
          <w:szCs w:val="32"/>
        </w:rPr>
        <w:t>外部环境的不确定难预料因素增多，我县发展不平衡不充分问题还较为突出，资源型经济固有的结构性、体制性、素质性矛盾尚未得到有效解决，新旧动能转换还处在爬坡过坎阶段</w:t>
      </w:r>
      <w:r>
        <w:rPr>
          <w:rFonts w:hint="eastAsia" w:ascii="仿宋_GB2312" w:hAnsi="仿宋_GB2312" w:cs="仿宋_GB2312"/>
        </w:rPr>
        <w:t>。</w:t>
      </w:r>
      <w:r>
        <w:rPr>
          <w:rFonts w:hint="eastAsia" w:ascii="仿宋_GB2312" w:hAnsi="仿宋_GB2312" w:cs="仿宋_GB2312"/>
          <w:szCs w:val="32"/>
        </w:rPr>
        <w:t>传统产业增长放缓，对我县产业转型升级提出更为迫切的要求；改革创新的活力动力不足，民营经济发展不够充分，营商环境还需优化提升；城乡发展不平衡、东西发展不平衡的问题愈加显现；生态环保压力较大，绿色发展面临更多挑战；安全风险点多面广，煤矿、煤层气等重点行业领域安全基础薄弱；社会民生领域存在不少短板，人的全面发展成为新的时代课题；激烈的区域竞争与要素虹吸效应，使县域发展面临“不进则退、慢进亦退”的巨大压力。</w:t>
      </w:r>
    </w:p>
    <w:p w14:paraId="268126D9">
      <w:pPr>
        <w:overflowPunct w:val="0"/>
        <w:spacing w:line="622" w:lineRule="exact"/>
        <w:ind w:firstLine="640"/>
        <w:rPr>
          <w:rFonts w:hint="eastAsia" w:ascii="仿宋_GB2312" w:hAnsi="仿宋_GB2312" w:cs="仿宋_GB2312"/>
        </w:rPr>
      </w:pPr>
      <w:r>
        <w:rPr>
          <w:rFonts w:hint="eastAsia" w:ascii="仿宋_GB2312" w:hAnsi="仿宋_GB2312" w:cs="仿宋_GB2312"/>
        </w:rPr>
        <w:t>全县上下要坚决把思想和行动统一到党中央和省委、市委对形势的基本判断和战略部署上来，深刻领悟“两个确立”的决定性意义，增强“四个意识”、坚定“四个自信”、做到“两个维护”，保持战略定力，增强必胜信心，以历史主动精神克难关、战风险、迎挑战，全力推动沁水经济社会高质量发展。</w:t>
      </w:r>
    </w:p>
    <w:p w14:paraId="43BC0842">
      <w:pPr>
        <w:overflowPunct w:val="0"/>
        <w:spacing w:line="622" w:lineRule="exact"/>
        <w:ind w:firstLine="640"/>
        <w:rPr>
          <w:rFonts w:ascii="Times New Roman" w:hAnsi="Times New Roman" w:eastAsia="黑体" w:cs="Times New Roman"/>
        </w:rPr>
      </w:pPr>
      <w:r>
        <w:rPr>
          <w:rFonts w:ascii="Times New Roman" w:hAnsi="Times New Roman" w:eastAsia="黑体" w:cs="Times New Roman"/>
        </w:rPr>
        <w:br w:type="page"/>
      </w:r>
    </w:p>
    <w:p w14:paraId="1F959303">
      <w:pPr>
        <w:overflowPunct w:val="0"/>
        <w:spacing w:line="622" w:lineRule="exact"/>
        <w:ind w:firstLine="640"/>
        <w:rPr>
          <w:rFonts w:ascii="Times New Roman" w:hAnsi="Times New Roman" w:cs="Times New Roman"/>
        </w:rPr>
      </w:pPr>
      <w:bookmarkStart w:id="8" w:name="_Toc221"/>
    </w:p>
    <w:p w14:paraId="4835950F">
      <w:pPr>
        <w:overflowPunct w:val="0"/>
        <w:spacing w:line="622" w:lineRule="exact"/>
        <w:ind w:firstLine="0" w:firstLineChars="0"/>
        <w:jc w:val="center"/>
        <w:outlineLvl w:val="0"/>
        <w:rPr>
          <w:rFonts w:hint="eastAsia" w:ascii="黑体" w:hAnsi="黑体" w:eastAsia="黑体" w:cs="黑体"/>
          <w:szCs w:val="32"/>
        </w:rPr>
      </w:pPr>
      <w:bookmarkStart w:id="9" w:name="_Toc9416"/>
      <w:r>
        <w:rPr>
          <w:rFonts w:hint="eastAsia" w:ascii="黑体" w:hAnsi="黑体" w:eastAsia="黑体" w:cs="黑体"/>
          <w:szCs w:val="32"/>
        </w:rPr>
        <w:t>第二章  “十五五”时期经济社会发展的总体部署</w:t>
      </w:r>
      <w:bookmarkEnd w:id="8"/>
      <w:bookmarkEnd w:id="9"/>
    </w:p>
    <w:p w14:paraId="4AA4386A">
      <w:pPr>
        <w:overflowPunct w:val="0"/>
        <w:spacing w:line="622" w:lineRule="exact"/>
        <w:ind w:firstLine="640"/>
        <w:rPr>
          <w:rFonts w:ascii="Times New Roman" w:hAnsi="Times New Roman" w:cs="Times New Roman"/>
        </w:rPr>
      </w:pPr>
      <w:bookmarkStart w:id="10" w:name="_Toc14938"/>
    </w:p>
    <w:p w14:paraId="19151DCA">
      <w:pPr>
        <w:overflowPunct w:val="0"/>
        <w:spacing w:line="622" w:lineRule="exact"/>
        <w:ind w:firstLine="0" w:firstLineChars="0"/>
        <w:jc w:val="center"/>
        <w:outlineLvl w:val="1"/>
        <w:rPr>
          <w:rFonts w:hint="eastAsia" w:ascii="楷体_GB2312" w:hAnsi="楷体_GB2312" w:eastAsia="楷体_GB2312" w:cs="楷体_GB2312"/>
        </w:rPr>
      </w:pPr>
      <w:bookmarkStart w:id="11" w:name="_Toc17630"/>
      <w:r>
        <w:rPr>
          <w:rFonts w:hint="eastAsia" w:ascii="楷体_GB2312" w:hAnsi="楷体_GB2312" w:eastAsia="楷体_GB2312" w:cs="楷体_GB2312"/>
        </w:rPr>
        <w:t>第一节  指导思想</w:t>
      </w:r>
      <w:bookmarkEnd w:id="10"/>
      <w:bookmarkEnd w:id="11"/>
    </w:p>
    <w:p w14:paraId="3D7F5DF5">
      <w:pPr>
        <w:overflowPunct w:val="0"/>
        <w:spacing w:line="622" w:lineRule="exact"/>
        <w:ind w:firstLine="640"/>
        <w:rPr>
          <w:rFonts w:hint="eastAsia" w:ascii="仿宋_GB2312" w:hAnsi="仿宋_GB2312" w:cs="仿宋_GB2312"/>
          <w:szCs w:val="32"/>
        </w:rPr>
      </w:pPr>
    </w:p>
    <w:p w14:paraId="497659FA">
      <w:pPr>
        <w:overflowPunct w:val="0"/>
        <w:spacing w:line="622" w:lineRule="exact"/>
        <w:ind w:firstLine="640"/>
        <w:rPr>
          <w:rFonts w:hint="eastAsia" w:ascii="仿宋_GB2312" w:hAnsi="仿宋_GB2312" w:cs="仿宋_GB2312"/>
          <w:spacing w:val="6"/>
          <w:szCs w:val="32"/>
        </w:rPr>
      </w:pPr>
      <w:r>
        <w:rPr>
          <w:rFonts w:hint="eastAsia" w:ascii="仿宋_GB2312" w:hAnsi="仿宋_GB2312" w:cs="仿宋_GB2312"/>
          <w:szCs w:val="32"/>
        </w:rPr>
        <w:t>坚持</w:t>
      </w:r>
      <w:r>
        <w:rPr>
          <w:rFonts w:hint="eastAsia" w:ascii="仿宋_GB2312" w:hAnsi="仿宋_GB2312" w:cs="仿宋_GB2312"/>
          <w:spacing w:val="6"/>
          <w:szCs w:val="32"/>
        </w:rPr>
        <w:t>马克思列宁主义、毛泽东思想、邓小平理论、“三个代表”重要思想、科学发展观，全面贯彻习近平新时代中国特色社会主义思想，认真落实党的二十大和二十届历次全会精神，深入贯彻习近平总书记对山西工作的重要讲话重要指示精神，围绕党中央赋予山西的重大使命任务，完整准确全面贯彻新发展理念，积极融入和服务新发展格局，坚持稳中求进工作总基调，坚持以经济建设为中心，以推动高质量发展为主题，以改革创新为根本动力，以满足人民日益增长的美好生活需要为根本目的，以全面从严治党为根本保障，按照省委、市委部署要求，抓牢转型发展、党建引领“两件大事”，做好开发区、新型城镇化、乡村振兴、文旅康养“四篇文章”，坚定有序推进转型发展，因地制宜发展新质生产力，推动经济实现质的有效提升和量的合理增长，推动人的全面发展、全体人民共同富裕迈出坚实步伐，确保与全国、全省、全市同步基本实现社会主义现代化。</w:t>
      </w:r>
    </w:p>
    <w:p w14:paraId="5C66A2E3">
      <w:pPr>
        <w:overflowPunct w:val="0"/>
        <w:spacing w:line="622" w:lineRule="exact"/>
        <w:ind w:firstLine="640"/>
        <w:rPr>
          <w:rFonts w:ascii="Times New Roman" w:hAnsi="Times New Roman" w:cs="Times New Roman"/>
        </w:rPr>
      </w:pPr>
      <w:bookmarkStart w:id="12" w:name="_Toc26248"/>
    </w:p>
    <w:p w14:paraId="6883BAD9">
      <w:pPr>
        <w:overflowPunct w:val="0"/>
        <w:spacing w:line="622" w:lineRule="exact"/>
        <w:ind w:firstLine="0" w:firstLineChars="0"/>
        <w:jc w:val="center"/>
        <w:rPr>
          <w:rFonts w:ascii="Times New Roman" w:hAnsi="Times New Roman" w:cs="Times New Roman"/>
        </w:rPr>
      </w:pPr>
    </w:p>
    <w:p w14:paraId="20A4159D">
      <w:pPr>
        <w:overflowPunct w:val="0"/>
        <w:spacing w:line="622" w:lineRule="exact"/>
        <w:ind w:firstLine="0" w:firstLineChars="0"/>
        <w:jc w:val="center"/>
        <w:outlineLvl w:val="1"/>
        <w:rPr>
          <w:rFonts w:hint="eastAsia" w:ascii="楷体_GB2312" w:hAnsi="楷体_GB2312" w:eastAsia="楷体_GB2312" w:cs="楷体_GB2312"/>
        </w:rPr>
      </w:pPr>
      <w:bookmarkStart w:id="13" w:name="_Toc10366"/>
      <w:r>
        <w:rPr>
          <w:rFonts w:ascii="楷体_GB2312" w:hAnsi="楷体_GB2312" w:eastAsia="楷体_GB2312" w:cs="楷体_GB2312"/>
        </w:rPr>
        <w:t>第二节</w:t>
      </w:r>
      <w:r>
        <w:rPr>
          <w:rFonts w:hint="eastAsia" w:ascii="楷体_GB2312" w:hAnsi="楷体_GB2312" w:eastAsia="楷体_GB2312" w:cs="楷体_GB2312"/>
        </w:rPr>
        <w:t xml:space="preserve"> </w:t>
      </w:r>
      <w:r>
        <w:rPr>
          <w:rFonts w:ascii="楷体_GB2312" w:hAnsi="楷体_GB2312" w:eastAsia="楷体_GB2312" w:cs="楷体_GB2312"/>
        </w:rPr>
        <w:t xml:space="preserve"> 基本原则</w:t>
      </w:r>
      <w:bookmarkEnd w:id="12"/>
      <w:bookmarkEnd w:id="13"/>
    </w:p>
    <w:p w14:paraId="51DDE866">
      <w:pPr>
        <w:overflowPunct w:val="0"/>
        <w:spacing w:line="622" w:lineRule="exact"/>
        <w:ind w:firstLine="640"/>
        <w:rPr>
          <w:rFonts w:ascii="Times New Roman" w:hAnsi="Times New Roman" w:cs="Times New Roman"/>
          <w:szCs w:val="32"/>
        </w:rPr>
      </w:pPr>
    </w:p>
    <w:p w14:paraId="49296C04">
      <w:pPr>
        <w:overflowPunct w:val="0"/>
        <w:spacing w:line="622" w:lineRule="exact"/>
        <w:ind w:firstLine="640"/>
        <w:rPr>
          <w:rFonts w:ascii="Times New Roman" w:hAnsi="Times New Roman" w:cs="Times New Roman"/>
          <w:szCs w:val="32"/>
        </w:rPr>
      </w:pPr>
      <w:r>
        <w:rPr>
          <w:rFonts w:ascii="Times New Roman" w:hAnsi="Times New Roman" w:cs="Times New Roman"/>
          <w:szCs w:val="32"/>
        </w:rPr>
        <w:t>立足资源型县域转型实际，按照扎实推动高质量发展和深化全方位转型的战略部署，统筹全局性、战略性与可操作性，必须坚持以下原则：</w:t>
      </w:r>
    </w:p>
    <w:p w14:paraId="5521C2EC">
      <w:pPr>
        <w:overflowPunct w:val="0"/>
        <w:spacing w:line="622" w:lineRule="exact"/>
        <w:ind w:firstLine="643"/>
        <w:rPr>
          <w:rFonts w:ascii="Times New Roman" w:hAnsi="Times New Roman" w:cs="Times New Roman"/>
          <w:b/>
          <w:bCs/>
          <w:szCs w:val="32"/>
        </w:rPr>
      </w:pPr>
      <w:r>
        <w:rPr>
          <w:rFonts w:ascii="Times New Roman" w:hAnsi="Times New Roman" w:cs="Times New Roman"/>
          <w:b/>
          <w:bCs/>
          <w:szCs w:val="32"/>
        </w:rPr>
        <w:t>——坚持党的全面领导。</w:t>
      </w:r>
      <w:r>
        <w:rPr>
          <w:rFonts w:ascii="Times New Roman" w:hAnsi="Times New Roman" w:cs="Times New Roman"/>
        </w:rPr>
        <w:t>坚决维护党中央权威和集中统一领导，提高党把方向、谋大局、定政策、促改革能力，把党的领导贯穿经济社会发展各方面全过程，为沁水推进中国式现代化提供根本保证。</w:t>
      </w:r>
    </w:p>
    <w:p w14:paraId="0B3FC00A">
      <w:pPr>
        <w:overflowPunct w:val="0"/>
        <w:spacing w:line="622" w:lineRule="exact"/>
        <w:ind w:firstLine="643"/>
        <w:rPr>
          <w:rFonts w:ascii="Times New Roman" w:hAnsi="Times New Roman" w:cs="Times New Roman"/>
          <w:b/>
          <w:bCs/>
          <w:szCs w:val="32"/>
        </w:rPr>
      </w:pPr>
      <w:r>
        <w:rPr>
          <w:rFonts w:ascii="Times New Roman" w:hAnsi="Times New Roman" w:cs="Times New Roman"/>
          <w:b/>
          <w:bCs/>
          <w:szCs w:val="32"/>
        </w:rPr>
        <w:t>——坚持人民至上。</w:t>
      </w:r>
      <w:r>
        <w:rPr>
          <w:rFonts w:ascii="Times New Roman" w:hAnsi="Times New Roman" w:cs="Times New Roman"/>
        </w:rPr>
        <w:t>尊重人民主体地位，紧紧依靠人民，维护人民根本利益，促进社会公平正义，注重在发展中保障和改善民生，在满足民生需求中拓展发展空间，推动经济和社会协调发展、物质文明和精神文明相得益彰，让现代化建设成果更多更公平惠及全体人民。</w:t>
      </w:r>
    </w:p>
    <w:p w14:paraId="27B6ED1E">
      <w:pPr>
        <w:overflowPunct w:val="0"/>
        <w:spacing w:line="622" w:lineRule="exact"/>
        <w:ind w:firstLine="643"/>
        <w:rPr>
          <w:rFonts w:ascii="Times New Roman" w:hAnsi="Times New Roman" w:cs="Times New Roman"/>
        </w:rPr>
      </w:pPr>
      <w:r>
        <w:rPr>
          <w:rFonts w:ascii="Times New Roman" w:hAnsi="Times New Roman" w:cs="Times New Roman"/>
          <w:b/>
          <w:bCs/>
          <w:szCs w:val="32"/>
        </w:rPr>
        <w:t>——坚持高质量发展。</w:t>
      </w:r>
      <w:r>
        <w:rPr>
          <w:rFonts w:ascii="Times New Roman" w:hAnsi="Times New Roman" w:cs="Times New Roman"/>
        </w:rPr>
        <w:t>以新发展理念引领发展，因地制宜发展新质生产力，充分挖掘资源、生态、人文、物产等比较优势，抓好能源转型、产业升级和适度多元发展，将资源优势转化为产业优势、发展胜势。统筹经济发展与生态保护，严守资源环境承载底线，推动经济持续健康发展和社会全面进步。</w:t>
      </w:r>
    </w:p>
    <w:p w14:paraId="2FB35531">
      <w:pPr>
        <w:overflowPunct w:val="0"/>
        <w:spacing w:line="622" w:lineRule="exact"/>
        <w:ind w:firstLine="643"/>
        <w:rPr>
          <w:rFonts w:ascii="Times New Roman" w:hAnsi="Times New Roman" w:cs="Times New Roman"/>
          <w:szCs w:val="32"/>
        </w:rPr>
      </w:pPr>
      <w:r>
        <w:rPr>
          <w:rFonts w:ascii="Times New Roman" w:hAnsi="Times New Roman" w:cs="Times New Roman"/>
          <w:b/>
          <w:bCs/>
          <w:szCs w:val="32"/>
        </w:rPr>
        <w:t>——坚持全面深化改革。</w:t>
      </w:r>
      <w:r>
        <w:rPr>
          <w:rFonts w:ascii="Times New Roman" w:hAnsi="Times New Roman" w:cs="Times New Roman"/>
        </w:rPr>
        <w:t>聚焦制约高质量发展的体制机制障碍，推进深层次改革，扩大高水平开放，深化要素市场化配置改革，充分激发各类经营主体活力，主动融入区域开放格局，</w:t>
      </w:r>
      <w:r>
        <w:rPr>
          <w:rFonts w:ascii="Times New Roman" w:hAnsi="Times New Roman" w:cs="Times New Roman"/>
          <w:szCs w:val="32"/>
        </w:rPr>
        <w:t>深化教育科技人才体制机制协同创新，激活创新驱动内生动力，以改革增活力、以开放促发展。</w:t>
      </w:r>
    </w:p>
    <w:p w14:paraId="0DD8029C">
      <w:pPr>
        <w:overflowPunct w:val="0"/>
        <w:spacing w:line="622" w:lineRule="exact"/>
        <w:ind w:firstLine="643"/>
        <w:rPr>
          <w:rFonts w:hint="eastAsia" w:ascii="Times New Roman" w:hAnsi="Times New Roman" w:eastAsia="仿宋_GB2312" w:cs="Times New Roman"/>
          <w:szCs w:val="32"/>
          <w:lang w:eastAsia="zh-CN"/>
        </w:rPr>
      </w:pPr>
      <w:r>
        <w:rPr>
          <w:rFonts w:ascii="Times New Roman" w:hAnsi="Times New Roman" w:cs="Times New Roman"/>
          <w:b/>
          <w:bCs/>
          <w:szCs w:val="32"/>
        </w:rPr>
        <w:t>——坚持有效市场和有为政府相结合。</w:t>
      </w:r>
      <w:r>
        <w:rPr>
          <w:rFonts w:ascii="Times New Roman" w:hAnsi="Times New Roman" w:cs="Times New Roman"/>
          <w:szCs w:val="32"/>
        </w:rPr>
        <w:t>充分发挥市场在资源配置中的决定性作用，更好发挥政府作用，持续深化“放管服”改革，破除市场壁垒，维护公平竞争，构建统一、开放、竞争、有序的市场体系，打造市场化、法治化、国际化一流营商环境，有效激发市场活力、制度活力和社会创造力</w:t>
      </w:r>
      <w:r>
        <w:rPr>
          <w:rFonts w:hint="eastAsia" w:ascii="Times New Roman" w:hAnsi="Times New Roman" w:cs="Times New Roman"/>
          <w:szCs w:val="32"/>
        </w:rPr>
        <w:t>，形成既“放得活”又“管得好”的经济秩序。</w:t>
      </w:r>
    </w:p>
    <w:p w14:paraId="32E8CAED">
      <w:pPr>
        <w:overflowPunct w:val="0"/>
        <w:spacing w:line="622" w:lineRule="exact"/>
        <w:ind w:firstLine="643"/>
        <w:rPr>
          <w:rFonts w:ascii="Times New Roman" w:hAnsi="Times New Roman" w:cs="Times New Roman"/>
        </w:rPr>
      </w:pPr>
      <w:r>
        <w:rPr>
          <w:rFonts w:ascii="Times New Roman" w:hAnsi="Times New Roman" w:cs="Times New Roman"/>
          <w:b/>
          <w:bCs/>
          <w:szCs w:val="32"/>
        </w:rPr>
        <w:t>——坚持统筹发展和安全。</w:t>
      </w:r>
      <w:r>
        <w:rPr>
          <w:rFonts w:ascii="Times New Roman" w:hAnsi="Times New Roman" w:cs="Times New Roman"/>
          <w:szCs w:val="32"/>
        </w:rPr>
        <w:t>坚持底线思维，夯实粮食能源资源安全根基，深化安全生产治本攻坚，精准防控重点领域风险隐患。推进沁水安全治理体系和能力现代化建设，构建全链条风险防控格局，在发展中固安全、在安全中谋发展，增强经济和社会韧性，以新安全格局保障新发展格局。</w:t>
      </w:r>
    </w:p>
    <w:p w14:paraId="27BDBF0A">
      <w:pPr>
        <w:overflowPunct w:val="0"/>
        <w:spacing w:line="622" w:lineRule="exact"/>
        <w:ind w:firstLine="640"/>
        <w:rPr>
          <w:rFonts w:ascii="Times New Roman" w:hAnsi="Times New Roman" w:cs="Times New Roman"/>
        </w:rPr>
      </w:pPr>
      <w:bookmarkStart w:id="14" w:name="_Toc3262"/>
    </w:p>
    <w:p w14:paraId="3556AD6A">
      <w:pPr>
        <w:overflowPunct w:val="0"/>
        <w:spacing w:line="622" w:lineRule="exact"/>
        <w:ind w:firstLine="0" w:firstLineChars="0"/>
        <w:jc w:val="center"/>
        <w:outlineLvl w:val="1"/>
        <w:rPr>
          <w:rFonts w:hint="eastAsia" w:ascii="楷体_GB2312" w:hAnsi="楷体_GB2312" w:eastAsia="楷体_GB2312" w:cs="楷体_GB2312"/>
        </w:rPr>
      </w:pPr>
      <w:bookmarkStart w:id="15" w:name="_Toc5479"/>
      <w:r>
        <w:rPr>
          <w:rFonts w:ascii="楷体_GB2312" w:hAnsi="楷体_GB2312" w:eastAsia="楷体_GB2312" w:cs="楷体_GB2312"/>
        </w:rPr>
        <w:t xml:space="preserve">第三节 </w:t>
      </w:r>
      <w:r>
        <w:rPr>
          <w:rFonts w:hint="eastAsia" w:ascii="楷体_GB2312" w:hAnsi="楷体_GB2312" w:eastAsia="楷体_GB2312" w:cs="楷体_GB2312"/>
        </w:rPr>
        <w:t xml:space="preserve"> </w:t>
      </w:r>
      <w:bookmarkEnd w:id="14"/>
      <w:r>
        <w:rPr>
          <w:rFonts w:hint="eastAsia" w:ascii="楷体_GB2312" w:hAnsi="楷体_GB2312" w:eastAsia="楷体_GB2312" w:cs="楷体_GB2312"/>
        </w:rPr>
        <w:t>发展战略</w:t>
      </w:r>
      <w:bookmarkEnd w:id="15"/>
    </w:p>
    <w:p w14:paraId="5947799F">
      <w:pPr>
        <w:spacing w:line="622" w:lineRule="exact"/>
        <w:ind w:firstLine="640"/>
      </w:pPr>
    </w:p>
    <w:p w14:paraId="2611B8DB">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主动在全国、全省、全市发展大局中精准定位，紧紧围绕习近平总书记和党中央赋予山西的建设国家资源型经济转型综合配套改革试验区、能源革命</w:t>
      </w:r>
      <w:r>
        <w:rPr>
          <w:rFonts w:hint="eastAsia" w:ascii="仿宋_GB2312" w:hAnsi="仿宋_GB2312" w:cs="仿宋_GB2312"/>
          <w:szCs w:val="32"/>
          <w:lang w:eastAsia="zh-CN"/>
        </w:rPr>
        <w:t>、</w:t>
      </w:r>
      <w:r>
        <w:rPr>
          <w:rFonts w:hint="eastAsia" w:ascii="仿宋_GB2312" w:hAnsi="仿宋_GB2312" w:cs="仿宋_GB2312"/>
          <w:szCs w:val="32"/>
        </w:rPr>
        <w:t>打造内陆地区对外开放新高地</w:t>
      </w:r>
      <w:r>
        <w:rPr>
          <w:rFonts w:hint="eastAsia" w:ascii="仿宋_GB2312" w:hAnsi="仿宋_GB2312" w:cs="仿宋_GB2312"/>
          <w:szCs w:val="32"/>
          <w:lang w:val="en-US" w:eastAsia="zh-CN"/>
        </w:rPr>
        <w:t>等</w:t>
      </w:r>
      <w:r>
        <w:rPr>
          <w:rFonts w:hint="eastAsia" w:ascii="仿宋_GB2312" w:hAnsi="仿宋_GB2312" w:cs="仿宋_GB2312"/>
          <w:szCs w:val="32"/>
        </w:rPr>
        <w:t>五大使命任务</w:t>
      </w:r>
      <w:r>
        <w:rPr>
          <w:rFonts w:hint="eastAsia" w:ascii="仿宋_GB2312" w:hAnsi="仿宋_GB2312" w:cs="仿宋_GB2312"/>
          <w:szCs w:val="32"/>
          <w:lang w:eastAsia="zh-CN"/>
        </w:rPr>
        <w:t>等五</w:t>
      </w:r>
      <w:r>
        <w:rPr>
          <w:rFonts w:hint="eastAsia" w:ascii="仿宋_GB2312" w:hAnsi="仿宋_GB2312" w:cs="仿宋_GB2312"/>
          <w:szCs w:val="32"/>
        </w:rPr>
        <w:t>大使命任务，按照党中央、省委、市委部署要求，立足我县发展基础和比较优势，抓牢“两件大事”，做好“四篇文章”，建设美丽富裕新沁水。</w:t>
      </w:r>
    </w:p>
    <w:p w14:paraId="10ED7936">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抓牢“两件大事”。</w:t>
      </w:r>
      <w:r>
        <w:rPr>
          <w:rFonts w:hint="eastAsia" w:ascii="仿宋_GB2312" w:hAnsi="仿宋_GB2312" w:cs="仿宋_GB2312"/>
          <w:szCs w:val="32"/>
        </w:rPr>
        <w:t>深入贯彻习近平总书记对山西</w:t>
      </w:r>
      <w:r>
        <w:rPr>
          <w:rFonts w:hint="eastAsia" w:ascii="仿宋_GB2312" w:hAnsi="仿宋_GB2312" w:cs="仿宋_GB2312"/>
          <w:szCs w:val="32"/>
          <w:highlight w:val="none"/>
          <w:lang w:val="en-US" w:eastAsia="zh-CN"/>
        </w:rPr>
        <w:t>工作</w:t>
      </w:r>
      <w:r>
        <w:rPr>
          <w:rFonts w:hint="eastAsia" w:ascii="仿宋_GB2312" w:hAnsi="仿宋_GB2312" w:cs="仿宋_GB2312"/>
          <w:szCs w:val="32"/>
        </w:rPr>
        <w:t>重要讲话重要指示精神，坚定有序推进转型发展，突出抓好煤炭清洁高效利用和煤层气全产业链发展，大力发展碳基新材料产业，推动现代农业提质增效、文旅康养深度融合、服务业提档升级，构建具有沁水特色优势的现代化产业体系；推动全面从严治党向纵深发展，以党的建设为引领，推动组织提能、服务提优、治理提效、发展提质“四提协同”，实施先锋行动、清风行动、铸魂行动、平安行动、同心行动、善治行动“六大行动”，以高质量党建引领保障高质量发展，以高质量发展体现高质量党建工作成效。</w:t>
      </w:r>
    </w:p>
    <w:p w14:paraId="014FC352">
      <w:pPr>
        <w:overflowPunct w:val="0"/>
        <w:spacing w:line="622" w:lineRule="exact"/>
        <w:ind w:firstLine="643"/>
        <w:rPr>
          <w:rFonts w:hint="eastAsia" w:ascii="仿宋_GB2312" w:hAnsi="仿宋_GB2312" w:cs="仿宋_GB2312"/>
          <w:b/>
          <w:bCs/>
          <w:szCs w:val="32"/>
        </w:rPr>
      </w:pPr>
      <w:r>
        <w:rPr>
          <w:rFonts w:hint="eastAsia" w:ascii="仿宋_GB2312" w:hAnsi="仿宋_GB2312" w:cs="仿宋_GB2312"/>
          <w:b/>
          <w:bCs/>
          <w:szCs w:val="32"/>
        </w:rPr>
        <w:t>做好“四篇文章”。</w:t>
      </w:r>
      <w:r>
        <w:rPr>
          <w:rFonts w:hint="eastAsia" w:ascii="仿宋_GB2312" w:hAnsi="仿宋_GB2312" w:cs="仿宋_GB2312"/>
          <w:szCs w:val="32"/>
        </w:rPr>
        <w:t>结合我县资源禀赋、发展基础、产业布局，以开发区升级为抓手，打造县域经济强引擎；以新型城镇化建设为依托，优化城乡发展新格局；以乡村全面振兴为基础，推进农业农村现代化；以文旅康养深度融合为突破，培育转型发展新支撑，系统谋划，精准施策，全面激发县域经济社会发展的内生动力，建设美丽富裕新沁水。</w:t>
      </w:r>
    </w:p>
    <w:p w14:paraId="6C04C4D4">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重点聚焦以下六个建设方向：</w:t>
      </w:r>
    </w:p>
    <w:p w14:paraId="6E7F9F08">
      <w:pPr>
        <w:overflowPunct w:val="0"/>
        <w:spacing w:line="622" w:lineRule="exact"/>
        <w:ind w:firstLine="643"/>
        <w:rPr>
          <w:rFonts w:hint="eastAsia" w:ascii="仿宋_GB2312" w:hAnsi="仿宋_GB2312" w:cs="仿宋_GB2312"/>
          <w:szCs w:val="32"/>
        </w:rPr>
      </w:pPr>
      <w:r>
        <w:rPr>
          <w:rFonts w:ascii="Times New Roman" w:hAnsi="Times New Roman" w:cs="Times New Roman"/>
          <w:b/>
          <w:bCs/>
          <w:szCs w:val="32"/>
        </w:rPr>
        <w:t>——</w:t>
      </w:r>
      <w:r>
        <w:rPr>
          <w:rFonts w:hint="eastAsia" w:ascii="仿宋_GB2312" w:hAnsi="仿宋_GB2312" w:cs="仿宋_GB2312"/>
          <w:b/>
          <w:bCs/>
          <w:szCs w:val="32"/>
        </w:rPr>
        <w:t>全省资源型地区转型发展样板区</w:t>
      </w:r>
      <w:r>
        <w:rPr>
          <w:rFonts w:hint="eastAsia" w:ascii="仿宋_GB2312" w:hAnsi="仿宋_GB2312" w:cs="仿宋_GB2312"/>
          <w:b/>
          <w:bCs/>
          <w:szCs w:val="32"/>
          <w:lang w:eastAsia="zh-CN"/>
        </w:rPr>
        <w:t>。</w:t>
      </w:r>
      <w:r>
        <w:rPr>
          <w:rFonts w:hint="eastAsia" w:ascii="仿宋_GB2312" w:hAnsi="仿宋_GB2312" w:cs="仿宋_GB2312"/>
          <w:szCs w:val="32"/>
        </w:rPr>
        <w:t>把握好发挥固有优势和转型发展的平衡，注重新旧动能转换的过渡和衔接，协同推动传统产业转型升级与战略性新兴产业发展壮大，着力打造资源型地区产业转型的“沁水样板”。</w:t>
      </w:r>
    </w:p>
    <w:p w14:paraId="2C684054">
      <w:pPr>
        <w:overflowPunct w:val="0"/>
        <w:spacing w:line="622" w:lineRule="exact"/>
        <w:ind w:firstLine="643"/>
        <w:rPr>
          <w:rFonts w:hint="eastAsia" w:ascii="仿宋_GB2312" w:hAnsi="仿宋_GB2312" w:cs="仿宋_GB2312"/>
          <w:szCs w:val="32"/>
        </w:rPr>
      </w:pPr>
      <w:r>
        <w:rPr>
          <w:rFonts w:ascii="Times New Roman" w:hAnsi="Times New Roman" w:cs="Times New Roman"/>
          <w:b/>
          <w:bCs/>
          <w:szCs w:val="32"/>
        </w:rPr>
        <w:t>——</w:t>
      </w:r>
      <w:r>
        <w:rPr>
          <w:rFonts w:hint="eastAsia" w:ascii="仿宋_GB2312" w:hAnsi="仿宋_GB2312" w:cs="仿宋_GB2312"/>
          <w:b/>
          <w:bCs/>
          <w:szCs w:val="32"/>
        </w:rPr>
        <w:t>全国煤层气产业发展领跑区</w:t>
      </w:r>
      <w:r>
        <w:rPr>
          <w:rFonts w:hint="eastAsia" w:ascii="仿宋_GB2312" w:hAnsi="仿宋_GB2312" w:cs="仿宋_GB2312"/>
          <w:b/>
          <w:bCs/>
          <w:szCs w:val="32"/>
          <w:lang w:eastAsia="zh-CN"/>
        </w:rPr>
        <w:t>。</w:t>
      </w:r>
      <w:r>
        <w:rPr>
          <w:rFonts w:hint="eastAsia" w:ascii="仿宋_GB2312" w:hAnsi="仿宋_GB2312" w:cs="仿宋_GB2312"/>
          <w:szCs w:val="32"/>
        </w:rPr>
        <w:t>把煤层气产业作为推进能源革命的战略突破口，加快增储上产，完善管网建设，拓展消纳利用，做大企业平台，持续建链延链补链强链，实现全产业链发展、全产业链提升。</w:t>
      </w:r>
    </w:p>
    <w:p w14:paraId="3678A33E">
      <w:pPr>
        <w:overflowPunct w:val="0"/>
        <w:spacing w:line="622" w:lineRule="exact"/>
        <w:ind w:firstLine="643"/>
        <w:rPr>
          <w:rFonts w:hint="eastAsia" w:ascii="仿宋_GB2312" w:hAnsi="仿宋_GB2312" w:cs="仿宋_GB2312"/>
          <w:szCs w:val="32"/>
        </w:rPr>
      </w:pPr>
      <w:r>
        <w:rPr>
          <w:rFonts w:ascii="Times New Roman" w:hAnsi="Times New Roman" w:cs="Times New Roman"/>
          <w:b/>
          <w:bCs/>
          <w:szCs w:val="32"/>
        </w:rPr>
        <w:t>——</w:t>
      </w:r>
      <w:r>
        <w:rPr>
          <w:rFonts w:hint="eastAsia" w:ascii="Times New Roman" w:hAnsi="Times New Roman" w:cs="Times New Roman"/>
          <w:b/>
          <w:bCs/>
          <w:szCs w:val="32"/>
        </w:rPr>
        <w:t>全省高端碳基复合新材料产业集聚区</w:t>
      </w:r>
      <w:r>
        <w:rPr>
          <w:rFonts w:hint="eastAsia" w:ascii="仿宋_GB2312" w:hAnsi="仿宋_GB2312" w:cs="仿宋_GB2312"/>
          <w:szCs w:val="32"/>
          <w:lang w:eastAsia="zh-CN"/>
        </w:rPr>
        <w:t>。</w:t>
      </w:r>
      <w:r>
        <w:rPr>
          <w:rFonts w:hint="eastAsia" w:ascii="仿宋_GB2312" w:hAnsi="仿宋_GB2312" w:cs="仿宋_GB2312"/>
          <w:szCs w:val="32"/>
        </w:rPr>
        <w:t>以碳基新材料产业为主攻方向，推动煤炭、煤层气由初级燃料向高价值产品攀升，打造“沁河碳谷”，培塑县域经济高质量发展新的增长极。</w:t>
      </w:r>
    </w:p>
    <w:p w14:paraId="4D1B5B5D">
      <w:pPr>
        <w:overflowPunct w:val="0"/>
        <w:spacing w:line="622" w:lineRule="exact"/>
        <w:ind w:firstLine="643"/>
        <w:rPr>
          <w:rFonts w:hint="eastAsia" w:ascii="仿宋_GB2312" w:hAnsi="仿宋_GB2312" w:cs="仿宋_GB2312"/>
          <w:szCs w:val="32"/>
        </w:rPr>
      </w:pPr>
      <w:r>
        <w:rPr>
          <w:rFonts w:ascii="Times New Roman" w:hAnsi="Times New Roman" w:cs="Times New Roman"/>
          <w:b/>
          <w:bCs/>
          <w:szCs w:val="32"/>
        </w:rPr>
        <w:t>——</w:t>
      </w:r>
      <w:r>
        <w:rPr>
          <w:rFonts w:hint="eastAsia" w:ascii="仿宋_GB2312" w:hAnsi="仿宋_GB2312" w:cs="仿宋_GB2312"/>
          <w:b/>
          <w:bCs/>
          <w:szCs w:val="32"/>
        </w:rPr>
        <w:t>国家生态文明建设涵养区</w:t>
      </w:r>
      <w:r>
        <w:rPr>
          <w:rFonts w:hint="eastAsia" w:ascii="仿宋_GB2312" w:hAnsi="仿宋_GB2312" w:cs="仿宋_GB2312"/>
          <w:szCs w:val="32"/>
          <w:lang w:eastAsia="zh-CN"/>
        </w:rPr>
        <w:t>。</w:t>
      </w:r>
      <w:r>
        <w:rPr>
          <w:rFonts w:hint="eastAsia" w:ascii="仿宋_GB2312" w:hAnsi="仿宋_GB2312" w:cs="仿宋_GB2312"/>
          <w:szCs w:val="32"/>
        </w:rPr>
        <w:t>坚持山水林田湖草沙一体化保护和系统治理，协同推进降碳减污扩绿增长，坚决打好蓝天、碧水、净土污染防治攻坚战，持续巩固全国“两山”实践创新基地创建成果。</w:t>
      </w:r>
    </w:p>
    <w:p w14:paraId="2D8CD075">
      <w:pPr>
        <w:overflowPunct w:val="0"/>
        <w:spacing w:line="622" w:lineRule="exact"/>
        <w:ind w:firstLine="643"/>
        <w:rPr>
          <w:rFonts w:hint="eastAsia" w:ascii="仿宋_GB2312" w:hAnsi="仿宋_GB2312" w:cs="仿宋_GB2312"/>
          <w:szCs w:val="32"/>
        </w:rPr>
      </w:pPr>
      <w:r>
        <w:rPr>
          <w:rFonts w:ascii="Times New Roman" w:hAnsi="Times New Roman" w:cs="Times New Roman"/>
          <w:b/>
          <w:bCs/>
          <w:szCs w:val="32"/>
        </w:rPr>
        <w:t>——</w:t>
      </w:r>
      <w:r>
        <w:rPr>
          <w:rFonts w:hint="eastAsia" w:ascii="仿宋_GB2312" w:hAnsi="仿宋_GB2312" w:cs="仿宋_GB2312"/>
          <w:b/>
          <w:bCs/>
          <w:szCs w:val="32"/>
        </w:rPr>
        <w:t>华北文旅康养深度融合标杆区</w:t>
      </w:r>
      <w:r>
        <w:rPr>
          <w:rFonts w:hint="eastAsia" w:ascii="仿宋_GB2312" w:hAnsi="仿宋_GB2312" w:cs="仿宋_GB2312"/>
          <w:szCs w:val="32"/>
          <w:lang w:eastAsia="zh-CN"/>
        </w:rPr>
        <w:t>。</w:t>
      </w:r>
      <w:r>
        <w:rPr>
          <w:rFonts w:hint="eastAsia" w:ascii="仿宋_GB2312" w:hAnsi="仿宋_GB2312" w:cs="仿宋_GB2312"/>
          <w:szCs w:val="32"/>
        </w:rPr>
        <w:t>围绕文旅康养深度融合，统筹推动资源整合、开发运营与产品打造，推动重点景区建设，加强历史文化遗产保护，打造国内知名文旅康养目的地。</w:t>
      </w:r>
    </w:p>
    <w:p w14:paraId="678C509F">
      <w:pPr>
        <w:overflowPunct w:val="0"/>
        <w:spacing w:line="622" w:lineRule="exact"/>
        <w:ind w:firstLine="643" w:firstLineChars="200"/>
        <w:jc w:val="both"/>
        <w:rPr>
          <w:rFonts w:ascii="Times New Roman" w:hAnsi="Times New Roman" w:cs="Times New Roman"/>
        </w:rPr>
      </w:pPr>
      <w:r>
        <w:rPr>
          <w:rFonts w:ascii="Times New Roman" w:hAnsi="Times New Roman" w:cs="Times New Roman"/>
          <w:b/>
          <w:bCs/>
          <w:szCs w:val="32"/>
        </w:rPr>
        <w:t>——</w:t>
      </w:r>
      <w:r>
        <w:rPr>
          <w:rFonts w:hint="eastAsia" w:ascii="仿宋_GB2312" w:hAnsi="仿宋_GB2312" w:cs="仿宋_GB2312"/>
          <w:b/>
          <w:bCs/>
          <w:szCs w:val="32"/>
        </w:rPr>
        <w:t>城乡融合及共同富裕先行区</w:t>
      </w:r>
      <w:r>
        <w:rPr>
          <w:rFonts w:hint="eastAsia" w:ascii="仿宋_GB2312" w:hAnsi="仿宋_GB2312" w:cs="仿宋_GB2312"/>
          <w:b/>
          <w:bCs/>
          <w:szCs w:val="32"/>
          <w:lang w:eastAsia="zh-CN"/>
        </w:rPr>
        <w:t>。</w:t>
      </w:r>
      <w:r>
        <w:rPr>
          <w:rFonts w:hint="eastAsia" w:ascii="仿宋_GB2312" w:hAnsi="仿宋_GB2312" w:cs="仿宋_GB2312"/>
          <w:szCs w:val="32"/>
        </w:rPr>
        <w:t>协同推进乡村全面振兴和新型城镇化建设，以提升城乡居民收入为目标，鼓励创业带动就业，筑牢增收根基；切实保障和改善民生，全力打造在全省具有示范意义的城乡融合及共同富裕先行区。</w:t>
      </w:r>
      <w:bookmarkStart w:id="16" w:name="_Toc15308"/>
    </w:p>
    <w:p w14:paraId="0CFDD61B">
      <w:pPr>
        <w:overflowPunct w:val="0"/>
        <w:spacing w:line="622" w:lineRule="exact"/>
        <w:ind w:firstLine="0" w:firstLineChars="0"/>
        <w:jc w:val="center"/>
        <w:outlineLvl w:val="1"/>
        <w:rPr>
          <w:rFonts w:hint="eastAsia" w:ascii="楷体_GB2312" w:hAnsi="楷体_GB2312" w:eastAsia="楷体_GB2312" w:cs="楷体_GB2312"/>
        </w:rPr>
      </w:pPr>
      <w:bookmarkStart w:id="17" w:name="_Toc7423"/>
      <w:r>
        <w:rPr>
          <w:rFonts w:hint="eastAsia" w:ascii="楷体_GB2312" w:hAnsi="楷体_GB2312" w:eastAsia="楷体_GB2312" w:cs="楷体_GB2312"/>
        </w:rPr>
        <w:t>第四节  主要目标</w:t>
      </w:r>
      <w:bookmarkEnd w:id="16"/>
      <w:bookmarkEnd w:id="17"/>
    </w:p>
    <w:p w14:paraId="010B8455">
      <w:pPr>
        <w:overflowPunct w:val="0"/>
        <w:spacing w:line="622" w:lineRule="exact"/>
        <w:ind w:firstLine="640"/>
        <w:rPr>
          <w:rFonts w:hint="eastAsia" w:ascii="仿宋_GB2312" w:hAnsi="仿宋_GB2312" w:cs="仿宋_GB2312"/>
          <w:szCs w:val="32"/>
        </w:rPr>
      </w:pPr>
    </w:p>
    <w:p w14:paraId="31E05F09">
      <w:pPr>
        <w:overflowPunct w:val="0"/>
        <w:spacing w:line="622" w:lineRule="exact"/>
        <w:ind w:firstLine="640"/>
        <w:rPr>
          <w:rFonts w:hint="eastAsia" w:ascii="仿宋_GB2312" w:hAnsi="仿宋_GB2312" w:cs="仿宋_GB2312"/>
          <w:bCs/>
          <w:kern w:val="0"/>
          <w:szCs w:val="32"/>
          <w:shd w:val="clear" w:color="auto" w:fill="FFFFFF"/>
        </w:rPr>
      </w:pPr>
      <w:r>
        <w:rPr>
          <w:rFonts w:hint="eastAsia" w:ascii="仿宋_GB2312" w:hAnsi="仿宋_GB2312" w:cs="仿宋_GB2312"/>
          <w:szCs w:val="32"/>
        </w:rPr>
        <w:t>“十五五”时期，是沁水在推动资源型经济转型发展上争先领跑、奋力跻身中部地区县域发展综合竞争力第一方阵的关键五年，</w:t>
      </w:r>
      <w:r>
        <w:rPr>
          <w:rFonts w:hint="eastAsia" w:ascii="仿宋_GB2312" w:hAnsi="仿宋_GB2312" w:cs="仿宋_GB2312"/>
          <w:bCs/>
          <w:kern w:val="0"/>
          <w:szCs w:val="32"/>
          <w:shd w:val="clear" w:color="auto" w:fill="FFFFFF"/>
        </w:rPr>
        <w:t>必须结合沁水发展实际，与国家省市上位规划目标相衔接，确定发展目标和指标体系。到“十五五”末，经济社会发展主要实现以下目标：</w:t>
      </w:r>
    </w:p>
    <w:p w14:paraId="07AAB1EB">
      <w:pPr>
        <w:overflowPunct w:val="0"/>
        <w:spacing w:line="622" w:lineRule="exact"/>
        <w:ind w:firstLine="643"/>
        <w:rPr>
          <w:rFonts w:hint="eastAsia" w:ascii="仿宋_GB2312" w:hAnsi="仿宋_GB2312" w:cs="仿宋_GB2312"/>
          <w:szCs w:val="32"/>
        </w:rPr>
      </w:pPr>
      <w:r>
        <w:rPr>
          <w:rFonts w:ascii="Times New Roman" w:hAnsi="Times New Roman" w:cs="Times New Roman"/>
          <w:b/>
          <w:bCs/>
          <w:szCs w:val="32"/>
        </w:rPr>
        <w:t>——</w:t>
      </w:r>
      <w:r>
        <w:rPr>
          <w:rFonts w:hint="eastAsia" w:ascii="仿宋_GB2312" w:hAnsi="仿宋_GB2312" w:cs="仿宋_GB2312"/>
          <w:b/>
          <w:bCs/>
          <w:szCs w:val="32"/>
        </w:rPr>
        <w:t>高</w:t>
      </w:r>
      <w:r>
        <w:rPr>
          <w:rFonts w:hint="eastAsia" w:ascii="仿宋_GB2312" w:hAnsi="仿宋_GB2312" w:cs="仿宋_GB2312"/>
          <w:b/>
          <w:bCs/>
          <w:spacing w:val="-6"/>
          <w:szCs w:val="32"/>
        </w:rPr>
        <w:t>质量发展</w:t>
      </w:r>
      <w:r>
        <w:rPr>
          <w:rFonts w:hint="eastAsia" w:ascii="仿宋_GB2312" w:hAnsi="仿宋_GB2312" w:cs="仿宋_GB2312"/>
          <w:b/>
          <w:bCs/>
          <w:szCs w:val="32"/>
          <w:lang w:eastAsia="zh-CN"/>
        </w:rPr>
        <w:t>迈上新台阶</w:t>
      </w:r>
      <w:r>
        <w:rPr>
          <w:rFonts w:hint="eastAsia" w:ascii="仿宋_GB2312" w:hAnsi="仿宋_GB2312" w:cs="仿宋_GB2312"/>
          <w:b/>
          <w:bCs/>
          <w:spacing w:val="-6"/>
          <w:szCs w:val="32"/>
        </w:rPr>
        <w:t>。</w:t>
      </w:r>
      <w:r>
        <w:rPr>
          <w:rFonts w:hint="eastAsia" w:ascii="仿宋_GB2312" w:hAnsi="仿宋_GB2312" w:cs="仿宋_GB2312"/>
          <w:spacing w:val="-6"/>
          <w:szCs w:val="32"/>
        </w:rPr>
        <w:t>经济增长保持在合理区间，全要素生产率稳步提升，居民消费率明显提高，内需拉动经济增长作用持续增强，经济增长潜力得到充分释放，新型工业化、信息化、城镇化、农业现代化取得重大进展，发展新质生产力、服务和融入新发展格局、推动建设现代化经济体系取得重大突破，实现更高质量更有效率更加公平更可持续更为安全的发展。</w:t>
      </w:r>
    </w:p>
    <w:p w14:paraId="3A783497">
      <w:pPr>
        <w:overflowPunct w:val="0"/>
        <w:spacing w:line="622" w:lineRule="exact"/>
        <w:ind w:firstLine="643"/>
        <w:rPr>
          <w:rFonts w:hint="eastAsia" w:ascii="仿宋_GB2312" w:hAnsi="仿宋_GB2312" w:cs="仿宋_GB2312"/>
          <w:szCs w:val="32"/>
        </w:rPr>
      </w:pPr>
      <w:r>
        <w:rPr>
          <w:rFonts w:ascii="Times New Roman" w:hAnsi="Times New Roman" w:cs="Times New Roman"/>
          <w:b/>
          <w:bCs/>
          <w:szCs w:val="32"/>
        </w:rPr>
        <w:t>——</w:t>
      </w:r>
      <w:r>
        <w:rPr>
          <w:rFonts w:hint="eastAsia" w:ascii="仿宋_GB2312" w:hAnsi="仿宋_GB2312" w:cs="仿宋_GB2312"/>
          <w:b/>
          <w:bCs/>
          <w:szCs w:val="32"/>
        </w:rPr>
        <w:t>资源型经济转型取得</w:t>
      </w:r>
      <w:r>
        <w:rPr>
          <w:rFonts w:hint="eastAsia" w:ascii="仿宋_GB2312" w:hAnsi="仿宋_GB2312" w:cs="仿宋_GB2312"/>
          <w:b/>
          <w:bCs/>
          <w:szCs w:val="32"/>
          <w:lang w:eastAsia="zh-CN"/>
        </w:rPr>
        <w:t>新成效</w:t>
      </w:r>
      <w:r>
        <w:rPr>
          <w:rFonts w:hint="eastAsia" w:ascii="仿宋_GB2312" w:hAnsi="仿宋_GB2312" w:cs="仿宋_GB2312"/>
          <w:b/>
          <w:bCs/>
          <w:szCs w:val="32"/>
        </w:rPr>
        <w:t>。</w:t>
      </w:r>
      <w:r>
        <w:rPr>
          <w:rFonts w:hint="eastAsia" w:ascii="仿宋_GB2312" w:hAnsi="仿宋_GB2312" w:cs="仿宋_GB2312"/>
          <w:szCs w:val="32"/>
        </w:rPr>
        <w:t>能源转型、产业升级、适度多元发展取得明显成效，能源革命纵深推进，煤炭清洁高效利用水平持续提升，煤层气产业全链条发展，以碳基新材料产业为引领的新兴产业加速崛起，“特”“优”农业和文旅康养产业成为新的经济增长点，体现沁水特点、具有比较优势的现代化产业体系加速形成。</w:t>
      </w:r>
    </w:p>
    <w:p w14:paraId="30864721">
      <w:pPr>
        <w:overflowPunct w:val="0"/>
        <w:spacing w:line="622" w:lineRule="exact"/>
        <w:ind w:firstLine="643"/>
        <w:rPr>
          <w:rFonts w:hint="eastAsia" w:ascii="仿宋_GB2312" w:hAnsi="仿宋_GB2312" w:cs="仿宋_GB2312"/>
          <w:szCs w:val="32"/>
        </w:rPr>
      </w:pPr>
      <w:r>
        <w:rPr>
          <w:rFonts w:ascii="Times New Roman" w:hAnsi="Times New Roman" w:cs="Times New Roman"/>
          <w:b/>
          <w:bCs/>
          <w:szCs w:val="32"/>
        </w:rPr>
        <w:t>——</w:t>
      </w:r>
      <w:r>
        <w:rPr>
          <w:rFonts w:hint="eastAsia" w:ascii="仿宋_GB2312" w:hAnsi="仿宋_GB2312" w:cs="仿宋_GB2312"/>
          <w:b/>
          <w:bCs/>
          <w:szCs w:val="32"/>
          <w:lang w:eastAsia="zh-CN"/>
        </w:rPr>
        <w:t>区域创新能力得到新提升</w:t>
      </w:r>
      <w:r>
        <w:rPr>
          <w:rFonts w:hint="eastAsia" w:ascii="仿宋_GB2312" w:hAnsi="仿宋_GB2312" w:cs="仿宋_GB2312"/>
          <w:b/>
          <w:bCs/>
          <w:szCs w:val="32"/>
        </w:rPr>
        <w:t>。</w:t>
      </w:r>
      <w:r>
        <w:rPr>
          <w:rFonts w:hint="eastAsia" w:ascii="仿宋_GB2312" w:hAnsi="仿宋_GB2312" w:cs="仿宋_GB2312"/>
          <w:szCs w:val="32"/>
        </w:rPr>
        <w:t>科技创新和产业创新深度融合，教育科技人才一体发展格局基本形成，科技创新体制机制不断健全，研发投入强度、创新能力指数持续提升，重点领域关键核心技术攻关取得新突破，高水平创新平台和人才队伍持续壮大，科技成果转化步伐加快，支撑能源革命、产业转型、绿色低碳发展的区域创新能力显著提升。</w:t>
      </w:r>
    </w:p>
    <w:p w14:paraId="2A639D0C">
      <w:pPr>
        <w:overflowPunct w:val="0"/>
        <w:spacing w:line="622" w:lineRule="exact"/>
        <w:ind w:firstLine="643"/>
        <w:rPr>
          <w:rFonts w:hint="eastAsia" w:ascii="仿宋_GB2312" w:hAnsi="仿宋_GB2312" w:cs="仿宋_GB2312"/>
          <w:szCs w:val="32"/>
        </w:rPr>
      </w:pPr>
      <w:r>
        <w:rPr>
          <w:rFonts w:ascii="Times New Roman" w:hAnsi="Times New Roman" w:cs="Times New Roman"/>
          <w:b/>
          <w:bCs/>
          <w:szCs w:val="32"/>
        </w:rPr>
        <w:t>——</w:t>
      </w:r>
      <w:r>
        <w:rPr>
          <w:rFonts w:hint="eastAsia" w:ascii="仿宋_GB2312" w:hAnsi="仿宋_GB2312" w:cs="仿宋_GB2312"/>
          <w:b/>
          <w:bCs/>
          <w:szCs w:val="32"/>
          <w:lang w:eastAsia="zh-CN"/>
        </w:rPr>
        <w:t>进一步全面深化改革取得新突破</w:t>
      </w:r>
      <w:r>
        <w:rPr>
          <w:rFonts w:hint="eastAsia" w:ascii="仿宋_GB2312" w:hAnsi="仿宋_GB2312" w:cs="仿宋_GB2312"/>
          <w:b/>
          <w:bCs/>
          <w:szCs w:val="32"/>
        </w:rPr>
        <w:t>。</w:t>
      </w:r>
      <w:r>
        <w:rPr>
          <w:rFonts w:hint="eastAsia" w:ascii="仿宋_GB2312" w:hAnsi="仿宋_GB2312" w:cs="仿宋_GB2312"/>
          <w:szCs w:val="32"/>
        </w:rPr>
        <w:t>治理体系和治理能力现代化深入推进，社会主义市场经济体制更加完善，高水平对外开放体制机制更加健全，支撑高质量发展和全方位转型的体制机制进一步完善，全过程人民民主制度化、规范化、程序化水平进一步提高，法治沁水建设达到更高水平，进一步全面深化改革重点任务如期完成。</w:t>
      </w:r>
    </w:p>
    <w:p w14:paraId="4A8CA9F4">
      <w:pPr>
        <w:overflowPunct w:val="0"/>
        <w:spacing w:line="622" w:lineRule="exact"/>
        <w:ind w:firstLine="643"/>
        <w:rPr>
          <w:rFonts w:hint="eastAsia" w:ascii="仿宋_GB2312" w:hAnsi="仿宋_GB2312" w:cs="仿宋_GB2312"/>
          <w:szCs w:val="32"/>
        </w:rPr>
      </w:pPr>
      <w:r>
        <w:rPr>
          <w:rFonts w:ascii="Times New Roman" w:hAnsi="Times New Roman" w:cs="Times New Roman"/>
          <w:b/>
          <w:bCs/>
          <w:szCs w:val="32"/>
        </w:rPr>
        <w:t>——</w:t>
      </w:r>
      <w:r>
        <w:rPr>
          <w:rFonts w:hint="eastAsia" w:ascii="仿宋_GB2312" w:hAnsi="仿宋_GB2312" w:cs="仿宋_GB2312"/>
          <w:b/>
          <w:bCs/>
          <w:szCs w:val="32"/>
        </w:rPr>
        <w:t>新型城镇化建设取得</w:t>
      </w:r>
      <w:r>
        <w:rPr>
          <w:rFonts w:hint="eastAsia" w:ascii="仿宋_GB2312" w:hAnsi="仿宋_GB2312" w:cs="仿宋_GB2312"/>
          <w:b/>
          <w:bCs/>
          <w:szCs w:val="32"/>
          <w:lang w:eastAsia="zh-CN"/>
        </w:rPr>
        <w:t>新</w:t>
      </w:r>
      <w:r>
        <w:rPr>
          <w:rFonts w:hint="eastAsia" w:ascii="仿宋_GB2312" w:hAnsi="仿宋_GB2312" w:cs="仿宋_GB2312"/>
          <w:b/>
          <w:bCs/>
          <w:szCs w:val="32"/>
        </w:rPr>
        <w:t>进展。</w:t>
      </w:r>
      <w:r>
        <w:rPr>
          <w:rFonts w:hint="eastAsia" w:ascii="仿宋_GB2312" w:hAnsi="仿宋_GB2312" w:cs="仿宋_GB2312"/>
          <w:szCs w:val="32"/>
        </w:rPr>
        <w:t>城市建设三年行动深入推进，“一城山水半城园”景观格局全面彰显，打造创新、宜居、美丽、韧性、文明、智慧的现代化人民城市。西部以县城为中心、东部以“端氏—嘉峰”片区为牵引的县域东西并进发展态势加速实现，特色城镇和中心村建设持续强化，产业、要素、社会实现深度融合，形成全域协同的良好局面。</w:t>
      </w:r>
    </w:p>
    <w:p w14:paraId="1160D241">
      <w:pPr>
        <w:overflowPunct w:val="0"/>
        <w:spacing w:line="622" w:lineRule="exact"/>
        <w:ind w:firstLine="643"/>
        <w:rPr>
          <w:rFonts w:hint="eastAsia" w:ascii="仿宋_GB2312" w:hAnsi="仿宋_GB2312" w:cs="仿宋_GB2312"/>
        </w:rPr>
      </w:pPr>
      <w:r>
        <w:rPr>
          <w:rFonts w:ascii="Times New Roman" w:hAnsi="Times New Roman" w:cs="Times New Roman"/>
          <w:b/>
          <w:bCs/>
          <w:szCs w:val="32"/>
        </w:rPr>
        <w:t>——</w:t>
      </w:r>
      <w:r>
        <w:rPr>
          <w:rFonts w:hint="eastAsia" w:ascii="仿宋_GB2312" w:hAnsi="仿宋_GB2312" w:cs="仿宋_GB2312"/>
          <w:b/>
          <w:bCs/>
          <w:szCs w:val="32"/>
        </w:rPr>
        <w:t>乡</w:t>
      </w:r>
      <w:r>
        <w:rPr>
          <w:rFonts w:hint="eastAsia" w:ascii="仿宋_GB2312" w:hAnsi="仿宋_GB2312" w:cs="仿宋_GB2312"/>
          <w:b/>
          <w:bCs/>
          <w:spacing w:val="-6"/>
          <w:szCs w:val="32"/>
        </w:rPr>
        <w:t>村全面振兴</w:t>
      </w:r>
      <w:r>
        <w:rPr>
          <w:rFonts w:hint="eastAsia" w:ascii="仿宋_GB2312" w:hAnsi="仿宋_GB2312" w:cs="仿宋_GB2312"/>
          <w:b/>
          <w:bCs/>
          <w:szCs w:val="32"/>
          <w:lang w:eastAsia="zh-CN"/>
        </w:rPr>
        <w:t>呈现新面貌。</w:t>
      </w:r>
      <w:r>
        <w:rPr>
          <w:rFonts w:hint="eastAsia" w:ascii="仿宋_GB2312" w:hAnsi="仿宋_GB2312" w:cs="仿宋_GB2312"/>
          <w:spacing w:val="-6"/>
          <w:szCs w:val="32"/>
        </w:rPr>
        <w:t>学习运用“千万工程”经验取得显著成效，乡村建设“六统一</w:t>
      </w:r>
      <w:r>
        <w:rPr>
          <w:rFonts w:hint="eastAsia" w:ascii="仿宋_GB2312" w:hAnsi="仿宋_GB2312" w:cs="仿宋_GB2312"/>
          <w:spacing w:val="-6"/>
          <w:szCs w:val="32"/>
          <w:lang w:eastAsia="zh-CN"/>
        </w:rPr>
        <w:t>、</w:t>
      </w:r>
      <w:r>
        <w:rPr>
          <w:rFonts w:hint="eastAsia" w:ascii="仿宋_GB2312" w:hAnsi="仿宋_GB2312" w:cs="仿宋_GB2312"/>
          <w:spacing w:val="-6"/>
          <w:szCs w:val="32"/>
        </w:rPr>
        <w:t>六提质”三年行动深入推进，“特”“优”农业产业链持续壮大，粮食安全保障能力持续增强，宜居宜业和美乡村建设成效显著，乡村发展活力全面迸发。</w:t>
      </w:r>
    </w:p>
    <w:p w14:paraId="4A6ECE92">
      <w:pPr>
        <w:overflowPunct w:val="0"/>
        <w:spacing w:line="622" w:lineRule="exact"/>
        <w:ind w:firstLine="643"/>
        <w:rPr>
          <w:rFonts w:hint="eastAsia" w:ascii="仿宋_GB2312" w:hAnsi="仿宋_GB2312" w:cs="仿宋_GB2312"/>
          <w:szCs w:val="32"/>
        </w:rPr>
      </w:pPr>
      <w:r>
        <w:rPr>
          <w:rFonts w:ascii="Times New Roman" w:hAnsi="Times New Roman" w:cs="Times New Roman"/>
          <w:b/>
          <w:bCs/>
          <w:szCs w:val="32"/>
        </w:rPr>
        <w:t>——</w:t>
      </w:r>
      <w:r>
        <w:rPr>
          <w:rFonts w:hint="eastAsia" w:ascii="仿宋_GB2312" w:hAnsi="仿宋_GB2312" w:cs="仿宋_GB2312"/>
          <w:b/>
          <w:bCs/>
          <w:szCs w:val="32"/>
        </w:rPr>
        <w:t>人民生活品质</w:t>
      </w:r>
      <w:r>
        <w:rPr>
          <w:rFonts w:hint="eastAsia" w:ascii="仿宋_GB2312" w:hAnsi="仿宋_GB2312" w:cs="仿宋_GB2312"/>
          <w:b/>
          <w:bCs/>
          <w:szCs w:val="32"/>
          <w:lang w:eastAsia="zh-CN"/>
        </w:rPr>
        <w:t>达到新水平。</w:t>
      </w:r>
      <w:r>
        <w:rPr>
          <w:rFonts w:hint="eastAsia" w:ascii="仿宋_GB2312" w:hAnsi="仿宋_GB2312" w:cs="仿宋_GB2312"/>
          <w:szCs w:val="32"/>
        </w:rPr>
        <w:t>高质量充分就业取得新进展，居民收入增长和经济增长同步、劳动报酬提高和劳动生产率提高同步，城乡居民收入差距进一步缩小，中等收入群体持续扩大，社会保障制度更加优化更可持续，基本公共服务均等化水平明显提升，公共文化服务体系和文化产业体系更加健全，人民精神文化生活更加丰富，共同富裕迈出坚实步伐。</w:t>
      </w:r>
    </w:p>
    <w:p w14:paraId="17F79168">
      <w:pPr>
        <w:overflowPunct w:val="0"/>
        <w:spacing w:line="622" w:lineRule="exact"/>
        <w:ind w:firstLine="643"/>
        <w:rPr>
          <w:rFonts w:hint="eastAsia" w:ascii="仿宋_GB2312" w:hAnsi="仿宋_GB2312" w:cs="仿宋_GB2312"/>
          <w:szCs w:val="32"/>
        </w:rPr>
      </w:pPr>
      <w:r>
        <w:rPr>
          <w:rFonts w:ascii="Times New Roman" w:hAnsi="Times New Roman" w:cs="Times New Roman"/>
          <w:b/>
          <w:bCs/>
          <w:szCs w:val="32"/>
        </w:rPr>
        <w:t>——</w:t>
      </w:r>
      <w:r>
        <w:rPr>
          <w:rFonts w:hint="eastAsia" w:ascii="仿宋_GB2312" w:hAnsi="仿宋_GB2312" w:cs="仿宋_GB2312"/>
          <w:b/>
          <w:bCs/>
          <w:szCs w:val="32"/>
        </w:rPr>
        <w:t>美丽沁水建设迈出新步伐。</w:t>
      </w:r>
      <w:r>
        <w:rPr>
          <w:rFonts w:hint="eastAsia" w:ascii="仿宋_GB2312" w:hAnsi="仿宋_GB2312" w:cs="仿宋_GB2312"/>
          <w:szCs w:val="32"/>
        </w:rPr>
        <w:t>黄河流域生态保护和高质量发展战略深入推进，沁河生态环境质量持续改善，空气质量始终保持在较高水平，土壤环境质量巩固提升，绿色生产生活方式基本形成，主要污染物排放总量持续减少，资源节约集约利用水平显著提高，生态系统多样性稳定性持续性不断提升，为国家、省、市如期实现碳达峰目标作出沁水贡献。</w:t>
      </w:r>
    </w:p>
    <w:p w14:paraId="0F91F882">
      <w:pPr>
        <w:overflowPunct w:val="0"/>
        <w:spacing w:line="622" w:lineRule="exact"/>
        <w:ind w:firstLine="643"/>
        <w:rPr>
          <w:rFonts w:ascii="Times New Roman" w:hAnsi="Times New Roman" w:cs="Times New Roman"/>
          <w:szCs w:val="32"/>
        </w:rPr>
      </w:pPr>
      <w:r>
        <w:rPr>
          <w:rFonts w:ascii="Times New Roman" w:hAnsi="Times New Roman" w:cs="Times New Roman"/>
          <w:b/>
          <w:bCs/>
          <w:szCs w:val="32"/>
        </w:rPr>
        <w:t>——</w:t>
      </w:r>
      <w:r>
        <w:rPr>
          <w:rFonts w:hint="eastAsia" w:ascii="仿宋_GB2312" w:hAnsi="仿宋_GB2312" w:cs="仿宋_GB2312"/>
          <w:b/>
          <w:bCs/>
          <w:szCs w:val="32"/>
          <w:lang w:eastAsia="zh-CN"/>
        </w:rPr>
        <w:t>社会治理</w:t>
      </w:r>
      <w:r>
        <w:rPr>
          <w:rFonts w:hint="eastAsia" w:ascii="仿宋_GB2312" w:hAnsi="仿宋_GB2312" w:cs="仿宋_GB2312"/>
          <w:b/>
          <w:bCs/>
          <w:szCs w:val="32"/>
        </w:rPr>
        <w:t>和安全</w:t>
      </w:r>
      <w:r>
        <w:rPr>
          <w:rFonts w:hint="eastAsia" w:ascii="仿宋_GB2312" w:hAnsi="仿宋_GB2312" w:cs="仿宋_GB2312"/>
          <w:b/>
          <w:bCs/>
          <w:szCs w:val="32"/>
          <w:lang w:eastAsia="zh-CN"/>
        </w:rPr>
        <w:t>保障</w:t>
      </w:r>
      <w:r>
        <w:rPr>
          <w:rFonts w:hint="eastAsia" w:ascii="仿宋_GB2312" w:hAnsi="仿宋_GB2312" w:cs="仿宋_GB2312"/>
          <w:b/>
          <w:bCs/>
          <w:szCs w:val="32"/>
        </w:rPr>
        <w:t>能力得到新加强。</w:t>
      </w:r>
      <w:r>
        <w:rPr>
          <w:rFonts w:hint="eastAsia" w:ascii="仿宋_GB2312" w:hAnsi="仿宋_GB2312" w:cs="仿宋_GB2312"/>
          <w:szCs w:val="32"/>
        </w:rPr>
        <w:t>重点领域风险得到有效防范化解，安全生产本质安全水平和自然灾害防治能力有效提升，治理体系和治理能力现代化深入推进，社会治理和公共安全治理水平明显提高，平安沁水建设达到更高水平。</w:t>
      </w:r>
    </w:p>
    <w:p w14:paraId="0A63F72E">
      <w:pPr>
        <w:pStyle w:val="10"/>
        <w:keepNext/>
        <w:keepLines w:val="0"/>
        <w:pageBreakBefore w:val="0"/>
        <w:widowControl w:val="0"/>
        <w:kinsoku/>
        <w:wordWrap/>
        <w:overflowPunct w:val="0"/>
        <w:topLinePunct w:val="0"/>
        <w:autoSpaceDE/>
        <w:autoSpaceDN/>
        <w:bidi w:val="0"/>
        <w:adjustRightInd w:val="0"/>
        <w:snapToGrid w:val="0"/>
        <w:spacing w:after="157" w:afterLines="50" w:line="622" w:lineRule="exact"/>
        <w:ind w:left="0" w:leftChars="0" w:firstLine="0" w:firstLineChars="0"/>
        <w:jc w:val="center"/>
        <w:textAlignment w:val="auto"/>
        <w:outlineLvl w:val="9"/>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lang w:val="en-US" w:eastAsia="zh-CN"/>
        </w:rPr>
        <w:t>专栏1</w:t>
      </w:r>
      <w:r>
        <w:rPr>
          <w:rFonts w:hint="eastAsia" w:ascii="黑体" w:hAnsi="黑体" w:eastAsia="黑体" w:cs="黑体"/>
          <w:b w:val="0"/>
          <w:bCs w:val="0"/>
          <w:color w:val="auto"/>
          <w:sz w:val="30"/>
          <w:szCs w:val="30"/>
          <w:highlight w:val="none"/>
        </w:rPr>
        <w:t>“十五五”时期沁水县国民经济和社会发展主要指标</w:t>
      </w:r>
    </w:p>
    <w:tbl>
      <w:tblPr>
        <w:tblStyle w:val="20"/>
        <w:tblW w:w="923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Layout w:type="autofit"/>
        <w:tblCellMar>
          <w:top w:w="0" w:type="dxa"/>
          <w:left w:w="0" w:type="dxa"/>
          <w:bottom w:w="0" w:type="dxa"/>
          <w:right w:w="0" w:type="dxa"/>
        </w:tblCellMar>
      </w:tblPr>
      <w:tblGrid>
        <w:gridCol w:w="485"/>
        <w:gridCol w:w="531"/>
        <w:gridCol w:w="1240"/>
        <w:gridCol w:w="1631"/>
        <w:gridCol w:w="1243"/>
        <w:gridCol w:w="1553"/>
        <w:gridCol w:w="1710"/>
        <w:gridCol w:w="840"/>
      </w:tblGrid>
      <w:tr w14:paraId="3051C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tblHeader/>
          <w:jc w:val="center"/>
        </w:trPr>
        <w:tc>
          <w:tcPr>
            <w:tcW w:w="0" w:type="auto"/>
            <w:tcBorders>
              <w:tl2br w:val="nil"/>
              <w:tr2bl w:val="nil"/>
            </w:tcBorders>
            <w:shd w:val="clear" w:color="auto" w:fill="FFFFFF"/>
            <w:tcMar>
              <w:top w:w="90" w:type="dxa"/>
              <w:left w:w="135" w:type="dxa"/>
              <w:bottom w:w="90" w:type="dxa"/>
              <w:right w:w="135" w:type="dxa"/>
            </w:tcMar>
            <w:vAlign w:val="center"/>
          </w:tcPr>
          <w:p w14:paraId="62E9FFCF">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i w:val="0"/>
                <w:iCs w:val="0"/>
                <w:caps w:val="0"/>
                <w:color w:val="auto"/>
                <w:spacing w:val="0"/>
                <w:sz w:val="20"/>
                <w:szCs w:val="20"/>
              </w:rPr>
            </w:pPr>
            <w:r>
              <w:rPr>
                <w:rFonts w:hint="default" w:ascii="Times New Roman" w:hAnsi="Times New Roman" w:cs="Times New Roman" w:eastAsiaTheme="minorEastAsia"/>
                <w:b/>
                <w:bCs/>
                <w:i w:val="0"/>
                <w:iCs w:val="0"/>
                <w:caps w:val="0"/>
                <w:color w:val="auto"/>
                <w:spacing w:val="0"/>
                <w:kern w:val="0"/>
                <w:sz w:val="20"/>
                <w:szCs w:val="20"/>
                <w:lang w:val="en-US" w:eastAsia="zh-CN" w:bidi="ar"/>
              </w:rPr>
              <w:t>类别</w:t>
            </w:r>
          </w:p>
        </w:tc>
        <w:tc>
          <w:tcPr>
            <w:tcW w:w="0" w:type="auto"/>
            <w:tcBorders>
              <w:tl2br w:val="nil"/>
              <w:tr2bl w:val="nil"/>
            </w:tcBorders>
            <w:shd w:val="clear" w:color="auto" w:fill="FFFFFF"/>
            <w:tcMar>
              <w:top w:w="90" w:type="dxa"/>
              <w:left w:w="135" w:type="dxa"/>
              <w:bottom w:w="90" w:type="dxa"/>
              <w:right w:w="135" w:type="dxa"/>
            </w:tcMar>
            <w:vAlign w:val="center"/>
          </w:tcPr>
          <w:p w14:paraId="50E17ABF">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i w:val="0"/>
                <w:iCs w:val="0"/>
                <w:caps w:val="0"/>
                <w:color w:val="auto"/>
                <w:spacing w:val="0"/>
                <w:kern w:val="2"/>
                <w:sz w:val="20"/>
                <w:szCs w:val="20"/>
                <w:lang w:val="en-US" w:eastAsia="zh-CN" w:bidi="ar-SA"/>
              </w:rPr>
            </w:pPr>
            <w:r>
              <w:rPr>
                <w:rFonts w:hint="default" w:ascii="Times New Roman" w:hAnsi="Times New Roman" w:cs="Times New Roman" w:eastAsiaTheme="minorEastAsia"/>
                <w:b/>
                <w:bCs/>
                <w:i w:val="0"/>
                <w:iCs w:val="0"/>
                <w:caps w:val="0"/>
                <w:color w:val="auto"/>
                <w:spacing w:val="0"/>
                <w:kern w:val="0"/>
                <w:sz w:val="20"/>
                <w:szCs w:val="20"/>
                <w:lang w:val="en-US" w:eastAsia="zh-CN" w:bidi="ar"/>
              </w:rPr>
              <w:t>序号</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58BC2136">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i w:val="0"/>
                <w:iCs w:val="0"/>
                <w:caps w:val="0"/>
                <w:color w:val="auto"/>
                <w:spacing w:val="0"/>
                <w:sz w:val="20"/>
                <w:szCs w:val="20"/>
              </w:rPr>
            </w:pPr>
            <w:r>
              <w:rPr>
                <w:rFonts w:hint="default" w:ascii="Times New Roman" w:hAnsi="Times New Roman" w:cs="Times New Roman" w:eastAsiaTheme="minorEastAsia"/>
                <w:b/>
                <w:bCs/>
                <w:i w:val="0"/>
                <w:iCs w:val="0"/>
                <w:caps w:val="0"/>
                <w:color w:val="auto"/>
                <w:spacing w:val="0"/>
                <w:kern w:val="0"/>
                <w:sz w:val="20"/>
                <w:szCs w:val="20"/>
                <w:lang w:val="en-US" w:eastAsia="zh-CN" w:bidi="ar"/>
              </w:rPr>
              <w:t>指标名称</w:t>
            </w:r>
          </w:p>
        </w:tc>
        <w:tc>
          <w:tcPr>
            <w:tcW w:w="991" w:type="dxa"/>
            <w:tcBorders>
              <w:tl2br w:val="nil"/>
              <w:tr2bl w:val="nil"/>
            </w:tcBorders>
            <w:shd w:val="clear" w:color="auto" w:fill="FFFFFF"/>
            <w:tcMar>
              <w:top w:w="90" w:type="dxa"/>
              <w:left w:w="135" w:type="dxa"/>
              <w:bottom w:w="90" w:type="dxa"/>
              <w:right w:w="135" w:type="dxa"/>
            </w:tcMar>
            <w:vAlign w:val="center"/>
          </w:tcPr>
          <w:p w14:paraId="62E3573A">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i w:val="0"/>
                <w:iCs w:val="0"/>
                <w:caps w:val="0"/>
                <w:color w:val="auto"/>
                <w:spacing w:val="0"/>
                <w:kern w:val="0"/>
                <w:sz w:val="20"/>
                <w:szCs w:val="20"/>
                <w:lang w:val="en-US" w:eastAsia="zh-CN" w:bidi="ar"/>
              </w:rPr>
            </w:pPr>
            <w:r>
              <w:rPr>
                <w:rFonts w:hint="default" w:ascii="Times New Roman" w:hAnsi="Times New Roman" w:cs="Times New Roman" w:eastAsiaTheme="minorEastAsia"/>
                <w:b/>
                <w:bCs/>
                <w:i w:val="0"/>
                <w:iCs w:val="0"/>
                <w:caps w:val="0"/>
                <w:color w:val="auto"/>
                <w:spacing w:val="0"/>
                <w:kern w:val="0"/>
                <w:sz w:val="20"/>
                <w:szCs w:val="20"/>
                <w:lang w:val="en-US" w:eastAsia="zh-CN" w:bidi="ar"/>
              </w:rPr>
              <w:t>2025年</w:t>
            </w:r>
          </w:p>
        </w:tc>
        <w:tc>
          <w:tcPr>
            <w:tcW w:w="1553" w:type="dxa"/>
            <w:tcBorders>
              <w:tl2br w:val="nil"/>
              <w:tr2bl w:val="nil"/>
            </w:tcBorders>
            <w:shd w:val="clear" w:color="auto" w:fill="FFFFFF"/>
            <w:tcMar>
              <w:top w:w="90" w:type="dxa"/>
              <w:left w:w="135" w:type="dxa"/>
              <w:bottom w:w="90" w:type="dxa"/>
              <w:right w:w="135" w:type="dxa"/>
            </w:tcMar>
            <w:vAlign w:val="center"/>
          </w:tcPr>
          <w:p w14:paraId="4B59332F">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i w:val="0"/>
                <w:iCs w:val="0"/>
                <w:caps w:val="0"/>
                <w:color w:val="auto"/>
                <w:spacing w:val="0"/>
                <w:kern w:val="0"/>
                <w:sz w:val="20"/>
                <w:szCs w:val="20"/>
                <w:lang w:val="en-US" w:eastAsia="zh-CN" w:bidi="ar"/>
              </w:rPr>
            </w:pPr>
            <w:r>
              <w:rPr>
                <w:rFonts w:hint="default" w:ascii="Times New Roman" w:hAnsi="Times New Roman" w:cs="Times New Roman" w:eastAsiaTheme="minorEastAsia"/>
                <w:b/>
                <w:bCs/>
                <w:i w:val="0"/>
                <w:iCs w:val="0"/>
                <w:caps w:val="0"/>
                <w:color w:val="auto"/>
                <w:spacing w:val="0"/>
                <w:kern w:val="0"/>
                <w:sz w:val="20"/>
                <w:szCs w:val="20"/>
                <w:lang w:val="en-US" w:eastAsia="zh-CN" w:bidi="ar"/>
              </w:rPr>
              <w:t>2030年目标值</w:t>
            </w:r>
          </w:p>
        </w:tc>
        <w:tc>
          <w:tcPr>
            <w:tcW w:w="1710" w:type="dxa"/>
            <w:tcBorders>
              <w:tl2br w:val="nil"/>
              <w:tr2bl w:val="nil"/>
            </w:tcBorders>
            <w:shd w:val="clear" w:color="auto" w:fill="FFFFFF"/>
            <w:tcMar>
              <w:top w:w="90" w:type="dxa"/>
              <w:left w:w="135" w:type="dxa"/>
              <w:bottom w:w="90" w:type="dxa"/>
              <w:right w:w="135" w:type="dxa"/>
            </w:tcMar>
            <w:vAlign w:val="center"/>
          </w:tcPr>
          <w:p w14:paraId="05AFD924">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i w:val="0"/>
                <w:iCs w:val="0"/>
                <w:caps w:val="0"/>
                <w:color w:val="auto"/>
                <w:spacing w:val="0"/>
                <w:kern w:val="0"/>
                <w:sz w:val="20"/>
                <w:szCs w:val="20"/>
                <w:lang w:val="en-US" w:eastAsia="zh-CN" w:bidi="ar"/>
              </w:rPr>
            </w:pPr>
            <w:r>
              <w:rPr>
                <w:rFonts w:hint="default" w:ascii="Times New Roman" w:hAnsi="Times New Roman" w:cs="Times New Roman" w:eastAsiaTheme="minorEastAsia"/>
                <w:b/>
                <w:bCs/>
                <w:i w:val="0"/>
                <w:iCs w:val="0"/>
                <w:caps w:val="0"/>
                <w:color w:val="auto"/>
                <w:spacing w:val="0"/>
                <w:kern w:val="0"/>
                <w:sz w:val="20"/>
                <w:szCs w:val="20"/>
                <w:lang w:val="en-US" w:eastAsia="zh-CN" w:bidi="ar"/>
              </w:rPr>
              <w:t>“十五五”年均增长/累计</w:t>
            </w:r>
          </w:p>
        </w:tc>
        <w:tc>
          <w:tcPr>
            <w:tcW w:w="840" w:type="dxa"/>
            <w:tcBorders>
              <w:tl2br w:val="nil"/>
              <w:tr2bl w:val="nil"/>
            </w:tcBorders>
            <w:shd w:val="clear" w:color="auto" w:fill="FFFFFF"/>
            <w:tcMar>
              <w:top w:w="90" w:type="dxa"/>
              <w:left w:w="135" w:type="dxa"/>
              <w:bottom w:w="90" w:type="dxa"/>
              <w:right w:w="135" w:type="dxa"/>
            </w:tcMar>
            <w:vAlign w:val="center"/>
          </w:tcPr>
          <w:p w14:paraId="6958CA56">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bCs/>
                <w:i w:val="0"/>
                <w:iCs w:val="0"/>
                <w:caps w:val="0"/>
                <w:color w:val="auto"/>
                <w:spacing w:val="0"/>
                <w:sz w:val="20"/>
                <w:szCs w:val="20"/>
              </w:rPr>
            </w:pPr>
            <w:r>
              <w:rPr>
                <w:rFonts w:hint="default" w:ascii="Times New Roman" w:hAnsi="Times New Roman" w:cs="Times New Roman" w:eastAsiaTheme="minorEastAsia"/>
                <w:b/>
                <w:bCs/>
                <w:i w:val="0"/>
                <w:iCs w:val="0"/>
                <w:caps w:val="0"/>
                <w:color w:val="auto"/>
                <w:spacing w:val="0"/>
                <w:kern w:val="0"/>
                <w:sz w:val="20"/>
                <w:szCs w:val="20"/>
                <w:lang w:val="en-US" w:eastAsia="zh-CN" w:bidi="ar"/>
              </w:rPr>
              <w:t>指标属性</w:t>
            </w:r>
          </w:p>
        </w:tc>
      </w:tr>
      <w:tr w14:paraId="3E00C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restart"/>
            <w:tcBorders>
              <w:tl2br w:val="nil"/>
              <w:tr2bl w:val="nil"/>
            </w:tcBorders>
            <w:shd w:val="clear" w:color="auto" w:fill="FFFFFF"/>
            <w:tcMar>
              <w:top w:w="0" w:type="dxa"/>
              <w:left w:w="0" w:type="dxa"/>
              <w:bottom w:w="0" w:type="dxa"/>
              <w:right w:w="0" w:type="dxa"/>
            </w:tcMar>
            <w:vAlign w:val="center"/>
          </w:tcPr>
          <w:p w14:paraId="75189232">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经济</w:t>
            </w:r>
          </w:p>
          <w:p w14:paraId="28FBF53F">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发展</w:t>
            </w:r>
          </w:p>
          <w:p w14:paraId="560A6E44">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（3项）</w:t>
            </w:r>
          </w:p>
        </w:tc>
        <w:tc>
          <w:tcPr>
            <w:tcW w:w="0" w:type="auto"/>
            <w:tcBorders>
              <w:tl2br w:val="nil"/>
              <w:tr2bl w:val="nil"/>
            </w:tcBorders>
            <w:shd w:val="clear" w:color="auto" w:fill="FFFFFF"/>
            <w:tcMar>
              <w:top w:w="90" w:type="dxa"/>
              <w:left w:w="135" w:type="dxa"/>
              <w:bottom w:w="90" w:type="dxa"/>
              <w:right w:w="135" w:type="dxa"/>
            </w:tcMar>
            <w:vAlign w:val="center"/>
          </w:tcPr>
          <w:p w14:paraId="7422360C">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1</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66EC02AA">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地区生产总值（GDP）增长（%）</w:t>
            </w:r>
          </w:p>
        </w:tc>
        <w:tc>
          <w:tcPr>
            <w:tcW w:w="991" w:type="dxa"/>
            <w:tcBorders>
              <w:tl2br w:val="nil"/>
              <w:tr2bl w:val="nil"/>
            </w:tcBorders>
            <w:shd w:val="clear" w:color="auto" w:fill="FFFFFF"/>
            <w:tcMar>
              <w:top w:w="90" w:type="dxa"/>
              <w:left w:w="135" w:type="dxa"/>
              <w:bottom w:w="90" w:type="dxa"/>
              <w:right w:w="135" w:type="dxa"/>
            </w:tcMar>
            <w:vAlign w:val="center"/>
          </w:tcPr>
          <w:p w14:paraId="07C30BD5">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6</w:t>
            </w:r>
            <w:r>
              <w:rPr>
                <w:rFonts w:hint="eastAsia" w:ascii="Times New Roman" w:hAnsi="Times New Roman" w:eastAsia="宋体" w:cs="Times New Roman"/>
                <w:b w:val="0"/>
                <w:i w:val="0"/>
                <w:iCs w:val="0"/>
                <w:caps w:val="0"/>
                <w:color w:val="auto"/>
                <w:spacing w:val="0"/>
                <w:kern w:val="0"/>
                <w:sz w:val="20"/>
                <w:szCs w:val="20"/>
                <w:lang w:val="en-US" w:eastAsia="zh-CN" w:bidi="ar"/>
              </w:rPr>
              <w:t>.3</w:t>
            </w:r>
          </w:p>
        </w:tc>
        <w:tc>
          <w:tcPr>
            <w:tcW w:w="1553" w:type="dxa"/>
            <w:tcBorders>
              <w:tl2br w:val="nil"/>
              <w:tr2bl w:val="nil"/>
            </w:tcBorders>
            <w:shd w:val="clear" w:color="auto" w:fill="FFFFFF"/>
            <w:tcMar>
              <w:top w:w="90" w:type="dxa"/>
              <w:left w:w="135" w:type="dxa"/>
              <w:bottom w:w="90" w:type="dxa"/>
              <w:right w:w="135" w:type="dxa"/>
            </w:tcMar>
            <w:vAlign w:val="center"/>
          </w:tcPr>
          <w:p w14:paraId="409BF197">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1710" w:type="dxa"/>
            <w:tcBorders>
              <w:tl2br w:val="nil"/>
              <w:tr2bl w:val="nil"/>
            </w:tcBorders>
            <w:shd w:val="clear" w:color="auto" w:fill="FFFFFF"/>
            <w:tcMar>
              <w:top w:w="90" w:type="dxa"/>
              <w:left w:w="135" w:type="dxa"/>
              <w:bottom w:w="90" w:type="dxa"/>
              <w:right w:w="135" w:type="dxa"/>
            </w:tcMar>
            <w:vAlign w:val="center"/>
          </w:tcPr>
          <w:p w14:paraId="1500C846">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eastAsia" w:ascii="Times New Roman" w:hAnsi="Times New Roman" w:eastAsia="宋体" w:cs="Times New Roman"/>
                <w:b w:val="0"/>
                <w:i w:val="0"/>
                <w:iCs w:val="0"/>
                <w:caps w:val="0"/>
                <w:color w:val="auto"/>
                <w:spacing w:val="0"/>
                <w:kern w:val="0"/>
                <w:sz w:val="20"/>
                <w:szCs w:val="20"/>
                <w:lang w:val="en-US" w:eastAsia="zh-CN" w:bidi="ar"/>
              </w:rPr>
              <w:t>6</w:t>
            </w:r>
          </w:p>
        </w:tc>
        <w:tc>
          <w:tcPr>
            <w:tcW w:w="840" w:type="dxa"/>
            <w:tcBorders>
              <w:tl2br w:val="nil"/>
              <w:tr2bl w:val="nil"/>
            </w:tcBorders>
            <w:shd w:val="clear" w:color="auto" w:fill="FFFFFF"/>
            <w:tcMar>
              <w:top w:w="90" w:type="dxa"/>
              <w:left w:w="135" w:type="dxa"/>
              <w:bottom w:w="90" w:type="dxa"/>
              <w:right w:w="135" w:type="dxa"/>
            </w:tcMar>
            <w:vAlign w:val="center"/>
          </w:tcPr>
          <w:p w14:paraId="54575121">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预期性</w:t>
            </w:r>
          </w:p>
        </w:tc>
      </w:tr>
      <w:tr w14:paraId="39317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01C7BD48">
            <w:pPr>
              <w:keepNext/>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tcBorders>
              <w:tl2br w:val="nil"/>
              <w:tr2bl w:val="nil"/>
            </w:tcBorders>
            <w:shd w:val="clear" w:color="auto" w:fill="FFFFFF"/>
            <w:tcMar>
              <w:top w:w="90" w:type="dxa"/>
              <w:left w:w="135" w:type="dxa"/>
              <w:bottom w:w="90" w:type="dxa"/>
              <w:right w:w="135" w:type="dxa"/>
            </w:tcMar>
            <w:vAlign w:val="center"/>
          </w:tcPr>
          <w:p w14:paraId="28A38911">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2</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53509BD0">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全员劳动生产率增长（%）</w:t>
            </w:r>
          </w:p>
        </w:tc>
        <w:tc>
          <w:tcPr>
            <w:tcW w:w="991" w:type="dxa"/>
            <w:tcBorders>
              <w:tl2br w:val="nil"/>
              <w:tr2bl w:val="nil"/>
            </w:tcBorders>
            <w:shd w:val="clear" w:color="auto" w:fill="FFFFFF"/>
            <w:tcMar>
              <w:top w:w="90" w:type="dxa"/>
              <w:left w:w="135" w:type="dxa"/>
              <w:bottom w:w="90" w:type="dxa"/>
              <w:right w:w="135" w:type="dxa"/>
            </w:tcMar>
            <w:vAlign w:val="center"/>
          </w:tcPr>
          <w:p w14:paraId="5AE18FC8">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p>
        </w:tc>
        <w:tc>
          <w:tcPr>
            <w:tcW w:w="1553" w:type="dxa"/>
            <w:tcBorders>
              <w:tl2br w:val="nil"/>
              <w:tr2bl w:val="nil"/>
            </w:tcBorders>
            <w:shd w:val="clear" w:color="auto" w:fill="FFFFFF"/>
            <w:tcMar>
              <w:top w:w="90" w:type="dxa"/>
              <w:left w:w="135" w:type="dxa"/>
              <w:bottom w:w="90" w:type="dxa"/>
              <w:right w:w="135" w:type="dxa"/>
            </w:tcMar>
            <w:vAlign w:val="center"/>
          </w:tcPr>
          <w:p w14:paraId="23D70E82">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1710" w:type="dxa"/>
            <w:tcBorders>
              <w:tl2br w:val="nil"/>
              <w:tr2bl w:val="nil"/>
            </w:tcBorders>
            <w:shd w:val="clear" w:color="auto" w:fill="FFFFFF"/>
            <w:tcMar>
              <w:top w:w="90" w:type="dxa"/>
              <w:left w:w="135" w:type="dxa"/>
              <w:bottom w:w="90" w:type="dxa"/>
              <w:right w:w="135" w:type="dxa"/>
            </w:tcMar>
            <w:vAlign w:val="center"/>
          </w:tcPr>
          <w:p w14:paraId="218F2746">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bCs/>
                <w:i w:val="0"/>
                <w:iCs w:val="0"/>
                <w:caps w:val="0"/>
                <w:color w:val="auto"/>
                <w:spacing w:val="0"/>
                <w:kern w:val="0"/>
                <w:sz w:val="20"/>
                <w:szCs w:val="20"/>
                <w:lang w:val="en-US" w:eastAsia="zh-CN" w:bidi="ar"/>
              </w:rPr>
            </w:pPr>
            <w:r>
              <w:rPr>
                <w:rFonts w:hint="default" w:ascii="Times New Roman" w:hAnsi="Times New Roman" w:eastAsia="宋体" w:cs="Times New Roman"/>
                <w:b w:val="0"/>
                <w:bCs/>
                <w:i w:val="0"/>
                <w:iCs w:val="0"/>
                <w:caps w:val="0"/>
                <w:color w:val="auto"/>
                <w:spacing w:val="0"/>
                <w:kern w:val="0"/>
                <w:sz w:val="20"/>
                <w:szCs w:val="20"/>
                <w:lang w:val="en-US" w:eastAsia="zh-CN" w:bidi="ar"/>
              </w:rPr>
              <w:t>高于GDP</w:t>
            </w:r>
          </w:p>
          <w:p w14:paraId="2E03AB13">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bCs/>
                <w:i w:val="0"/>
                <w:iCs w:val="0"/>
                <w:caps w:val="0"/>
                <w:color w:val="auto"/>
                <w:spacing w:val="0"/>
                <w:kern w:val="0"/>
                <w:sz w:val="20"/>
                <w:szCs w:val="20"/>
                <w:lang w:val="en-US" w:eastAsia="zh-CN" w:bidi="ar"/>
              </w:rPr>
              <w:t>增长</w:t>
            </w:r>
          </w:p>
        </w:tc>
        <w:tc>
          <w:tcPr>
            <w:tcW w:w="840" w:type="dxa"/>
            <w:tcBorders>
              <w:tl2br w:val="nil"/>
              <w:tr2bl w:val="nil"/>
            </w:tcBorders>
            <w:shd w:val="clear" w:color="auto" w:fill="FFFFFF"/>
            <w:tcMar>
              <w:top w:w="90" w:type="dxa"/>
              <w:left w:w="135" w:type="dxa"/>
              <w:bottom w:w="90" w:type="dxa"/>
              <w:right w:w="135" w:type="dxa"/>
            </w:tcMar>
            <w:vAlign w:val="center"/>
          </w:tcPr>
          <w:p w14:paraId="30321C5D">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预期性</w:t>
            </w:r>
          </w:p>
        </w:tc>
      </w:tr>
      <w:tr w14:paraId="2F8C6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6B989140">
            <w:pPr>
              <w:keepNext/>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tcBorders>
              <w:tl2br w:val="nil"/>
              <w:tr2bl w:val="nil"/>
            </w:tcBorders>
            <w:shd w:val="clear" w:color="auto" w:fill="FFFFFF"/>
            <w:tcMar>
              <w:top w:w="90" w:type="dxa"/>
              <w:left w:w="135" w:type="dxa"/>
              <w:bottom w:w="90" w:type="dxa"/>
              <w:right w:w="135" w:type="dxa"/>
            </w:tcMar>
            <w:vAlign w:val="center"/>
          </w:tcPr>
          <w:p w14:paraId="73E3B39F">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3</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33D32994">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常住人口城镇化率（%）</w:t>
            </w:r>
          </w:p>
        </w:tc>
        <w:tc>
          <w:tcPr>
            <w:tcW w:w="991" w:type="dxa"/>
            <w:tcBorders>
              <w:tl2br w:val="nil"/>
              <w:tr2bl w:val="nil"/>
            </w:tcBorders>
            <w:shd w:val="clear" w:color="auto" w:fill="FFFFFF"/>
            <w:tcMar>
              <w:top w:w="90" w:type="dxa"/>
              <w:left w:w="135" w:type="dxa"/>
              <w:bottom w:w="90" w:type="dxa"/>
              <w:right w:w="135" w:type="dxa"/>
            </w:tcMar>
            <w:vAlign w:val="center"/>
          </w:tcPr>
          <w:p w14:paraId="449C2453">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eastAsia" w:ascii="Times New Roman" w:hAnsi="Times New Roman" w:eastAsia="宋体" w:cs="Times New Roman"/>
                <w:b w:val="0"/>
                <w:i w:val="0"/>
                <w:iCs w:val="0"/>
                <w:caps w:val="0"/>
                <w:color w:val="auto"/>
                <w:spacing w:val="0"/>
                <w:kern w:val="0"/>
                <w:sz w:val="20"/>
                <w:szCs w:val="20"/>
                <w:lang w:val="en-US" w:eastAsia="zh-CN" w:bidi="ar"/>
              </w:rPr>
              <w:t>55.57</w:t>
            </w:r>
          </w:p>
        </w:tc>
        <w:tc>
          <w:tcPr>
            <w:tcW w:w="1553" w:type="dxa"/>
            <w:tcBorders>
              <w:tl2br w:val="nil"/>
              <w:tr2bl w:val="nil"/>
            </w:tcBorders>
            <w:shd w:val="clear" w:color="auto" w:fill="FFFFFF"/>
            <w:tcMar>
              <w:top w:w="90" w:type="dxa"/>
              <w:left w:w="135" w:type="dxa"/>
              <w:bottom w:w="90" w:type="dxa"/>
              <w:right w:w="135" w:type="dxa"/>
            </w:tcMar>
            <w:vAlign w:val="center"/>
          </w:tcPr>
          <w:p w14:paraId="7A17E85C">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60</w:t>
            </w:r>
          </w:p>
        </w:tc>
        <w:tc>
          <w:tcPr>
            <w:tcW w:w="1710" w:type="dxa"/>
            <w:tcBorders>
              <w:tl2br w:val="nil"/>
              <w:tr2bl w:val="nil"/>
            </w:tcBorders>
            <w:shd w:val="clear" w:color="auto" w:fill="FFFFFF"/>
            <w:tcMar>
              <w:top w:w="90" w:type="dxa"/>
              <w:left w:w="135" w:type="dxa"/>
              <w:bottom w:w="90" w:type="dxa"/>
              <w:right w:w="135" w:type="dxa"/>
            </w:tcMar>
            <w:vAlign w:val="center"/>
          </w:tcPr>
          <w:p w14:paraId="1C58A596">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840" w:type="dxa"/>
            <w:tcBorders>
              <w:tl2br w:val="nil"/>
              <w:tr2bl w:val="nil"/>
            </w:tcBorders>
            <w:shd w:val="clear" w:color="auto" w:fill="FFFFFF"/>
            <w:tcMar>
              <w:top w:w="90" w:type="dxa"/>
              <w:left w:w="135" w:type="dxa"/>
              <w:bottom w:w="90" w:type="dxa"/>
              <w:right w:w="135" w:type="dxa"/>
            </w:tcMar>
            <w:vAlign w:val="center"/>
          </w:tcPr>
          <w:p w14:paraId="643C3EB4">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预期性</w:t>
            </w:r>
          </w:p>
        </w:tc>
      </w:tr>
      <w:tr w14:paraId="4765B9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restart"/>
            <w:tcBorders>
              <w:tl2br w:val="nil"/>
              <w:tr2bl w:val="nil"/>
            </w:tcBorders>
            <w:shd w:val="clear" w:color="auto" w:fill="FFFFFF"/>
            <w:tcMar>
              <w:top w:w="0" w:type="dxa"/>
              <w:left w:w="0" w:type="dxa"/>
              <w:bottom w:w="0" w:type="dxa"/>
              <w:right w:w="0" w:type="dxa"/>
            </w:tcMar>
            <w:vAlign w:val="center"/>
          </w:tcPr>
          <w:p w14:paraId="18F5AB4C">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产业</w:t>
            </w:r>
          </w:p>
          <w:p w14:paraId="227AF1C1">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转型</w:t>
            </w:r>
          </w:p>
          <w:p w14:paraId="27203F23">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（4项）</w:t>
            </w:r>
          </w:p>
        </w:tc>
        <w:tc>
          <w:tcPr>
            <w:tcW w:w="0" w:type="auto"/>
            <w:tcBorders>
              <w:tl2br w:val="nil"/>
              <w:tr2bl w:val="nil"/>
            </w:tcBorders>
            <w:shd w:val="clear" w:color="auto" w:fill="FFFFFF"/>
            <w:tcMar>
              <w:top w:w="90" w:type="dxa"/>
              <w:left w:w="135" w:type="dxa"/>
              <w:bottom w:w="90" w:type="dxa"/>
              <w:right w:w="135" w:type="dxa"/>
            </w:tcMar>
            <w:vAlign w:val="center"/>
          </w:tcPr>
          <w:p w14:paraId="1343FEBF">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4</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47CDA776">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可再生能源装机规模（万千瓦）</w:t>
            </w:r>
          </w:p>
        </w:tc>
        <w:tc>
          <w:tcPr>
            <w:tcW w:w="991" w:type="dxa"/>
            <w:tcBorders>
              <w:tl2br w:val="nil"/>
              <w:tr2bl w:val="nil"/>
            </w:tcBorders>
            <w:shd w:val="clear" w:color="auto" w:fill="FFFFFF"/>
            <w:tcMar>
              <w:top w:w="90" w:type="dxa"/>
              <w:left w:w="135" w:type="dxa"/>
              <w:bottom w:w="90" w:type="dxa"/>
              <w:right w:w="135" w:type="dxa"/>
            </w:tcMar>
            <w:vAlign w:val="center"/>
          </w:tcPr>
          <w:p w14:paraId="58F09A1D">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eastAsia" w:ascii="Times New Roman" w:hAnsi="Times New Roman" w:eastAsia="宋体" w:cs="Times New Roman"/>
                <w:b w:val="0"/>
                <w:i w:val="0"/>
                <w:iCs w:val="0"/>
                <w:caps w:val="0"/>
                <w:color w:val="auto"/>
                <w:spacing w:val="0"/>
                <w:kern w:val="0"/>
                <w:sz w:val="20"/>
                <w:szCs w:val="20"/>
                <w:lang w:val="en-US" w:eastAsia="zh-CN" w:bidi="ar"/>
              </w:rPr>
              <w:t>124</w:t>
            </w:r>
          </w:p>
        </w:tc>
        <w:tc>
          <w:tcPr>
            <w:tcW w:w="1553" w:type="dxa"/>
            <w:tcBorders>
              <w:tl2br w:val="nil"/>
              <w:tr2bl w:val="nil"/>
            </w:tcBorders>
            <w:shd w:val="clear" w:color="auto" w:fill="FFFFFF"/>
            <w:tcMar>
              <w:top w:w="90" w:type="dxa"/>
              <w:left w:w="135" w:type="dxa"/>
              <w:bottom w:w="90" w:type="dxa"/>
              <w:right w:w="135" w:type="dxa"/>
            </w:tcMar>
            <w:vAlign w:val="center"/>
          </w:tcPr>
          <w:p w14:paraId="38AEED4C">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2</w:t>
            </w:r>
            <w:r>
              <w:rPr>
                <w:rFonts w:hint="eastAsia" w:ascii="Times New Roman" w:hAnsi="Times New Roman" w:eastAsia="宋体" w:cs="Times New Roman"/>
                <w:b w:val="0"/>
                <w:i w:val="0"/>
                <w:iCs w:val="0"/>
                <w:caps w:val="0"/>
                <w:color w:val="auto"/>
                <w:spacing w:val="0"/>
                <w:kern w:val="0"/>
                <w:sz w:val="20"/>
                <w:szCs w:val="20"/>
                <w:lang w:val="en-US" w:eastAsia="zh-CN" w:bidi="ar"/>
              </w:rPr>
              <w:t>2</w:t>
            </w:r>
            <w:r>
              <w:rPr>
                <w:rFonts w:hint="default" w:ascii="Times New Roman" w:hAnsi="Times New Roman" w:eastAsia="宋体" w:cs="Times New Roman"/>
                <w:b w:val="0"/>
                <w:i w:val="0"/>
                <w:iCs w:val="0"/>
                <w:caps w:val="0"/>
                <w:color w:val="auto"/>
                <w:spacing w:val="0"/>
                <w:kern w:val="0"/>
                <w:sz w:val="20"/>
                <w:szCs w:val="20"/>
                <w:lang w:val="en-US" w:eastAsia="zh-CN" w:bidi="ar"/>
              </w:rPr>
              <w:t>4</w:t>
            </w:r>
          </w:p>
        </w:tc>
        <w:tc>
          <w:tcPr>
            <w:tcW w:w="1710" w:type="dxa"/>
            <w:tcBorders>
              <w:tl2br w:val="nil"/>
              <w:tr2bl w:val="nil"/>
            </w:tcBorders>
            <w:shd w:val="clear" w:color="auto" w:fill="FFFFFF"/>
            <w:tcMar>
              <w:top w:w="90" w:type="dxa"/>
              <w:left w:w="135" w:type="dxa"/>
              <w:bottom w:w="90" w:type="dxa"/>
              <w:right w:w="135" w:type="dxa"/>
            </w:tcMar>
            <w:vAlign w:val="center"/>
          </w:tcPr>
          <w:p w14:paraId="6F9345D1">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840" w:type="dxa"/>
            <w:tcBorders>
              <w:tl2br w:val="nil"/>
              <w:tr2bl w:val="nil"/>
            </w:tcBorders>
            <w:shd w:val="clear" w:color="auto" w:fill="FFFFFF"/>
            <w:tcMar>
              <w:top w:w="90" w:type="dxa"/>
              <w:left w:w="135" w:type="dxa"/>
              <w:bottom w:w="90" w:type="dxa"/>
              <w:right w:w="135" w:type="dxa"/>
            </w:tcMar>
            <w:vAlign w:val="center"/>
          </w:tcPr>
          <w:p w14:paraId="1BA55071">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预期性</w:t>
            </w:r>
          </w:p>
        </w:tc>
      </w:tr>
      <w:tr w14:paraId="62D87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215D597B">
            <w:pPr>
              <w:keepNext/>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tcBorders>
              <w:tl2br w:val="nil"/>
              <w:tr2bl w:val="nil"/>
            </w:tcBorders>
            <w:shd w:val="clear" w:color="auto" w:fill="FFFFFF"/>
            <w:tcMar>
              <w:top w:w="90" w:type="dxa"/>
              <w:left w:w="135" w:type="dxa"/>
              <w:bottom w:w="90" w:type="dxa"/>
              <w:right w:w="135" w:type="dxa"/>
            </w:tcMar>
            <w:vAlign w:val="center"/>
          </w:tcPr>
          <w:p w14:paraId="5FFD11BC">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5</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763E8A43">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制造业增加值增长（%）</w:t>
            </w:r>
          </w:p>
        </w:tc>
        <w:tc>
          <w:tcPr>
            <w:tcW w:w="991" w:type="dxa"/>
            <w:tcBorders>
              <w:tl2br w:val="nil"/>
              <w:tr2bl w:val="nil"/>
            </w:tcBorders>
            <w:shd w:val="clear" w:color="auto" w:fill="FFFFFF"/>
            <w:tcMar>
              <w:top w:w="90" w:type="dxa"/>
              <w:left w:w="135" w:type="dxa"/>
              <w:bottom w:w="90" w:type="dxa"/>
              <w:right w:w="135" w:type="dxa"/>
            </w:tcMar>
            <w:vAlign w:val="center"/>
          </w:tcPr>
          <w:p w14:paraId="5AA8810D">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eastAsia" w:ascii="Times New Roman" w:hAnsi="Times New Roman" w:eastAsia="宋体" w:cs="Times New Roman"/>
                <w:b w:val="0"/>
                <w:i w:val="0"/>
                <w:iCs w:val="0"/>
                <w:caps w:val="0"/>
                <w:color w:val="auto"/>
                <w:spacing w:val="0"/>
                <w:kern w:val="0"/>
                <w:sz w:val="20"/>
                <w:szCs w:val="20"/>
                <w:lang w:val="en-US" w:eastAsia="zh-CN" w:bidi="ar"/>
              </w:rPr>
              <w:t>10</w:t>
            </w:r>
          </w:p>
        </w:tc>
        <w:tc>
          <w:tcPr>
            <w:tcW w:w="1553" w:type="dxa"/>
            <w:tcBorders>
              <w:tl2br w:val="nil"/>
              <w:tr2bl w:val="nil"/>
            </w:tcBorders>
            <w:shd w:val="clear" w:color="auto" w:fill="FFFFFF"/>
            <w:tcMar>
              <w:top w:w="90" w:type="dxa"/>
              <w:left w:w="135" w:type="dxa"/>
              <w:bottom w:w="90" w:type="dxa"/>
              <w:right w:w="135" w:type="dxa"/>
            </w:tcMar>
            <w:vAlign w:val="center"/>
          </w:tcPr>
          <w:p w14:paraId="7E5BA661">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1710" w:type="dxa"/>
            <w:tcBorders>
              <w:tl2br w:val="nil"/>
              <w:tr2bl w:val="nil"/>
            </w:tcBorders>
            <w:shd w:val="clear" w:color="auto" w:fill="FFFFFF"/>
            <w:tcMar>
              <w:top w:w="90" w:type="dxa"/>
              <w:left w:w="135" w:type="dxa"/>
              <w:bottom w:w="90" w:type="dxa"/>
              <w:right w:w="135" w:type="dxa"/>
            </w:tcMar>
            <w:vAlign w:val="center"/>
          </w:tcPr>
          <w:p w14:paraId="5F14E690">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6</w:t>
            </w:r>
          </w:p>
        </w:tc>
        <w:tc>
          <w:tcPr>
            <w:tcW w:w="840" w:type="dxa"/>
            <w:tcBorders>
              <w:tl2br w:val="nil"/>
              <w:tr2bl w:val="nil"/>
            </w:tcBorders>
            <w:shd w:val="clear" w:color="auto" w:fill="FFFFFF"/>
            <w:tcMar>
              <w:top w:w="90" w:type="dxa"/>
              <w:left w:w="135" w:type="dxa"/>
              <w:bottom w:w="90" w:type="dxa"/>
              <w:right w:w="135" w:type="dxa"/>
            </w:tcMar>
            <w:vAlign w:val="center"/>
          </w:tcPr>
          <w:p w14:paraId="6DB0BB7F">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预期性</w:t>
            </w:r>
          </w:p>
        </w:tc>
      </w:tr>
      <w:tr w14:paraId="6A323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599D448C">
            <w:pPr>
              <w:keepNext/>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tcBorders>
              <w:tl2br w:val="nil"/>
              <w:tr2bl w:val="nil"/>
            </w:tcBorders>
            <w:shd w:val="clear" w:color="auto" w:fill="FFFFFF"/>
            <w:tcMar>
              <w:top w:w="90" w:type="dxa"/>
              <w:left w:w="135" w:type="dxa"/>
              <w:bottom w:w="90" w:type="dxa"/>
              <w:right w:w="135" w:type="dxa"/>
            </w:tcMar>
            <w:vAlign w:val="center"/>
          </w:tcPr>
          <w:p w14:paraId="657C4CD8">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6</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5FB93DE6">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数字经济核心产业增加值增长（%）</w:t>
            </w:r>
          </w:p>
        </w:tc>
        <w:tc>
          <w:tcPr>
            <w:tcW w:w="991" w:type="dxa"/>
            <w:tcBorders>
              <w:tl2br w:val="nil"/>
              <w:tr2bl w:val="nil"/>
            </w:tcBorders>
            <w:shd w:val="clear" w:color="auto" w:fill="FFFFFF"/>
            <w:tcMar>
              <w:top w:w="90" w:type="dxa"/>
              <w:left w:w="135" w:type="dxa"/>
              <w:bottom w:w="90" w:type="dxa"/>
              <w:right w:w="135" w:type="dxa"/>
            </w:tcMar>
            <w:vAlign w:val="center"/>
          </w:tcPr>
          <w:p w14:paraId="26849F88">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eastAsia" w:ascii="Times New Roman" w:hAnsi="Times New Roman" w:eastAsia="宋体" w:cs="Times New Roman"/>
                <w:b w:val="0"/>
                <w:i w:val="0"/>
                <w:iCs w:val="0"/>
                <w:caps w:val="0"/>
                <w:color w:val="auto"/>
                <w:spacing w:val="0"/>
                <w:kern w:val="0"/>
                <w:sz w:val="20"/>
                <w:szCs w:val="20"/>
                <w:lang w:val="en-US" w:eastAsia="zh-CN" w:bidi="ar"/>
              </w:rPr>
              <w:t>30</w:t>
            </w:r>
          </w:p>
        </w:tc>
        <w:tc>
          <w:tcPr>
            <w:tcW w:w="1553" w:type="dxa"/>
            <w:tcBorders>
              <w:tl2br w:val="nil"/>
              <w:tr2bl w:val="nil"/>
            </w:tcBorders>
            <w:shd w:val="clear" w:color="auto" w:fill="FFFFFF"/>
            <w:tcMar>
              <w:top w:w="90" w:type="dxa"/>
              <w:left w:w="135" w:type="dxa"/>
              <w:bottom w:w="90" w:type="dxa"/>
              <w:right w:w="135" w:type="dxa"/>
            </w:tcMar>
            <w:vAlign w:val="center"/>
          </w:tcPr>
          <w:p w14:paraId="7A06CD50">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1710" w:type="dxa"/>
            <w:tcBorders>
              <w:tl2br w:val="nil"/>
              <w:tr2bl w:val="nil"/>
            </w:tcBorders>
            <w:shd w:val="clear" w:color="auto" w:fill="FFFFFF"/>
            <w:tcMar>
              <w:top w:w="90" w:type="dxa"/>
              <w:left w:w="135" w:type="dxa"/>
              <w:bottom w:w="90" w:type="dxa"/>
              <w:right w:w="135" w:type="dxa"/>
            </w:tcMar>
            <w:vAlign w:val="center"/>
          </w:tcPr>
          <w:p w14:paraId="0BE92FC3">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8</w:t>
            </w:r>
          </w:p>
        </w:tc>
        <w:tc>
          <w:tcPr>
            <w:tcW w:w="840" w:type="dxa"/>
            <w:tcBorders>
              <w:tl2br w:val="nil"/>
              <w:tr2bl w:val="nil"/>
            </w:tcBorders>
            <w:shd w:val="clear" w:color="auto" w:fill="FFFFFF"/>
            <w:tcMar>
              <w:top w:w="90" w:type="dxa"/>
              <w:left w:w="135" w:type="dxa"/>
              <w:bottom w:w="90" w:type="dxa"/>
              <w:right w:w="135" w:type="dxa"/>
            </w:tcMar>
            <w:vAlign w:val="center"/>
          </w:tcPr>
          <w:p w14:paraId="12C158D3">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预期性</w:t>
            </w:r>
          </w:p>
        </w:tc>
      </w:tr>
      <w:tr w14:paraId="31950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70A041E3">
            <w:pPr>
              <w:keepNext/>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tcBorders>
              <w:tl2br w:val="nil"/>
              <w:tr2bl w:val="nil"/>
            </w:tcBorders>
            <w:shd w:val="clear" w:color="auto" w:fill="FFFFFF"/>
            <w:tcMar>
              <w:top w:w="90" w:type="dxa"/>
              <w:left w:w="135" w:type="dxa"/>
              <w:bottom w:w="90" w:type="dxa"/>
              <w:right w:w="135" w:type="dxa"/>
            </w:tcMar>
            <w:vAlign w:val="center"/>
          </w:tcPr>
          <w:p w14:paraId="0EC373A8">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7</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5D07A335">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文化旅游及相关产业增加值增长（%）</w:t>
            </w:r>
          </w:p>
        </w:tc>
        <w:tc>
          <w:tcPr>
            <w:tcW w:w="991" w:type="dxa"/>
            <w:tcBorders>
              <w:tl2br w:val="nil"/>
              <w:tr2bl w:val="nil"/>
            </w:tcBorders>
            <w:shd w:val="clear" w:color="auto" w:fill="FFFFFF"/>
            <w:tcMar>
              <w:top w:w="90" w:type="dxa"/>
              <w:left w:w="135" w:type="dxa"/>
              <w:bottom w:w="90" w:type="dxa"/>
              <w:right w:w="135" w:type="dxa"/>
            </w:tcMar>
            <w:vAlign w:val="center"/>
          </w:tcPr>
          <w:p w14:paraId="79B92C25">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p>
        </w:tc>
        <w:tc>
          <w:tcPr>
            <w:tcW w:w="1553" w:type="dxa"/>
            <w:tcBorders>
              <w:tl2br w:val="nil"/>
              <w:tr2bl w:val="nil"/>
            </w:tcBorders>
            <w:shd w:val="clear" w:color="auto" w:fill="FFFFFF"/>
            <w:tcMar>
              <w:top w:w="90" w:type="dxa"/>
              <w:left w:w="135" w:type="dxa"/>
              <w:bottom w:w="90" w:type="dxa"/>
              <w:right w:w="135" w:type="dxa"/>
            </w:tcMar>
            <w:vAlign w:val="center"/>
          </w:tcPr>
          <w:p w14:paraId="46596FF0">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1710" w:type="dxa"/>
            <w:tcBorders>
              <w:tl2br w:val="nil"/>
              <w:tr2bl w:val="nil"/>
            </w:tcBorders>
            <w:shd w:val="clear" w:color="auto" w:fill="FFFFFF"/>
            <w:tcMar>
              <w:top w:w="90" w:type="dxa"/>
              <w:left w:w="135" w:type="dxa"/>
              <w:bottom w:w="90" w:type="dxa"/>
              <w:right w:w="135" w:type="dxa"/>
            </w:tcMar>
            <w:vAlign w:val="center"/>
          </w:tcPr>
          <w:p w14:paraId="27874103">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6.5</w:t>
            </w:r>
          </w:p>
        </w:tc>
        <w:tc>
          <w:tcPr>
            <w:tcW w:w="840" w:type="dxa"/>
            <w:tcBorders>
              <w:tl2br w:val="nil"/>
              <w:tr2bl w:val="nil"/>
            </w:tcBorders>
            <w:shd w:val="clear" w:color="auto" w:fill="FFFFFF"/>
            <w:tcMar>
              <w:top w:w="90" w:type="dxa"/>
              <w:left w:w="135" w:type="dxa"/>
              <w:bottom w:w="90" w:type="dxa"/>
              <w:right w:w="135" w:type="dxa"/>
            </w:tcMar>
            <w:vAlign w:val="center"/>
          </w:tcPr>
          <w:p w14:paraId="405B2035">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预期性</w:t>
            </w:r>
          </w:p>
        </w:tc>
      </w:tr>
      <w:tr w14:paraId="35A6F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restart"/>
            <w:tcBorders>
              <w:tl2br w:val="nil"/>
              <w:tr2bl w:val="nil"/>
            </w:tcBorders>
            <w:shd w:val="clear" w:color="auto" w:fill="FFFFFF"/>
            <w:tcMar>
              <w:top w:w="0" w:type="dxa"/>
              <w:left w:w="0" w:type="dxa"/>
              <w:bottom w:w="0" w:type="dxa"/>
              <w:right w:w="0" w:type="dxa"/>
            </w:tcMar>
            <w:vAlign w:val="center"/>
          </w:tcPr>
          <w:p w14:paraId="6681A55E">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创新</w:t>
            </w:r>
          </w:p>
          <w:p w14:paraId="39E92740">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驱动</w:t>
            </w:r>
          </w:p>
          <w:p w14:paraId="549B813D">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（3项）</w:t>
            </w:r>
          </w:p>
        </w:tc>
        <w:tc>
          <w:tcPr>
            <w:tcW w:w="0" w:type="auto"/>
            <w:tcBorders>
              <w:tl2br w:val="nil"/>
              <w:tr2bl w:val="nil"/>
            </w:tcBorders>
            <w:shd w:val="clear" w:color="auto" w:fill="FFFFFF"/>
            <w:tcMar>
              <w:top w:w="90" w:type="dxa"/>
              <w:left w:w="135" w:type="dxa"/>
              <w:bottom w:w="90" w:type="dxa"/>
              <w:right w:w="135" w:type="dxa"/>
            </w:tcMar>
            <w:vAlign w:val="center"/>
          </w:tcPr>
          <w:p w14:paraId="06EC0AAF">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8</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4E353DF6">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全社会研发经费投入增长（%）</w:t>
            </w:r>
          </w:p>
        </w:tc>
        <w:tc>
          <w:tcPr>
            <w:tcW w:w="991" w:type="dxa"/>
            <w:tcBorders>
              <w:tl2br w:val="nil"/>
              <w:tr2bl w:val="nil"/>
            </w:tcBorders>
            <w:shd w:val="clear" w:color="auto" w:fill="FFFFFF"/>
            <w:tcMar>
              <w:top w:w="90" w:type="dxa"/>
              <w:left w:w="135" w:type="dxa"/>
              <w:bottom w:w="90" w:type="dxa"/>
              <w:right w:w="135" w:type="dxa"/>
            </w:tcMar>
            <w:vAlign w:val="center"/>
          </w:tcPr>
          <w:p w14:paraId="2DE4C72A">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p>
        </w:tc>
        <w:tc>
          <w:tcPr>
            <w:tcW w:w="1553" w:type="dxa"/>
            <w:tcBorders>
              <w:tl2br w:val="nil"/>
              <w:tr2bl w:val="nil"/>
            </w:tcBorders>
            <w:shd w:val="clear" w:color="auto" w:fill="FFFFFF"/>
            <w:tcMar>
              <w:top w:w="90" w:type="dxa"/>
              <w:left w:w="135" w:type="dxa"/>
              <w:bottom w:w="90" w:type="dxa"/>
              <w:right w:w="135" w:type="dxa"/>
            </w:tcMar>
            <w:vAlign w:val="center"/>
          </w:tcPr>
          <w:p w14:paraId="3EA22015">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1710" w:type="dxa"/>
            <w:tcBorders>
              <w:tl2br w:val="nil"/>
              <w:tr2bl w:val="nil"/>
            </w:tcBorders>
            <w:shd w:val="clear" w:color="auto" w:fill="FFFFFF"/>
            <w:tcMar>
              <w:top w:w="90" w:type="dxa"/>
              <w:left w:w="135" w:type="dxa"/>
              <w:bottom w:w="90" w:type="dxa"/>
              <w:right w:w="135" w:type="dxa"/>
            </w:tcMar>
            <w:vAlign w:val="center"/>
          </w:tcPr>
          <w:p w14:paraId="0DE4E14E">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eastAsia" w:ascii="Times New Roman" w:hAnsi="Times New Roman" w:eastAsia="宋体" w:cs="Times New Roman"/>
                <w:b w:val="0"/>
                <w:i w:val="0"/>
                <w:iCs w:val="0"/>
                <w:caps w:val="0"/>
                <w:color w:val="auto"/>
                <w:spacing w:val="0"/>
                <w:kern w:val="0"/>
                <w:sz w:val="20"/>
                <w:szCs w:val="20"/>
                <w:highlight w:val="none"/>
                <w:lang w:val="en-US" w:eastAsia="zh-CN" w:bidi="ar"/>
              </w:rPr>
              <w:t>5</w:t>
            </w:r>
          </w:p>
        </w:tc>
        <w:tc>
          <w:tcPr>
            <w:tcW w:w="840" w:type="dxa"/>
            <w:tcBorders>
              <w:tl2br w:val="nil"/>
              <w:tr2bl w:val="nil"/>
            </w:tcBorders>
            <w:shd w:val="clear" w:color="auto" w:fill="FFFFFF"/>
            <w:tcMar>
              <w:top w:w="90" w:type="dxa"/>
              <w:left w:w="135" w:type="dxa"/>
              <w:bottom w:w="90" w:type="dxa"/>
              <w:right w:w="135" w:type="dxa"/>
            </w:tcMar>
            <w:vAlign w:val="center"/>
          </w:tcPr>
          <w:p w14:paraId="340EBA53">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预期性</w:t>
            </w:r>
          </w:p>
        </w:tc>
      </w:tr>
      <w:tr w14:paraId="231F8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4A1A85D5">
            <w:pPr>
              <w:keepNext/>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tcBorders>
              <w:tl2br w:val="nil"/>
              <w:tr2bl w:val="nil"/>
            </w:tcBorders>
            <w:shd w:val="clear" w:color="auto" w:fill="FFFFFF"/>
            <w:tcMar>
              <w:top w:w="90" w:type="dxa"/>
              <w:left w:w="135" w:type="dxa"/>
              <w:bottom w:w="90" w:type="dxa"/>
              <w:right w:w="135" w:type="dxa"/>
            </w:tcMar>
            <w:vAlign w:val="center"/>
          </w:tcPr>
          <w:p w14:paraId="0BDCB350">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9</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2801D892">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每万人口高价值发明专利拥有量（件）</w:t>
            </w:r>
          </w:p>
        </w:tc>
        <w:tc>
          <w:tcPr>
            <w:tcW w:w="991" w:type="dxa"/>
            <w:tcBorders>
              <w:tl2br w:val="nil"/>
              <w:tr2bl w:val="nil"/>
            </w:tcBorders>
            <w:shd w:val="clear" w:color="auto" w:fill="FFFFFF"/>
            <w:tcMar>
              <w:top w:w="90" w:type="dxa"/>
              <w:left w:w="135" w:type="dxa"/>
              <w:bottom w:w="90" w:type="dxa"/>
              <w:right w:w="135" w:type="dxa"/>
            </w:tcMar>
            <w:vAlign w:val="center"/>
          </w:tcPr>
          <w:p w14:paraId="3FCBDBE0">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eastAsia" w:ascii="Times New Roman" w:hAnsi="Times New Roman" w:eastAsia="宋体" w:cs="Times New Roman"/>
                <w:b w:val="0"/>
                <w:i w:val="0"/>
                <w:iCs w:val="0"/>
                <w:caps w:val="0"/>
                <w:color w:val="auto"/>
                <w:spacing w:val="0"/>
                <w:kern w:val="0"/>
                <w:sz w:val="20"/>
                <w:szCs w:val="20"/>
                <w:lang w:val="en-US" w:eastAsia="zh-CN" w:bidi="ar"/>
              </w:rPr>
              <w:t>1.27</w:t>
            </w:r>
          </w:p>
        </w:tc>
        <w:tc>
          <w:tcPr>
            <w:tcW w:w="1553" w:type="dxa"/>
            <w:tcBorders>
              <w:tl2br w:val="nil"/>
              <w:tr2bl w:val="nil"/>
            </w:tcBorders>
            <w:shd w:val="clear" w:color="auto" w:fill="FFFFFF"/>
            <w:tcMar>
              <w:top w:w="90" w:type="dxa"/>
              <w:left w:w="135" w:type="dxa"/>
              <w:bottom w:w="90" w:type="dxa"/>
              <w:right w:w="135" w:type="dxa"/>
            </w:tcMar>
            <w:vAlign w:val="center"/>
          </w:tcPr>
          <w:p w14:paraId="1BFDE7C8">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eastAsia" w:ascii="Times New Roman" w:hAnsi="Times New Roman" w:eastAsia="宋体" w:cs="Times New Roman"/>
                <w:b w:val="0"/>
                <w:i w:val="0"/>
                <w:iCs w:val="0"/>
                <w:caps w:val="0"/>
                <w:color w:val="auto"/>
                <w:spacing w:val="0"/>
                <w:kern w:val="0"/>
                <w:sz w:val="20"/>
                <w:szCs w:val="20"/>
                <w:lang w:val="en-US" w:eastAsia="zh-CN" w:bidi="ar"/>
              </w:rPr>
              <w:t>1.87</w:t>
            </w:r>
          </w:p>
        </w:tc>
        <w:tc>
          <w:tcPr>
            <w:tcW w:w="1710" w:type="dxa"/>
            <w:tcBorders>
              <w:tl2br w:val="nil"/>
              <w:tr2bl w:val="nil"/>
            </w:tcBorders>
            <w:shd w:val="clear" w:color="auto" w:fill="FFFFFF"/>
            <w:tcMar>
              <w:top w:w="90" w:type="dxa"/>
              <w:left w:w="135" w:type="dxa"/>
              <w:bottom w:w="90" w:type="dxa"/>
              <w:right w:w="135" w:type="dxa"/>
            </w:tcMar>
            <w:vAlign w:val="center"/>
          </w:tcPr>
          <w:p w14:paraId="6345A863">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eastAsia" w:ascii="Times New Roman" w:hAnsi="Times New Roman" w:eastAsia="宋体" w:cs="Times New Roman"/>
                <w:b w:val="0"/>
                <w:i w:val="0"/>
                <w:iCs w:val="0"/>
                <w:caps w:val="0"/>
                <w:color w:val="auto"/>
                <w:spacing w:val="0"/>
                <w:kern w:val="0"/>
                <w:sz w:val="20"/>
                <w:szCs w:val="20"/>
                <w:lang w:val="en-US" w:eastAsia="zh-CN" w:bidi="ar"/>
              </w:rPr>
              <w:t>—</w:t>
            </w:r>
          </w:p>
        </w:tc>
        <w:tc>
          <w:tcPr>
            <w:tcW w:w="840" w:type="dxa"/>
            <w:tcBorders>
              <w:tl2br w:val="nil"/>
              <w:tr2bl w:val="nil"/>
            </w:tcBorders>
            <w:shd w:val="clear" w:color="auto" w:fill="FFFFFF"/>
            <w:tcMar>
              <w:top w:w="90" w:type="dxa"/>
              <w:left w:w="135" w:type="dxa"/>
              <w:bottom w:w="90" w:type="dxa"/>
              <w:right w:w="135" w:type="dxa"/>
            </w:tcMar>
            <w:vAlign w:val="center"/>
          </w:tcPr>
          <w:p w14:paraId="52FD2BB0">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预期性</w:t>
            </w:r>
          </w:p>
        </w:tc>
      </w:tr>
      <w:tr w14:paraId="431A7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5C801557">
            <w:pPr>
              <w:keepNext/>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tcBorders>
              <w:tl2br w:val="nil"/>
              <w:tr2bl w:val="nil"/>
            </w:tcBorders>
            <w:shd w:val="clear" w:color="auto" w:fill="FFFFFF"/>
            <w:tcMar>
              <w:top w:w="90" w:type="dxa"/>
              <w:left w:w="135" w:type="dxa"/>
              <w:bottom w:w="90" w:type="dxa"/>
              <w:right w:w="135" w:type="dxa"/>
            </w:tcMar>
            <w:vAlign w:val="center"/>
          </w:tcPr>
          <w:p w14:paraId="7B3B4500">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10</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202E56BD">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技术合同成交额（亿元）</w:t>
            </w:r>
          </w:p>
        </w:tc>
        <w:tc>
          <w:tcPr>
            <w:tcW w:w="991" w:type="dxa"/>
            <w:tcBorders>
              <w:tl2br w:val="nil"/>
              <w:tr2bl w:val="nil"/>
            </w:tcBorders>
            <w:shd w:val="clear" w:color="auto" w:fill="FFFFFF"/>
            <w:tcMar>
              <w:top w:w="90" w:type="dxa"/>
              <w:left w:w="135" w:type="dxa"/>
              <w:bottom w:w="90" w:type="dxa"/>
              <w:right w:w="135" w:type="dxa"/>
            </w:tcMar>
            <w:vAlign w:val="center"/>
          </w:tcPr>
          <w:p w14:paraId="1FF9548B">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eastAsia" w:ascii="Times New Roman" w:hAnsi="Times New Roman" w:eastAsia="宋体" w:cs="Times New Roman"/>
                <w:b w:val="0"/>
                <w:i w:val="0"/>
                <w:iCs w:val="0"/>
                <w:caps w:val="0"/>
                <w:color w:val="auto"/>
                <w:spacing w:val="0"/>
                <w:kern w:val="0"/>
                <w:sz w:val="20"/>
                <w:szCs w:val="20"/>
                <w:lang w:val="en-US" w:eastAsia="zh-CN" w:bidi="ar"/>
              </w:rPr>
              <w:t>0.487</w:t>
            </w:r>
          </w:p>
        </w:tc>
        <w:tc>
          <w:tcPr>
            <w:tcW w:w="1553" w:type="dxa"/>
            <w:tcBorders>
              <w:tl2br w:val="nil"/>
              <w:tr2bl w:val="nil"/>
            </w:tcBorders>
            <w:shd w:val="clear" w:color="auto" w:fill="FFFFFF"/>
            <w:tcMar>
              <w:top w:w="90" w:type="dxa"/>
              <w:left w:w="135" w:type="dxa"/>
              <w:bottom w:w="90" w:type="dxa"/>
              <w:right w:w="135" w:type="dxa"/>
            </w:tcMar>
            <w:vAlign w:val="center"/>
          </w:tcPr>
          <w:p w14:paraId="6240135E">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1710" w:type="dxa"/>
            <w:tcBorders>
              <w:tl2br w:val="nil"/>
              <w:tr2bl w:val="nil"/>
            </w:tcBorders>
            <w:shd w:val="clear" w:color="auto" w:fill="FFFFFF"/>
            <w:tcMar>
              <w:top w:w="90" w:type="dxa"/>
              <w:left w:w="135" w:type="dxa"/>
              <w:bottom w:w="90" w:type="dxa"/>
              <w:right w:w="135" w:type="dxa"/>
            </w:tcMar>
            <w:vAlign w:val="center"/>
          </w:tcPr>
          <w:p w14:paraId="25EB42F2">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eastAsia" w:ascii="Times New Roman" w:hAnsi="Times New Roman" w:eastAsia="宋体" w:cs="Times New Roman"/>
                <w:b w:val="0"/>
                <w:i w:val="0"/>
                <w:iCs w:val="0"/>
                <w:caps w:val="0"/>
                <w:color w:val="auto"/>
                <w:spacing w:val="0"/>
                <w:kern w:val="0"/>
                <w:sz w:val="20"/>
                <w:szCs w:val="20"/>
                <w:lang w:val="en-US" w:eastAsia="zh-CN" w:bidi="ar"/>
              </w:rPr>
              <w:t>5</w:t>
            </w:r>
          </w:p>
        </w:tc>
        <w:tc>
          <w:tcPr>
            <w:tcW w:w="840" w:type="dxa"/>
            <w:tcBorders>
              <w:tl2br w:val="nil"/>
              <w:tr2bl w:val="nil"/>
            </w:tcBorders>
            <w:shd w:val="clear" w:color="auto" w:fill="FFFFFF"/>
            <w:tcMar>
              <w:top w:w="90" w:type="dxa"/>
              <w:left w:w="135" w:type="dxa"/>
              <w:bottom w:w="90" w:type="dxa"/>
              <w:right w:w="135" w:type="dxa"/>
            </w:tcMar>
            <w:vAlign w:val="center"/>
          </w:tcPr>
          <w:p w14:paraId="3CAA3636">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预期性</w:t>
            </w:r>
          </w:p>
        </w:tc>
      </w:tr>
      <w:tr w14:paraId="618CE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restart"/>
            <w:tcBorders>
              <w:tl2br w:val="nil"/>
              <w:tr2bl w:val="nil"/>
            </w:tcBorders>
            <w:shd w:val="clear" w:color="auto" w:fill="FFFFFF"/>
            <w:tcMar>
              <w:top w:w="0" w:type="dxa"/>
              <w:left w:w="0" w:type="dxa"/>
              <w:bottom w:w="0" w:type="dxa"/>
              <w:right w:w="0" w:type="dxa"/>
            </w:tcMar>
            <w:vAlign w:val="center"/>
          </w:tcPr>
          <w:p w14:paraId="3FD81217">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民生</w:t>
            </w:r>
          </w:p>
          <w:p w14:paraId="2F31FD6B">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福祉</w:t>
            </w:r>
          </w:p>
          <w:p w14:paraId="46D81A0C">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w:t>
            </w:r>
            <w:r>
              <w:rPr>
                <w:rFonts w:hint="eastAsia" w:ascii="Times New Roman" w:hAnsi="Times New Roman" w:eastAsia="宋体" w:cs="Times New Roman"/>
                <w:b w:val="0"/>
                <w:i w:val="0"/>
                <w:iCs w:val="0"/>
                <w:caps w:val="0"/>
                <w:color w:val="auto"/>
                <w:spacing w:val="0"/>
                <w:kern w:val="0"/>
                <w:sz w:val="20"/>
                <w:szCs w:val="20"/>
                <w:lang w:val="en-US" w:eastAsia="zh-CN" w:bidi="ar"/>
              </w:rPr>
              <w:t>6</w:t>
            </w:r>
            <w:r>
              <w:rPr>
                <w:rFonts w:hint="default" w:ascii="Times New Roman" w:hAnsi="Times New Roman" w:eastAsia="宋体" w:cs="Times New Roman"/>
                <w:b w:val="0"/>
                <w:i w:val="0"/>
                <w:iCs w:val="0"/>
                <w:caps w:val="0"/>
                <w:color w:val="auto"/>
                <w:spacing w:val="0"/>
                <w:kern w:val="0"/>
                <w:sz w:val="20"/>
                <w:szCs w:val="20"/>
                <w:lang w:val="en-US" w:eastAsia="zh-CN" w:bidi="ar"/>
              </w:rPr>
              <w:t>项）</w:t>
            </w:r>
          </w:p>
        </w:tc>
        <w:tc>
          <w:tcPr>
            <w:tcW w:w="0" w:type="auto"/>
            <w:tcBorders>
              <w:tl2br w:val="nil"/>
              <w:tr2bl w:val="nil"/>
            </w:tcBorders>
            <w:shd w:val="clear" w:color="auto" w:fill="FFFFFF"/>
            <w:tcMar>
              <w:top w:w="90" w:type="dxa"/>
              <w:left w:w="135" w:type="dxa"/>
              <w:bottom w:w="90" w:type="dxa"/>
              <w:right w:w="135" w:type="dxa"/>
            </w:tcMar>
            <w:vAlign w:val="center"/>
          </w:tcPr>
          <w:p w14:paraId="670F1587">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11</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269FB7BA">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城镇登记失业率（%）</w:t>
            </w:r>
          </w:p>
        </w:tc>
        <w:tc>
          <w:tcPr>
            <w:tcW w:w="991" w:type="dxa"/>
            <w:tcBorders>
              <w:tl2br w:val="nil"/>
              <w:tr2bl w:val="nil"/>
            </w:tcBorders>
            <w:shd w:val="clear" w:color="auto" w:fill="FFFFFF"/>
            <w:tcMar>
              <w:top w:w="90" w:type="dxa"/>
              <w:left w:w="135" w:type="dxa"/>
              <w:bottom w:w="90" w:type="dxa"/>
              <w:right w:w="135" w:type="dxa"/>
            </w:tcMar>
            <w:vAlign w:val="center"/>
          </w:tcPr>
          <w:p w14:paraId="41EE355C">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＜4.5</w:t>
            </w:r>
          </w:p>
        </w:tc>
        <w:tc>
          <w:tcPr>
            <w:tcW w:w="1553" w:type="dxa"/>
            <w:tcBorders>
              <w:tl2br w:val="nil"/>
              <w:tr2bl w:val="nil"/>
            </w:tcBorders>
            <w:shd w:val="clear" w:color="auto" w:fill="FFFFFF"/>
            <w:tcMar>
              <w:top w:w="90" w:type="dxa"/>
              <w:left w:w="135" w:type="dxa"/>
              <w:bottom w:w="90" w:type="dxa"/>
              <w:right w:w="135" w:type="dxa"/>
            </w:tcMar>
            <w:vAlign w:val="center"/>
          </w:tcPr>
          <w:p w14:paraId="034A7CBC">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＜4.5</w:t>
            </w:r>
          </w:p>
        </w:tc>
        <w:tc>
          <w:tcPr>
            <w:tcW w:w="1710" w:type="dxa"/>
            <w:tcBorders>
              <w:tl2br w:val="nil"/>
              <w:tr2bl w:val="nil"/>
            </w:tcBorders>
            <w:shd w:val="clear" w:color="auto" w:fill="FFFFFF"/>
            <w:tcMar>
              <w:top w:w="90" w:type="dxa"/>
              <w:left w:w="135" w:type="dxa"/>
              <w:bottom w:w="90" w:type="dxa"/>
              <w:right w:w="135" w:type="dxa"/>
            </w:tcMar>
            <w:vAlign w:val="center"/>
          </w:tcPr>
          <w:p w14:paraId="2E65A57D">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840" w:type="dxa"/>
            <w:tcBorders>
              <w:tl2br w:val="nil"/>
              <w:tr2bl w:val="nil"/>
            </w:tcBorders>
            <w:shd w:val="clear" w:color="auto" w:fill="FFFFFF"/>
            <w:tcMar>
              <w:top w:w="90" w:type="dxa"/>
              <w:left w:w="135" w:type="dxa"/>
              <w:bottom w:w="90" w:type="dxa"/>
              <w:right w:w="135" w:type="dxa"/>
            </w:tcMar>
            <w:vAlign w:val="center"/>
          </w:tcPr>
          <w:p w14:paraId="6D510A83">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预期性</w:t>
            </w:r>
          </w:p>
        </w:tc>
      </w:tr>
      <w:tr w14:paraId="48E78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5571D6FA">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tcBorders>
              <w:tl2br w:val="nil"/>
              <w:tr2bl w:val="nil"/>
            </w:tcBorders>
            <w:shd w:val="clear" w:color="auto" w:fill="FFFFFF"/>
            <w:tcMar>
              <w:top w:w="90" w:type="dxa"/>
              <w:left w:w="135" w:type="dxa"/>
              <w:bottom w:w="90" w:type="dxa"/>
              <w:right w:w="135" w:type="dxa"/>
            </w:tcMar>
            <w:vAlign w:val="center"/>
          </w:tcPr>
          <w:p w14:paraId="2D158F38">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12</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44C5CB99">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居民人均可支配收入增长（%）</w:t>
            </w:r>
          </w:p>
        </w:tc>
        <w:tc>
          <w:tcPr>
            <w:tcW w:w="991" w:type="dxa"/>
            <w:tcBorders>
              <w:tl2br w:val="nil"/>
              <w:tr2bl w:val="nil"/>
            </w:tcBorders>
            <w:shd w:val="clear" w:color="auto" w:fill="FFFFFF"/>
            <w:tcMar>
              <w:top w:w="90" w:type="dxa"/>
              <w:left w:w="135" w:type="dxa"/>
              <w:bottom w:w="90" w:type="dxa"/>
              <w:right w:w="135" w:type="dxa"/>
            </w:tcMar>
            <w:vAlign w:val="center"/>
          </w:tcPr>
          <w:p w14:paraId="786CEDAA">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eastAsia" w:ascii="Times New Roman" w:hAnsi="Times New Roman" w:eastAsia="宋体" w:cs="Times New Roman"/>
                <w:b w:val="0"/>
                <w:i w:val="0"/>
                <w:iCs w:val="0"/>
                <w:caps w:val="0"/>
                <w:color w:val="auto"/>
                <w:spacing w:val="0"/>
                <w:kern w:val="0"/>
                <w:sz w:val="20"/>
                <w:szCs w:val="20"/>
                <w:lang w:val="en-US" w:eastAsia="zh-CN" w:bidi="ar"/>
              </w:rPr>
              <w:t>3.9</w:t>
            </w:r>
          </w:p>
        </w:tc>
        <w:tc>
          <w:tcPr>
            <w:tcW w:w="1553" w:type="dxa"/>
            <w:tcBorders>
              <w:tl2br w:val="nil"/>
              <w:tr2bl w:val="nil"/>
            </w:tcBorders>
            <w:shd w:val="clear" w:color="auto" w:fill="FFFFFF"/>
            <w:tcMar>
              <w:top w:w="90" w:type="dxa"/>
              <w:left w:w="135" w:type="dxa"/>
              <w:bottom w:w="90" w:type="dxa"/>
              <w:right w:w="135" w:type="dxa"/>
            </w:tcMar>
            <w:vAlign w:val="center"/>
          </w:tcPr>
          <w:p w14:paraId="55DFF202">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1710" w:type="dxa"/>
            <w:tcBorders>
              <w:tl2br w:val="nil"/>
              <w:tr2bl w:val="nil"/>
            </w:tcBorders>
            <w:shd w:val="clear" w:color="auto" w:fill="FFFFFF"/>
            <w:tcMar>
              <w:top w:w="90" w:type="dxa"/>
              <w:left w:w="135" w:type="dxa"/>
              <w:bottom w:w="90" w:type="dxa"/>
              <w:right w:w="135" w:type="dxa"/>
            </w:tcMar>
            <w:vAlign w:val="center"/>
          </w:tcPr>
          <w:p w14:paraId="26928119">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与GDP增长同步</w:t>
            </w:r>
          </w:p>
        </w:tc>
        <w:tc>
          <w:tcPr>
            <w:tcW w:w="840" w:type="dxa"/>
            <w:tcBorders>
              <w:tl2br w:val="nil"/>
              <w:tr2bl w:val="nil"/>
            </w:tcBorders>
            <w:shd w:val="clear" w:color="auto" w:fill="FFFFFF"/>
            <w:tcMar>
              <w:top w:w="90" w:type="dxa"/>
              <w:left w:w="135" w:type="dxa"/>
              <w:bottom w:w="90" w:type="dxa"/>
              <w:right w:w="135" w:type="dxa"/>
            </w:tcMar>
            <w:vAlign w:val="center"/>
          </w:tcPr>
          <w:p w14:paraId="513B43A2">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预期性</w:t>
            </w:r>
          </w:p>
        </w:tc>
      </w:tr>
      <w:tr w14:paraId="49713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1D6D75D0">
            <w:pPr>
              <w:keepNext/>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tcBorders>
              <w:tl2br w:val="nil"/>
              <w:tr2bl w:val="nil"/>
            </w:tcBorders>
            <w:shd w:val="clear" w:color="auto" w:fill="FFFFFF"/>
            <w:tcMar>
              <w:top w:w="90" w:type="dxa"/>
              <w:left w:w="135" w:type="dxa"/>
              <w:bottom w:w="90" w:type="dxa"/>
              <w:right w:w="135" w:type="dxa"/>
            </w:tcMar>
            <w:vAlign w:val="center"/>
          </w:tcPr>
          <w:p w14:paraId="31D37E24">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13</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64983943">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劳动年龄人口平均受教育年限（年）</w:t>
            </w:r>
          </w:p>
        </w:tc>
        <w:tc>
          <w:tcPr>
            <w:tcW w:w="991" w:type="dxa"/>
            <w:tcBorders>
              <w:tl2br w:val="nil"/>
              <w:tr2bl w:val="nil"/>
            </w:tcBorders>
            <w:shd w:val="clear" w:color="auto" w:fill="FFFFFF"/>
            <w:tcMar>
              <w:top w:w="90" w:type="dxa"/>
              <w:left w:w="135" w:type="dxa"/>
              <w:bottom w:w="90" w:type="dxa"/>
              <w:right w:w="135" w:type="dxa"/>
            </w:tcMar>
            <w:vAlign w:val="center"/>
          </w:tcPr>
          <w:p w14:paraId="381AEC84">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eastAsia" w:ascii="Times New Roman" w:hAnsi="Times New Roman" w:eastAsia="宋体" w:cs="Times New Roman"/>
                <w:b w:val="0"/>
                <w:i w:val="0"/>
                <w:iCs w:val="0"/>
                <w:caps w:val="0"/>
                <w:color w:val="auto"/>
                <w:spacing w:val="0"/>
                <w:kern w:val="0"/>
                <w:sz w:val="20"/>
                <w:szCs w:val="20"/>
                <w:lang w:val="en-US" w:eastAsia="zh-CN" w:bidi="ar"/>
              </w:rPr>
              <w:t>12</w:t>
            </w:r>
          </w:p>
        </w:tc>
        <w:tc>
          <w:tcPr>
            <w:tcW w:w="1553" w:type="dxa"/>
            <w:tcBorders>
              <w:tl2br w:val="nil"/>
              <w:tr2bl w:val="nil"/>
            </w:tcBorders>
            <w:shd w:val="clear" w:color="auto" w:fill="FFFFFF"/>
            <w:tcMar>
              <w:top w:w="90" w:type="dxa"/>
              <w:left w:w="135" w:type="dxa"/>
              <w:bottom w:w="90" w:type="dxa"/>
              <w:right w:w="135" w:type="dxa"/>
            </w:tcMar>
            <w:vAlign w:val="center"/>
          </w:tcPr>
          <w:p w14:paraId="6772F911">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高于全市</w:t>
            </w:r>
          </w:p>
          <w:p w14:paraId="61E94CC3">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平均水平</w:t>
            </w:r>
          </w:p>
        </w:tc>
        <w:tc>
          <w:tcPr>
            <w:tcW w:w="1710" w:type="dxa"/>
            <w:tcBorders>
              <w:tl2br w:val="nil"/>
              <w:tr2bl w:val="nil"/>
            </w:tcBorders>
            <w:shd w:val="clear" w:color="auto" w:fill="FFFFFF"/>
            <w:tcMar>
              <w:top w:w="90" w:type="dxa"/>
              <w:left w:w="135" w:type="dxa"/>
              <w:bottom w:w="90" w:type="dxa"/>
              <w:right w:w="135" w:type="dxa"/>
            </w:tcMar>
            <w:vAlign w:val="center"/>
          </w:tcPr>
          <w:p w14:paraId="0600817F">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840" w:type="dxa"/>
            <w:tcBorders>
              <w:tl2br w:val="nil"/>
              <w:tr2bl w:val="nil"/>
            </w:tcBorders>
            <w:shd w:val="clear" w:color="auto" w:fill="FFFFFF"/>
            <w:tcMar>
              <w:top w:w="90" w:type="dxa"/>
              <w:left w:w="135" w:type="dxa"/>
              <w:bottom w:w="90" w:type="dxa"/>
              <w:right w:w="135" w:type="dxa"/>
            </w:tcMar>
            <w:vAlign w:val="center"/>
          </w:tcPr>
          <w:p w14:paraId="3632CA5D">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预期性</w:t>
            </w:r>
          </w:p>
        </w:tc>
      </w:tr>
      <w:tr w14:paraId="3C48D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1594AF9C">
            <w:pPr>
              <w:keepNext/>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vMerge w:val="restart"/>
            <w:tcBorders>
              <w:tl2br w:val="nil"/>
              <w:tr2bl w:val="nil"/>
            </w:tcBorders>
            <w:shd w:val="clear" w:color="auto" w:fill="FFFFFF"/>
            <w:tcMar>
              <w:top w:w="90" w:type="dxa"/>
              <w:left w:w="135" w:type="dxa"/>
              <w:bottom w:w="90" w:type="dxa"/>
              <w:right w:w="135" w:type="dxa"/>
            </w:tcMar>
            <w:vAlign w:val="center"/>
          </w:tcPr>
          <w:p w14:paraId="767ED2C7">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14</w:t>
            </w:r>
          </w:p>
        </w:tc>
        <w:tc>
          <w:tcPr>
            <w:tcW w:w="1240" w:type="dxa"/>
            <w:vMerge w:val="restart"/>
            <w:tcBorders>
              <w:tl2br w:val="nil"/>
              <w:tr2bl w:val="nil"/>
            </w:tcBorders>
            <w:shd w:val="clear" w:color="auto" w:fill="FFFFFF"/>
            <w:tcMar>
              <w:top w:w="90" w:type="dxa"/>
              <w:left w:w="135" w:type="dxa"/>
              <w:bottom w:w="90" w:type="dxa"/>
              <w:right w:w="135" w:type="dxa"/>
            </w:tcMar>
            <w:vAlign w:val="center"/>
          </w:tcPr>
          <w:p w14:paraId="53E7FA7D">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每千人口拥有医护人员数</w:t>
            </w:r>
          </w:p>
        </w:tc>
        <w:tc>
          <w:tcPr>
            <w:tcW w:w="1631" w:type="dxa"/>
            <w:tcBorders>
              <w:tl2br w:val="nil"/>
              <w:tr2bl w:val="nil"/>
            </w:tcBorders>
            <w:shd w:val="clear" w:color="auto" w:fill="FFFFFF"/>
            <w:tcMar>
              <w:top w:w="90" w:type="dxa"/>
              <w:left w:w="135" w:type="dxa"/>
              <w:bottom w:w="90" w:type="dxa"/>
              <w:right w:w="135" w:type="dxa"/>
            </w:tcMar>
            <w:vAlign w:val="center"/>
          </w:tcPr>
          <w:p w14:paraId="77C62C4E">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sz w:val="20"/>
                <w:szCs w:val="20"/>
              </w:rPr>
              <w:t>高级职称执业医师占比（%）</w:t>
            </w:r>
          </w:p>
        </w:tc>
        <w:tc>
          <w:tcPr>
            <w:tcW w:w="991" w:type="dxa"/>
            <w:tcBorders>
              <w:tl2br w:val="nil"/>
              <w:tr2bl w:val="nil"/>
            </w:tcBorders>
            <w:shd w:val="clear" w:color="auto" w:fill="FFFFFF"/>
            <w:tcMar>
              <w:top w:w="90" w:type="dxa"/>
              <w:left w:w="135" w:type="dxa"/>
              <w:bottom w:w="90" w:type="dxa"/>
              <w:right w:w="135" w:type="dxa"/>
            </w:tcMar>
            <w:vAlign w:val="center"/>
          </w:tcPr>
          <w:p w14:paraId="78B962A2">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eastAsia" w:ascii="Times New Roman" w:hAnsi="Times New Roman" w:eastAsia="宋体" w:cs="Times New Roman"/>
                <w:b w:val="0"/>
                <w:i w:val="0"/>
                <w:iCs w:val="0"/>
                <w:caps w:val="0"/>
                <w:color w:val="auto"/>
                <w:spacing w:val="0"/>
                <w:kern w:val="0"/>
                <w:sz w:val="20"/>
                <w:szCs w:val="20"/>
                <w:lang w:val="en-US" w:eastAsia="zh-CN" w:bidi="ar"/>
              </w:rPr>
              <w:t>8</w:t>
            </w:r>
          </w:p>
        </w:tc>
        <w:tc>
          <w:tcPr>
            <w:tcW w:w="1553" w:type="dxa"/>
            <w:tcBorders>
              <w:tl2br w:val="nil"/>
              <w:tr2bl w:val="nil"/>
            </w:tcBorders>
            <w:shd w:val="clear" w:color="auto" w:fill="FFFFFF"/>
            <w:tcMar>
              <w:top w:w="90" w:type="dxa"/>
              <w:left w:w="135" w:type="dxa"/>
              <w:bottom w:w="90" w:type="dxa"/>
              <w:right w:w="135" w:type="dxa"/>
            </w:tcMar>
            <w:vAlign w:val="center"/>
          </w:tcPr>
          <w:p w14:paraId="421D6BED">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25</w:t>
            </w:r>
          </w:p>
        </w:tc>
        <w:tc>
          <w:tcPr>
            <w:tcW w:w="1710" w:type="dxa"/>
            <w:tcBorders>
              <w:tl2br w:val="nil"/>
              <w:tr2bl w:val="nil"/>
            </w:tcBorders>
            <w:shd w:val="clear" w:color="auto" w:fill="FFFFFF"/>
            <w:tcMar>
              <w:top w:w="90" w:type="dxa"/>
              <w:left w:w="135" w:type="dxa"/>
              <w:bottom w:w="90" w:type="dxa"/>
              <w:right w:w="135" w:type="dxa"/>
            </w:tcMar>
            <w:vAlign w:val="center"/>
          </w:tcPr>
          <w:p w14:paraId="765D32EB">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840" w:type="dxa"/>
            <w:vMerge w:val="restart"/>
            <w:tcBorders>
              <w:tl2br w:val="nil"/>
              <w:tr2bl w:val="nil"/>
            </w:tcBorders>
            <w:shd w:val="clear" w:color="auto" w:fill="FFFFFF"/>
            <w:tcMar>
              <w:top w:w="90" w:type="dxa"/>
              <w:left w:w="135" w:type="dxa"/>
              <w:bottom w:w="90" w:type="dxa"/>
              <w:right w:w="135" w:type="dxa"/>
            </w:tcMar>
            <w:vAlign w:val="center"/>
          </w:tcPr>
          <w:p w14:paraId="3C76F302">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预期性</w:t>
            </w:r>
          </w:p>
        </w:tc>
      </w:tr>
      <w:tr w14:paraId="42AE2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3CCFABDB">
            <w:pPr>
              <w:keepNext/>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vMerge w:val="continue"/>
            <w:tcBorders>
              <w:tl2br w:val="nil"/>
              <w:tr2bl w:val="nil"/>
            </w:tcBorders>
            <w:shd w:val="clear" w:color="auto" w:fill="FFFFFF"/>
            <w:tcMar>
              <w:top w:w="90" w:type="dxa"/>
              <w:left w:w="135" w:type="dxa"/>
              <w:bottom w:w="90" w:type="dxa"/>
              <w:right w:w="135" w:type="dxa"/>
            </w:tcMar>
            <w:vAlign w:val="center"/>
          </w:tcPr>
          <w:p w14:paraId="172D2BC5">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p>
        </w:tc>
        <w:tc>
          <w:tcPr>
            <w:tcW w:w="1240" w:type="dxa"/>
            <w:vMerge w:val="continue"/>
            <w:tcBorders>
              <w:tl2br w:val="nil"/>
              <w:tr2bl w:val="nil"/>
            </w:tcBorders>
            <w:shd w:val="clear" w:color="auto" w:fill="FFFFFF"/>
            <w:tcMar>
              <w:top w:w="90" w:type="dxa"/>
              <w:left w:w="135" w:type="dxa"/>
              <w:bottom w:w="90" w:type="dxa"/>
              <w:right w:w="135" w:type="dxa"/>
            </w:tcMar>
            <w:vAlign w:val="center"/>
          </w:tcPr>
          <w:p w14:paraId="5CC0C21F">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p>
        </w:tc>
        <w:tc>
          <w:tcPr>
            <w:tcW w:w="1631" w:type="dxa"/>
            <w:tcBorders>
              <w:tl2br w:val="nil"/>
              <w:tr2bl w:val="nil"/>
            </w:tcBorders>
            <w:shd w:val="clear" w:color="auto" w:fill="FFFFFF"/>
            <w:tcMar>
              <w:top w:w="90" w:type="dxa"/>
              <w:left w:w="135" w:type="dxa"/>
              <w:bottom w:w="90" w:type="dxa"/>
              <w:right w:w="135" w:type="dxa"/>
            </w:tcMar>
            <w:vAlign w:val="center"/>
          </w:tcPr>
          <w:p w14:paraId="2F24B3CF">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sz w:val="20"/>
                <w:szCs w:val="20"/>
              </w:rPr>
              <w:t>执业医师（人）</w:t>
            </w:r>
          </w:p>
        </w:tc>
        <w:tc>
          <w:tcPr>
            <w:tcW w:w="991" w:type="dxa"/>
            <w:tcBorders>
              <w:tl2br w:val="nil"/>
              <w:tr2bl w:val="nil"/>
            </w:tcBorders>
            <w:shd w:val="clear" w:color="auto" w:fill="FFFFFF"/>
            <w:tcMar>
              <w:top w:w="90" w:type="dxa"/>
              <w:left w:w="135" w:type="dxa"/>
              <w:bottom w:w="90" w:type="dxa"/>
              <w:right w:w="135" w:type="dxa"/>
            </w:tcMar>
            <w:vAlign w:val="center"/>
          </w:tcPr>
          <w:p w14:paraId="52F704D4">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eastAsia" w:ascii="Times New Roman" w:hAnsi="Times New Roman" w:eastAsia="宋体" w:cs="Times New Roman"/>
                <w:b w:val="0"/>
                <w:i w:val="0"/>
                <w:iCs w:val="0"/>
                <w:caps w:val="0"/>
                <w:color w:val="auto"/>
                <w:spacing w:val="0"/>
                <w:kern w:val="0"/>
                <w:sz w:val="20"/>
                <w:szCs w:val="20"/>
                <w:lang w:val="en-US" w:eastAsia="zh-CN" w:bidi="ar"/>
              </w:rPr>
              <w:t>3.1</w:t>
            </w:r>
          </w:p>
        </w:tc>
        <w:tc>
          <w:tcPr>
            <w:tcW w:w="1553" w:type="dxa"/>
            <w:tcBorders>
              <w:tl2br w:val="nil"/>
              <w:tr2bl w:val="nil"/>
            </w:tcBorders>
            <w:shd w:val="clear" w:color="auto" w:fill="FFFFFF"/>
            <w:tcMar>
              <w:top w:w="90" w:type="dxa"/>
              <w:left w:w="135" w:type="dxa"/>
              <w:bottom w:w="90" w:type="dxa"/>
              <w:right w:w="135" w:type="dxa"/>
            </w:tcMar>
            <w:vAlign w:val="center"/>
          </w:tcPr>
          <w:p w14:paraId="4CCE6F86">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3.7</w:t>
            </w:r>
          </w:p>
        </w:tc>
        <w:tc>
          <w:tcPr>
            <w:tcW w:w="1710" w:type="dxa"/>
            <w:tcBorders>
              <w:tl2br w:val="nil"/>
              <w:tr2bl w:val="nil"/>
            </w:tcBorders>
            <w:shd w:val="clear" w:color="auto" w:fill="FFFFFF"/>
            <w:tcMar>
              <w:top w:w="90" w:type="dxa"/>
              <w:left w:w="135" w:type="dxa"/>
              <w:bottom w:w="90" w:type="dxa"/>
              <w:right w:w="135" w:type="dxa"/>
            </w:tcMar>
            <w:vAlign w:val="center"/>
          </w:tcPr>
          <w:p w14:paraId="7A40F184">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840" w:type="dxa"/>
            <w:vMerge w:val="continue"/>
            <w:tcBorders>
              <w:tl2br w:val="nil"/>
              <w:tr2bl w:val="nil"/>
            </w:tcBorders>
            <w:shd w:val="clear" w:color="auto" w:fill="FFFFFF"/>
            <w:tcMar>
              <w:top w:w="90" w:type="dxa"/>
              <w:left w:w="135" w:type="dxa"/>
              <w:bottom w:w="90" w:type="dxa"/>
              <w:right w:w="135" w:type="dxa"/>
            </w:tcMar>
            <w:vAlign w:val="center"/>
          </w:tcPr>
          <w:p w14:paraId="476CF611">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r>
      <w:tr w14:paraId="27B6D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039524C7">
            <w:pPr>
              <w:keepNext/>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vMerge w:val="continue"/>
            <w:tcBorders>
              <w:tl2br w:val="nil"/>
              <w:tr2bl w:val="nil"/>
            </w:tcBorders>
            <w:shd w:val="clear" w:color="auto" w:fill="FFFFFF"/>
            <w:tcMar>
              <w:top w:w="90" w:type="dxa"/>
              <w:left w:w="135" w:type="dxa"/>
              <w:bottom w:w="90" w:type="dxa"/>
              <w:right w:w="135" w:type="dxa"/>
            </w:tcMar>
            <w:vAlign w:val="center"/>
          </w:tcPr>
          <w:p w14:paraId="57261559">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p>
        </w:tc>
        <w:tc>
          <w:tcPr>
            <w:tcW w:w="1240" w:type="dxa"/>
            <w:vMerge w:val="continue"/>
            <w:tcBorders>
              <w:tl2br w:val="nil"/>
              <w:tr2bl w:val="nil"/>
            </w:tcBorders>
            <w:shd w:val="clear" w:color="auto" w:fill="FFFFFF"/>
            <w:tcMar>
              <w:top w:w="90" w:type="dxa"/>
              <w:left w:w="135" w:type="dxa"/>
              <w:bottom w:w="90" w:type="dxa"/>
              <w:right w:w="135" w:type="dxa"/>
            </w:tcMar>
            <w:vAlign w:val="center"/>
          </w:tcPr>
          <w:p w14:paraId="25A78782">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p>
        </w:tc>
        <w:tc>
          <w:tcPr>
            <w:tcW w:w="1631" w:type="dxa"/>
            <w:tcBorders>
              <w:tl2br w:val="nil"/>
              <w:tr2bl w:val="nil"/>
            </w:tcBorders>
            <w:shd w:val="clear" w:color="auto" w:fill="FFFFFF"/>
            <w:tcMar>
              <w:top w:w="90" w:type="dxa"/>
              <w:left w:w="135" w:type="dxa"/>
              <w:bottom w:w="90" w:type="dxa"/>
              <w:right w:w="135" w:type="dxa"/>
            </w:tcMar>
            <w:vAlign w:val="center"/>
          </w:tcPr>
          <w:p w14:paraId="514E8D1A">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注册护士（人）</w:t>
            </w:r>
          </w:p>
        </w:tc>
        <w:tc>
          <w:tcPr>
            <w:tcW w:w="991" w:type="dxa"/>
            <w:tcBorders>
              <w:tl2br w:val="nil"/>
              <w:tr2bl w:val="nil"/>
            </w:tcBorders>
            <w:shd w:val="clear" w:color="auto" w:fill="FFFFFF"/>
            <w:tcMar>
              <w:top w:w="90" w:type="dxa"/>
              <w:left w:w="135" w:type="dxa"/>
              <w:bottom w:w="90" w:type="dxa"/>
              <w:right w:w="135" w:type="dxa"/>
            </w:tcMar>
            <w:vAlign w:val="center"/>
          </w:tcPr>
          <w:p w14:paraId="3F430DEC">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eastAsia" w:ascii="Times New Roman" w:hAnsi="Times New Roman" w:eastAsia="宋体" w:cs="Times New Roman"/>
                <w:b w:val="0"/>
                <w:i w:val="0"/>
                <w:iCs w:val="0"/>
                <w:caps w:val="0"/>
                <w:color w:val="auto"/>
                <w:spacing w:val="0"/>
                <w:kern w:val="0"/>
                <w:sz w:val="20"/>
                <w:szCs w:val="20"/>
                <w:lang w:val="en-US" w:eastAsia="zh-CN" w:bidi="ar"/>
              </w:rPr>
              <w:t>2.4</w:t>
            </w:r>
          </w:p>
        </w:tc>
        <w:tc>
          <w:tcPr>
            <w:tcW w:w="1553" w:type="dxa"/>
            <w:tcBorders>
              <w:tl2br w:val="nil"/>
              <w:tr2bl w:val="nil"/>
            </w:tcBorders>
            <w:shd w:val="clear" w:color="auto" w:fill="FFFFFF"/>
            <w:tcMar>
              <w:top w:w="90" w:type="dxa"/>
              <w:left w:w="135" w:type="dxa"/>
              <w:bottom w:w="90" w:type="dxa"/>
              <w:right w:w="135" w:type="dxa"/>
            </w:tcMar>
            <w:vAlign w:val="center"/>
          </w:tcPr>
          <w:p w14:paraId="2AA69942">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5.1</w:t>
            </w:r>
          </w:p>
        </w:tc>
        <w:tc>
          <w:tcPr>
            <w:tcW w:w="1710" w:type="dxa"/>
            <w:tcBorders>
              <w:tl2br w:val="nil"/>
              <w:tr2bl w:val="nil"/>
            </w:tcBorders>
            <w:shd w:val="clear" w:color="auto" w:fill="FFFFFF"/>
            <w:tcMar>
              <w:top w:w="90" w:type="dxa"/>
              <w:left w:w="135" w:type="dxa"/>
              <w:bottom w:w="90" w:type="dxa"/>
              <w:right w:w="135" w:type="dxa"/>
            </w:tcMar>
            <w:vAlign w:val="center"/>
          </w:tcPr>
          <w:p w14:paraId="690D29AC">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840" w:type="dxa"/>
            <w:vMerge w:val="continue"/>
            <w:tcBorders>
              <w:tl2br w:val="nil"/>
              <w:tr2bl w:val="nil"/>
            </w:tcBorders>
            <w:shd w:val="clear" w:color="auto" w:fill="FFFFFF"/>
            <w:tcMar>
              <w:top w:w="90" w:type="dxa"/>
              <w:left w:w="135" w:type="dxa"/>
              <w:bottom w:w="90" w:type="dxa"/>
              <w:right w:w="135" w:type="dxa"/>
            </w:tcMar>
            <w:vAlign w:val="center"/>
          </w:tcPr>
          <w:p w14:paraId="3C1DDC86">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r>
      <w:tr w14:paraId="6452E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6F4A80F8">
            <w:pPr>
              <w:keepNext/>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tcBorders>
              <w:tl2br w:val="nil"/>
              <w:tr2bl w:val="nil"/>
            </w:tcBorders>
            <w:shd w:val="clear" w:color="auto" w:fill="FFFFFF"/>
            <w:tcMar>
              <w:top w:w="0" w:type="dxa"/>
              <w:left w:w="0" w:type="dxa"/>
              <w:bottom w:w="0" w:type="dxa"/>
              <w:right w:w="0" w:type="dxa"/>
            </w:tcMar>
            <w:vAlign w:val="center"/>
          </w:tcPr>
          <w:p w14:paraId="608F9507">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eastAsia="宋体"/>
                <w:color w:val="auto"/>
                <w:sz w:val="20"/>
                <w:lang w:val="en-US" w:eastAsia="zh-CN"/>
              </w:rPr>
            </w:pPr>
            <w:r>
              <w:rPr>
                <w:rFonts w:hint="eastAsia" w:ascii="Times New Roman" w:hAnsi="Times New Roman" w:eastAsia="宋体" w:cs="Times New Roman"/>
                <w:b w:val="0"/>
                <w:i w:val="0"/>
                <w:iCs w:val="0"/>
                <w:caps w:val="0"/>
                <w:color w:val="auto"/>
                <w:spacing w:val="0"/>
                <w:kern w:val="0"/>
                <w:sz w:val="20"/>
                <w:szCs w:val="20"/>
                <w:lang w:val="en-US" w:eastAsia="zh-CN" w:bidi="ar"/>
              </w:rPr>
              <w:t>15</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702B14C6">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养老机构护理型床位占比（%）</w:t>
            </w:r>
          </w:p>
        </w:tc>
        <w:tc>
          <w:tcPr>
            <w:tcW w:w="991" w:type="dxa"/>
            <w:tcBorders>
              <w:tl2br w:val="nil"/>
              <w:tr2bl w:val="nil"/>
            </w:tcBorders>
            <w:shd w:val="clear" w:color="auto" w:fill="FFFFFF"/>
            <w:tcMar>
              <w:top w:w="90" w:type="dxa"/>
              <w:left w:w="135" w:type="dxa"/>
              <w:bottom w:w="90" w:type="dxa"/>
              <w:right w:w="135" w:type="dxa"/>
            </w:tcMar>
            <w:vAlign w:val="center"/>
          </w:tcPr>
          <w:p w14:paraId="7619D3AD">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eastAsia" w:ascii="Times New Roman" w:hAnsi="Times New Roman" w:eastAsia="宋体" w:cs="Times New Roman"/>
                <w:b w:val="0"/>
                <w:i w:val="0"/>
                <w:iCs w:val="0"/>
                <w:caps w:val="0"/>
                <w:color w:val="auto"/>
                <w:spacing w:val="0"/>
                <w:kern w:val="0"/>
                <w:sz w:val="20"/>
                <w:szCs w:val="20"/>
                <w:lang w:val="en-US" w:eastAsia="zh-CN" w:bidi="ar"/>
              </w:rPr>
              <w:t>100</w:t>
            </w:r>
          </w:p>
        </w:tc>
        <w:tc>
          <w:tcPr>
            <w:tcW w:w="1553" w:type="dxa"/>
            <w:tcBorders>
              <w:tl2br w:val="nil"/>
              <w:tr2bl w:val="nil"/>
            </w:tcBorders>
            <w:shd w:val="clear" w:color="auto" w:fill="FFFFFF"/>
            <w:tcMar>
              <w:top w:w="90" w:type="dxa"/>
              <w:left w:w="135" w:type="dxa"/>
              <w:bottom w:w="90" w:type="dxa"/>
              <w:right w:w="135" w:type="dxa"/>
            </w:tcMar>
            <w:vAlign w:val="center"/>
          </w:tcPr>
          <w:p w14:paraId="642E0120">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≥73</w:t>
            </w:r>
          </w:p>
        </w:tc>
        <w:tc>
          <w:tcPr>
            <w:tcW w:w="1710" w:type="dxa"/>
            <w:tcBorders>
              <w:tl2br w:val="nil"/>
              <w:tr2bl w:val="nil"/>
            </w:tcBorders>
            <w:shd w:val="clear" w:color="auto" w:fill="FFFFFF"/>
            <w:tcMar>
              <w:top w:w="90" w:type="dxa"/>
              <w:left w:w="135" w:type="dxa"/>
              <w:bottom w:w="90" w:type="dxa"/>
              <w:right w:w="135" w:type="dxa"/>
            </w:tcMar>
            <w:vAlign w:val="center"/>
          </w:tcPr>
          <w:p w14:paraId="7D13C82A">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840" w:type="dxa"/>
            <w:tcBorders>
              <w:tl2br w:val="nil"/>
              <w:tr2bl w:val="nil"/>
            </w:tcBorders>
            <w:shd w:val="clear" w:color="auto" w:fill="FFFFFF"/>
            <w:tcMar>
              <w:top w:w="90" w:type="dxa"/>
              <w:left w:w="135" w:type="dxa"/>
              <w:bottom w:w="90" w:type="dxa"/>
              <w:right w:w="135" w:type="dxa"/>
            </w:tcMar>
            <w:vAlign w:val="center"/>
          </w:tcPr>
          <w:p w14:paraId="59415077">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预期性</w:t>
            </w:r>
          </w:p>
        </w:tc>
      </w:tr>
      <w:tr w14:paraId="7FA05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709E2BB0">
            <w:pPr>
              <w:keepNext/>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tcBorders>
              <w:tl2br w:val="nil"/>
              <w:tr2bl w:val="nil"/>
            </w:tcBorders>
            <w:shd w:val="clear" w:color="auto" w:fill="FFFFFF"/>
            <w:tcMar>
              <w:top w:w="90" w:type="dxa"/>
              <w:left w:w="135" w:type="dxa"/>
              <w:bottom w:w="90" w:type="dxa"/>
              <w:right w:w="135" w:type="dxa"/>
            </w:tcMar>
            <w:vAlign w:val="center"/>
          </w:tcPr>
          <w:p w14:paraId="40FDAC5C">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2"/>
                <w:sz w:val="20"/>
                <w:szCs w:val="20"/>
                <w:lang w:val="en-US" w:eastAsia="zh-CN" w:bidi="ar-SA"/>
              </w:rPr>
              <w:t>16</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481903D4">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sz w:val="20"/>
                <w:szCs w:val="20"/>
              </w:rPr>
              <w:t>3岁以下婴幼儿入托率提高（百分点）</w:t>
            </w:r>
          </w:p>
        </w:tc>
        <w:tc>
          <w:tcPr>
            <w:tcW w:w="991" w:type="dxa"/>
            <w:tcBorders>
              <w:tl2br w:val="nil"/>
              <w:tr2bl w:val="nil"/>
            </w:tcBorders>
            <w:shd w:val="clear" w:color="auto" w:fill="FFFFFF"/>
            <w:tcMar>
              <w:top w:w="90" w:type="dxa"/>
              <w:left w:w="135" w:type="dxa"/>
              <w:bottom w:w="90" w:type="dxa"/>
              <w:right w:w="135" w:type="dxa"/>
            </w:tcMar>
            <w:vAlign w:val="center"/>
          </w:tcPr>
          <w:p w14:paraId="2FD697D1">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1553" w:type="dxa"/>
            <w:tcBorders>
              <w:tl2br w:val="nil"/>
              <w:tr2bl w:val="nil"/>
            </w:tcBorders>
            <w:shd w:val="clear" w:color="auto" w:fill="FFFFFF"/>
            <w:tcMar>
              <w:top w:w="90" w:type="dxa"/>
              <w:left w:w="135" w:type="dxa"/>
              <w:bottom w:w="90" w:type="dxa"/>
              <w:right w:w="135" w:type="dxa"/>
            </w:tcMar>
            <w:vAlign w:val="center"/>
          </w:tcPr>
          <w:p w14:paraId="067823E1">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1710" w:type="dxa"/>
            <w:tcBorders>
              <w:tl2br w:val="nil"/>
              <w:tr2bl w:val="nil"/>
            </w:tcBorders>
            <w:shd w:val="clear" w:color="auto" w:fill="FFFFFF"/>
            <w:tcMar>
              <w:top w:w="90" w:type="dxa"/>
              <w:left w:w="135" w:type="dxa"/>
              <w:bottom w:w="90" w:type="dxa"/>
              <w:right w:w="135" w:type="dxa"/>
            </w:tcMar>
            <w:vAlign w:val="center"/>
          </w:tcPr>
          <w:p w14:paraId="377DD7DF">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〔6〕</w:t>
            </w:r>
          </w:p>
        </w:tc>
        <w:tc>
          <w:tcPr>
            <w:tcW w:w="840" w:type="dxa"/>
            <w:tcBorders>
              <w:tl2br w:val="nil"/>
              <w:tr2bl w:val="nil"/>
            </w:tcBorders>
            <w:shd w:val="clear" w:color="auto" w:fill="FFFFFF"/>
            <w:tcMar>
              <w:top w:w="90" w:type="dxa"/>
              <w:left w:w="135" w:type="dxa"/>
              <w:bottom w:w="90" w:type="dxa"/>
              <w:right w:w="135" w:type="dxa"/>
            </w:tcMar>
            <w:vAlign w:val="center"/>
          </w:tcPr>
          <w:p w14:paraId="5FE3E87F">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预期性</w:t>
            </w:r>
          </w:p>
        </w:tc>
      </w:tr>
      <w:tr w14:paraId="1BD83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restart"/>
            <w:tcBorders>
              <w:tl2br w:val="nil"/>
              <w:tr2bl w:val="nil"/>
            </w:tcBorders>
            <w:shd w:val="clear" w:color="auto" w:fill="FFFFFF"/>
            <w:tcMar>
              <w:top w:w="0" w:type="dxa"/>
              <w:left w:w="0" w:type="dxa"/>
              <w:bottom w:w="0" w:type="dxa"/>
              <w:right w:w="0" w:type="dxa"/>
            </w:tcMar>
            <w:vAlign w:val="center"/>
          </w:tcPr>
          <w:p w14:paraId="4005BE88">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绿色</w:t>
            </w:r>
          </w:p>
          <w:p w14:paraId="18F6E638">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低碳</w:t>
            </w:r>
          </w:p>
          <w:p w14:paraId="5FB71638">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w:t>
            </w:r>
            <w:r>
              <w:rPr>
                <w:rFonts w:hint="eastAsia" w:ascii="Times New Roman" w:hAnsi="Times New Roman" w:eastAsia="宋体" w:cs="Times New Roman"/>
                <w:b w:val="0"/>
                <w:i w:val="0"/>
                <w:iCs w:val="0"/>
                <w:caps w:val="0"/>
                <w:color w:val="auto"/>
                <w:spacing w:val="0"/>
                <w:kern w:val="0"/>
                <w:sz w:val="20"/>
                <w:szCs w:val="20"/>
                <w:lang w:val="en-US" w:eastAsia="zh-CN" w:bidi="ar"/>
              </w:rPr>
              <w:t>5</w:t>
            </w:r>
            <w:r>
              <w:rPr>
                <w:rFonts w:hint="default" w:ascii="Times New Roman" w:hAnsi="Times New Roman" w:eastAsia="宋体" w:cs="Times New Roman"/>
                <w:b w:val="0"/>
                <w:i w:val="0"/>
                <w:iCs w:val="0"/>
                <w:caps w:val="0"/>
                <w:color w:val="auto"/>
                <w:spacing w:val="0"/>
                <w:kern w:val="0"/>
                <w:sz w:val="20"/>
                <w:szCs w:val="20"/>
                <w:lang w:val="en-US" w:eastAsia="zh-CN" w:bidi="ar"/>
              </w:rPr>
              <w:t>项）</w:t>
            </w:r>
          </w:p>
        </w:tc>
        <w:tc>
          <w:tcPr>
            <w:tcW w:w="0" w:type="auto"/>
            <w:tcBorders>
              <w:tl2br w:val="nil"/>
              <w:tr2bl w:val="nil"/>
            </w:tcBorders>
            <w:shd w:val="clear" w:color="auto" w:fill="FFFFFF"/>
            <w:tcMar>
              <w:top w:w="90" w:type="dxa"/>
              <w:left w:w="135" w:type="dxa"/>
              <w:bottom w:w="90" w:type="dxa"/>
              <w:right w:w="135" w:type="dxa"/>
            </w:tcMar>
            <w:vAlign w:val="center"/>
          </w:tcPr>
          <w:p w14:paraId="23C71C5C">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2"/>
                <w:sz w:val="20"/>
                <w:szCs w:val="20"/>
                <w:lang w:val="en-US" w:eastAsia="zh-CN" w:bidi="ar-SA"/>
              </w:rPr>
              <w:t>17</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5B9852BD">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非化石能源占能源消费总量比重（%）</w:t>
            </w:r>
          </w:p>
        </w:tc>
        <w:tc>
          <w:tcPr>
            <w:tcW w:w="991" w:type="dxa"/>
            <w:tcBorders>
              <w:tl2br w:val="nil"/>
              <w:tr2bl w:val="nil"/>
            </w:tcBorders>
            <w:shd w:val="clear" w:color="auto" w:fill="FFFFFF"/>
            <w:tcMar>
              <w:top w:w="90" w:type="dxa"/>
              <w:left w:w="135" w:type="dxa"/>
              <w:bottom w:w="90" w:type="dxa"/>
              <w:right w:w="135" w:type="dxa"/>
            </w:tcMar>
            <w:vAlign w:val="center"/>
          </w:tcPr>
          <w:p w14:paraId="33931359">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p>
        </w:tc>
        <w:tc>
          <w:tcPr>
            <w:tcW w:w="1553" w:type="dxa"/>
            <w:tcBorders>
              <w:tl2br w:val="nil"/>
              <w:tr2bl w:val="nil"/>
            </w:tcBorders>
            <w:shd w:val="clear" w:color="auto" w:fill="FFFFFF"/>
            <w:tcMar>
              <w:top w:w="90" w:type="dxa"/>
              <w:left w:w="135" w:type="dxa"/>
              <w:bottom w:w="90" w:type="dxa"/>
              <w:right w:w="135" w:type="dxa"/>
            </w:tcMar>
            <w:vAlign w:val="center"/>
          </w:tcPr>
          <w:p w14:paraId="40EB4CCD">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完成经</w:t>
            </w:r>
            <w:r>
              <w:rPr>
                <w:rFonts w:hint="eastAsia" w:ascii="Times New Roman" w:hAnsi="Times New Roman" w:eastAsia="宋体" w:cs="Times New Roman"/>
                <w:b w:val="0"/>
                <w:i w:val="0"/>
                <w:iCs w:val="0"/>
                <w:caps w:val="0"/>
                <w:color w:val="auto"/>
                <w:spacing w:val="0"/>
                <w:kern w:val="0"/>
                <w:sz w:val="20"/>
                <w:szCs w:val="20"/>
                <w:lang w:val="en-US" w:eastAsia="zh-CN" w:bidi="ar"/>
              </w:rPr>
              <w:t>市</w:t>
            </w:r>
            <w:r>
              <w:rPr>
                <w:rFonts w:hint="default" w:ascii="Times New Roman" w:hAnsi="Times New Roman" w:eastAsia="宋体" w:cs="Times New Roman"/>
                <w:b w:val="0"/>
                <w:i w:val="0"/>
                <w:iCs w:val="0"/>
                <w:caps w:val="0"/>
                <w:color w:val="auto"/>
                <w:spacing w:val="0"/>
                <w:kern w:val="0"/>
                <w:sz w:val="20"/>
                <w:szCs w:val="20"/>
                <w:lang w:val="en-US" w:eastAsia="zh-CN" w:bidi="ar"/>
              </w:rPr>
              <w:t>审核衔接后确定的目标</w:t>
            </w:r>
          </w:p>
        </w:tc>
        <w:tc>
          <w:tcPr>
            <w:tcW w:w="1710" w:type="dxa"/>
            <w:tcBorders>
              <w:tl2br w:val="nil"/>
              <w:tr2bl w:val="nil"/>
            </w:tcBorders>
            <w:shd w:val="clear" w:color="auto" w:fill="FFFFFF"/>
            <w:tcMar>
              <w:top w:w="90" w:type="dxa"/>
              <w:left w:w="135" w:type="dxa"/>
              <w:bottom w:w="90" w:type="dxa"/>
              <w:right w:w="135" w:type="dxa"/>
            </w:tcMar>
            <w:vAlign w:val="center"/>
          </w:tcPr>
          <w:p w14:paraId="032EA78C">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840" w:type="dxa"/>
            <w:tcBorders>
              <w:tl2br w:val="nil"/>
              <w:tr2bl w:val="nil"/>
            </w:tcBorders>
            <w:shd w:val="clear" w:color="auto" w:fill="FFFFFF"/>
            <w:tcMar>
              <w:top w:w="90" w:type="dxa"/>
              <w:left w:w="135" w:type="dxa"/>
              <w:bottom w:w="90" w:type="dxa"/>
              <w:right w:w="135" w:type="dxa"/>
            </w:tcMar>
            <w:vAlign w:val="center"/>
          </w:tcPr>
          <w:p w14:paraId="011B6B5C">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约束性</w:t>
            </w:r>
          </w:p>
        </w:tc>
      </w:tr>
      <w:tr w14:paraId="74BAA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613B60A0">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p>
        </w:tc>
        <w:tc>
          <w:tcPr>
            <w:tcW w:w="0" w:type="auto"/>
            <w:tcBorders>
              <w:tl2br w:val="nil"/>
              <w:tr2bl w:val="nil"/>
            </w:tcBorders>
            <w:shd w:val="clear" w:color="auto" w:fill="FFFFFF"/>
            <w:tcMar>
              <w:top w:w="90" w:type="dxa"/>
              <w:left w:w="135" w:type="dxa"/>
              <w:bottom w:w="90" w:type="dxa"/>
              <w:right w:w="135" w:type="dxa"/>
            </w:tcMar>
            <w:vAlign w:val="center"/>
          </w:tcPr>
          <w:p w14:paraId="54551475">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18</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61A49912">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单位GDP二氧化碳排放降低（%）</w:t>
            </w:r>
          </w:p>
        </w:tc>
        <w:tc>
          <w:tcPr>
            <w:tcW w:w="991" w:type="dxa"/>
            <w:tcBorders>
              <w:tl2br w:val="nil"/>
              <w:tr2bl w:val="nil"/>
            </w:tcBorders>
            <w:shd w:val="clear" w:color="auto" w:fill="FFFFFF"/>
            <w:tcMar>
              <w:top w:w="90" w:type="dxa"/>
              <w:left w:w="135" w:type="dxa"/>
              <w:bottom w:w="90" w:type="dxa"/>
              <w:right w:w="135" w:type="dxa"/>
            </w:tcMar>
            <w:vAlign w:val="center"/>
          </w:tcPr>
          <w:p w14:paraId="2D0FFA21">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1553" w:type="dxa"/>
            <w:tcBorders>
              <w:tl2br w:val="nil"/>
              <w:tr2bl w:val="nil"/>
            </w:tcBorders>
            <w:shd w:val="clear" w:color="auto" w:fill="FFFFFF"/>
            <w:tcMar>
              <w:top w:w="90" w:type="dxa"/>
              <w:left w:w="135" w:type="dxa"/>
              <w:bottom w:w="90" w:type="dxa"/>
              <w:right w:w="135" w:type="dxa"/>
            </w:tcMar>
            <w:vAlign w:val="center"/>
          </w:tcPr>
          <w:p w14:paraId="2C7DC1A6">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1710" w:type="dxa"/>
            <w:tcBorders>
              <w:tl2br w:val="nil"/>
              <w:tr2bl w:val="nil"/>
            </w:tcBorders>
            <w:shd w:val="clear" w:color="auto" w:fill="FFFFFF"/>
            <w:tcMar>
              <w:top w:w="90" w:type="dxa"/>
              <w:left w:w="135" w:type="dxa"/>
              <w:bottom w:w="90" w:type="dxa"/>
              <w:right w:w="135" w:type="dxa"/>
            </w:tcMar>
            <w:vAlign w:val="center"/>
          </w:tcPr>
          <w:p w14:paraId="620D4FE1">
            <w:pPr>
              <w:pStyle w:val="42"/>
              <w:keepNext/>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完成经市审核衔接后确定的目标</w:t>
            </w:r>
          </w:p>
        </w:tc>
        <w:tc>
          <w:tcPr>
            <w:tcW w:w="840" w:type="dxa"/>
            <w:tcBorders>
              <w:tl2br w:val="nil"/>
              <w:tr2bl w:val="nil"/>
            </w:tcBorders>
            <w:shd w:val="clear" w:color="auto" w:fill="FFFFFF"/>
            <w:tcMar>
              <w:top w:w="90" w:type="dxa"/>
              <w:left w:w="135" w:type="dxa"/>
              <w:bottom w:w="90" w:type="dxa"/>
              <w:right w:w="135" w:type="dxa"/>
            </w:tcMar>
            <w:vAlign w:val="center"/>
          </w:tcPr>
          <w:p w14:paraId="71225486">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约束性</w:t>
            </w:r>
          </w:p>
        </w:tc>
      </w:tr>
      <w:tr w14:paraId="1D026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5D24E948">
            <w:pPr>
              <w:keepNext/>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tcBorders>
              <w:tl2br w:val="nil"/>
              <w:tr2bl w:val="nil"/>
            </w:tcBorders>
            <w:shd w:val="clear" w:color="auto" w:fill="FFFFFF"/>
            <w:tcMar>
              <w:top w:w="90" w:type="dxa"/>
              <w:left w:w="135" w:type="dxa"/>
              <w:bottom w:w="90" w:type="dxa"/>
              <w:right w:w="135" w:type="dxa"/>
            </w:tcMar>
            <w:vAlign w:val="center"/>
          </w:tcPr>
          <w:p w14:paraId="7BD1EBB5">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2"/>
                <w:sz w:val="20"/>
                <w:szCs w:val="20"/>
                <w:lang w:val="en-US" w:eastAsia="zh-CN" w:bidi="ar-SA"/>
              </w:rPr>
              <w:t>19</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1CFE5026">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优良水体比例（%）</w:t>
            </w:r>
          </w:p>
        </w:tc>
        <w:tc>
          <w:tcPr>
            <w:tcW w:w="991" w:type="dxa"/>
            <w:tcBorders>
              <w:tl2br w:val="nil"/>
              <w:tr2bl w:val="nil"/>
            </w:tcBorders>
            <w:shd w:val="clear" w:color="auto" w:fill="FFFFFF"/>
            <w:tcMar>
              <w:top w:w="90" w:type="dxa"/>
              <w:left w:w="135" w:type="dxa"/>
              <w:bottom w:w="90" w:type="dxa"/>
              <w:right w:w="135" w:type="dxa"/>
            </w:tcMar>
            <w:vAlign w:val="center"/>
          </w:tcPr>
          <w:p w14:paraId="7AAAD281">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100</w:t>
            </w:r>
          </w:p>
        </w:tc>
        <w:tc>
          <w:tcPr>
            <w:tcW w:w="1553" w:type="dxa"/>
            <w:tcBorders>
              <w:tl2br w:val="nil"/>
              <w:tr2bl w:val="nil"/>
            </w:tcBorders>
            <w:shd w:val="clear" w:color="auto" w:fill="FFFFFF"/>
            <w:tcMar>
              <w:top w:w="90" w:type="dxa"/>
              <w:left w:w="135" w:type="dxa"/>
              <w:bottom w:w="90" w:type="dxa"/>
              <w:right w:w="135" w:type="dxa"/>
            </w:tcMar>
            <w:vAlign w:val="center"/>
          </w:tcPr>
          <w:p w14:paraId="3D36C338">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1710" w:type="dxa"/>
            <w:tcBorders>
              <w:tl2br w:val="nil"/>
              <w:tr2bl w:val="nil"/>
            </w:tcBorders>
            <w:shd w:val="clear" w:color="auto" w:fill="FFFFFF"/>
            <w:tcMar>
              <w:top w:w="90" w:type="dxa"/>
              <w:left w:w="135" w:type="dxa"/>
              <w:bottom w:w="90" w:type="dxa"/>
              <w:right w:w="135" w:type="dxa"/>
            </w:tcMar>
            <w:vAlign w:val="center"/>
          </w:tcPr>
          <w:p w14:paraId="77EBB16F">
            <w:pPr>
              <w:pStyle w:val="42"/>
              <w:keepNext/>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完成市考核目标</w:t>
            </w:r>
          </w:p>
        </w:tc>
        <w:tc>
          <w:tcPr>
            <w:tcW w:w="840" w:type="dxa"/>
            <w:tcBorders>
              <w:tl2br w:val="nil"/>
              <w:tr2bl w:val="nil"/>
            </w:tcBorders>
            <w:shd w:val="clear" w:color="auto" w:fill="FFFFFF"/>
            <w:tcMar>
              <w:top w:w="90" w:type="dxa"/>
              <w:left w:w="135" w:type="dxa"/>
              <w:bottom w:w="90" w:type="dxa"/>
              <w:right w:w="135" w:type="dxa"/>
            </w:tcMar>
            <w:vAlign w:val="center"/>
          </w:tcPr>
          <w:p w14:paraId="7C31866E">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约束性</w:t>
            </w:r>
          </w:p>
        </w:tc>
      </w:tr>
      <w:tr w14:paraId="6E94E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32F842E9">
            <w:pPr>
              <w:keepNext/>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tcBorders>
              <w:tl2br w:val="nil"/>
              <w:tr2bl w:val="nil"/>
            </w:tcBorders>
            <w:shd w:val="clear" w:color="auto" w:fill="FFFFFF"/>
            <w:tcMar>
              <w:top w:w="90" w:type="dxa"/>
              <w:left w:w="135" w:type="dxa"/>
              <w:bottom w:w="90" w:type="dxa"/>
              <w:right w:w="135" w:type="dxa"/>
            </w:tcMar>
            <w:vAlign w:val="center"/>
          </w:tcPr>
          <w:p w14:paraId="124AFE91">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2"/>
                <w:sz w:val="20"/>
                <w:szCs w:val="20"/>
                <w:lang w:val="en-US" w:eastAsia="zh-CN" w:bidi="ar-SA"/>
              </w:rPr>
              <w:t>20</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2793AE9E">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单位GDP用水量下降（%）</w:t>
            </w:r>
          </w:p>
        </w:tc>
        <w:tc>
          <w:tcPr>
            <w:tcW w:w="991" w:type="dxa"/>
            <w:tcBorders>
              <w:tl2br w:val="nil"/>
              <w:tr2bl w:val="nil"/>
            </w:tcBorders>
            <w:shd w:val="clear" w:color="auto" w:fill="FFFFFF"/>
            <w:tcMar>
              <w:top w:w="90" w:type="dxa"/>
              <w:left w:w="135" w:type="dxa"/>
              <w:bottom w:w="90" w:type="dxa"/>
              <w:right w:w="135" w:type="dxa"/>
            </w:tcMar>
            <w:vAlign w:val="center"/>
          </w:tcPr>
          <w:p w14:paraId="0C0197D8">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〔37.25〕</w:t>
            </w:r>
          </w:p>
        </w:tc>
        <w:tc>
          <w:tcPr>
            <w:tcW w:w="1553" w:type="dxa"/>
            <w:tcBorders>
              <w:tl2br w:val="nil"/>
              <w:tr2bl w:val="nil"/>
            </w:tcBorders>
            <w:shd w:val="clear" w:color="auto" w:fill="FFFFFF"/>
            <w:tcMar>
              <w:top w:w="90" w:type="dxa"/>
              <w:left w:w="135" w:type="dxa"/>
              <w:bottom w:w="90" w:type="dxa"/>
              <w:right w:w="135" w:type="dxa"/>
            </w:tcMar>
            <w:vAlign w:val="center"/>
          </w:tcPr>
          <w:p w14:paraId="0529DDFA">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1710" w:type="dxa"/>
            <w:tcBorders>
              <w:tl2br w:val="nil"/>
              <w:tr2bl w:val="nil"/>
            </w:tcBorders>
            <w:shd w:val="clear" w:color="auto" w:fill="FFFFFF"/>
            <w:tcMar>
              <w:top w:w="90" w:type="dxa"/>
              <w:left w:w="135" w:type="dxa"/>
              <w:bottom w:w="90" w:type="dxa"/>
              <w:right w:w="135" w:type="dxa"/>
            </w:tcMar>
            <w:vAlign w:val="center"/>
          </w:tcPr>
          <w:p w14:paraId="048A5383">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完成市考核目标</w:t>
            </w:r>
          </w:p>
        </w:tc>
        <w:tc>
          <w:tcPr>
            <w:tcW w:w="840" w:type="dxa"/>
            <w:tcBorders>
              <w:tl2br w:val="nil"/>
              <w:tr2bl w:val="nil"/>
            </w:tcBorders>
            <w:shd w:val="clear" w:color="auto" w:fill="FFFFFF"/>
            <w:tcMar>
              <w:top w:w="90" w:type="dxa"/>
              <w:left w:w="135" w:type="dxa"/>
              <w:bottom w:w="90" w:type="dxa"/>
              <w:right w:w="135" w:type="dxa"/>
            </w:tcMar>
            <w:vAlign w:val="center"/>
          </w:tcPr>
          <w:p w14:paraId="1F15AA9A">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约束性</w:t>
            </w:r>
          </w:p>
        </w:tc>
      </w:tr>
      <w:tr w14:paraId="20C12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7EA61C2E">
            <w:pPr>
              <w:keepNext/>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tcBorders>
              <w:tl2br w:val="nil"/>
              <w:tr2bl w:val="nil"/>
            </w:tcBorders>
            <w:shd w:val="clear" w:color="auto" w:fill="FFFFFF"/>
            <w:tcMar>
              <w:top w:w="90" w:type="dxa"/>
              <w:left w:w="135" w:type="dxa"/>
              <w:bottom w:w="90" w:type="dxa"/>
              <w:right w:w="135" w:type="dxa"/>
            </w:tcMar>
            <w:vAlign w:val="center"/>
          </w:tcPr>
          <w:p w14:paraId="6464F1D2">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2"/>
                <w:sz w:val="20"/>
                <w:szCs w:val="20"/>
                <w:lang w:val="en-US" w:eastAsia="zh-CN" w:bidi="ar-SA"/>
              </w:rPr>
              <w:t>21</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54809D52">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森林覆盖率（%）</w:t>
            </w:r>
          </w:p>
        </w:tc>
        <w:tc>
          <w:tcPr>
            <w:tcW w:w="991" w:type="dxa"/>
            <w:tcBorders>
              <w:tl2br w:val="nil"/>
              <w:tr2bl w:val="nil"/>
            </w:tcBorders>
            <w:shd w:val="clear" w:color="auto" w:fill="FFFFFF"/>
            <w:tcMar>
              <w:top w:w="90" w:type="dxa"/>
              <w:left w:w="135" w:type="dxa"/>
              <w:bottom w:w="90" w:type="dxa"/>
              <w:right w:w="135" w:type="dxa"/>
            </w:tcMar>
            <w:vAlign w:val="center"/>
          </w:tcPr>
          <w:p w14:paraId="5DC7FE66">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39.75</w:t>
            </w:r>
          </w:p>
        </w:tc>
        <w:tc>
          <w:tcPr>
            <w:tcW w:w="1553" w:type="dxa"/>
            <w:tcBorders>
              <w:tl2br w:val="nil"/>
              <w:tr2bl w:val="nil"/>
            </w:tcBorders>
            <w:shd w:val="clear" w:color="auto" w:fill="FFFFFF"/>
            <w:tcMar>
              <w:top w:w="90" w:type="dxa"/>
              <w:left w:w="135" w:type="dxa"/>
              <w:bottom w:w="90" w:type="dxa"/>
              <w:right w:w="135" w:type="dxa"/>
            </w:tcMar>
            <w:vAlign w:val="center"/>
          </w:tcPr>
          <w:p w14:paraId="279C9F44">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40.25</w:t>
            </w:r>
          </w:p>
        </w:tc>
        <w:tc>
          <w:tcPr>
            <w:tcW w:w="1710" w:type="dxa"/>
            <w:tcBorders>
              <w:tl2br w:val="nil"/>
              <w:tr2bl w:val="nil"/>
            </w:tcBorders>
            <w:shd w:val="clear" w:color="auto" w:fill="FFFFFF"/>
            <w:tcMar>
              <w:top w:w="90" w:type="dxa"/>
              <w:left w:w="135" w:type="dxa"/>
              <w:bottom w:w="90" w:type="dxa"/>
              <w:right w:w="135" w:type="dxa"/>
            </w:tcMar>
            <w:vAlign w:val="center"/>
          </w:tcPr>
          <w:p w14:paraId="79AFC66C">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840" w:type="dxa"/>
            <w:tcBorders>
              <w:tl2br w:val="nil"/>
              <w:tr2bl w:val="nil"/>
            </w:tcBorders>
            <w:shd w:val="clear" w:color="auto" w:fill="FFFFFF"/>
            <w:tcMar>
              <w:top w:w="90" w:type="dxa"/>
              <w:left w:w="135" w:type="dxa"/>
              <w:bottom w:w="90" w:type="dxa"/>
              <w:right w:w="135" w:type="dxa"/>
            </w:tcMar>
            <w:vAlign w:val="center"/>
          </w:tcPr>
          <w:p w14:paraId="7124F902">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约束性</w:t>
            </w:r>
          </w:p>
        </w:tc>
      </w:tr>
      <w:tr w14:paraId="5DE78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restart"/>
            <w:tcBorders>
              <w:tl2br w:val="nil"/>
              <w:tr2bl w:val="nil"/>
            </w:tcBorders>
            <w:shd w:val="clear" w:color="auto" w:fill="FFFFFF"/>
            <w:tcMar>
              <w:top w:w="0" w:type="dxa"/>
              <w:left w:w="0" w:type="dxa"/>
              <w:bottom w:w="0" w:type="dxa"/>
              <w:right w:w="0" w:type="dxa"/>
            </w:tcMar>
            <w:vAlign w:val="center"/>
          </w:tcPr>
          <w:p w14:paraId="370B1A0A">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安全</w:t>
            </w:r>
          </w:p>
          <w:p w14:paraId="050AEDF8">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保障</w:t>
            </w:r>
          </w:p>
          <w:p w14:paraId="2D005A7D">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（2项）</w:t>
            </w:r>
          </w:p>
        </w:tc>
        <w:tc>
          <w:tcPr>
            <w:tcW w:w="0" w:type="auto"/>
            <w:tcBorders>
              <w:tl2br w:val="nil"/>
              <w:tr2bl w:val="nil"/>
            </w:tcBorders>
            <w:shd w:val="clear" w:color="auto" w:fill="FFFFFF"/>
            <w:tcMar>
              <w:top w:w="90" w:type="dxa"/>
              <w:left w:w="135" w:type="dxa"/>
              <w:bottom w:w="90" w:type="dxa"/>
              <w:right w:w="135" w:type="dxa"/>
            </w:tcMar>
            <w:vAlign w:val="center"/>
          </w:tcPr>
          <w:p w14:paraId="2C312605">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22</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4B95EEBF">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粮食综合生产能力（亿斤）</w:t>
            </w:r>
          </w:p>
        </w:tc>
        <w:tc>
          <w:tcPr>
            <w:tcW w:w="991" w:type="dxa"/>
            <w:tcBorders>
              <w:tl2br w:val="nil"/>
              <w:tr2bl w:val="nil"/>
            </w:tcBorders>
            <w:shd w:val="clear" w:color="auto" w:fill="FFFFFF"/>
            <w:tcMar>
              <w:top w:w="90" w:type="dxa"/>
              <w:left w:w="135" w:type="dxa"/>
              <w:bottom w:w="90" w:type="dxa"/>
              <w:right w:w="135" w:type="dxa"/>
            </w:tcMar>
            <w:vAlign w:val="center"/>
          </w:tcPr>
          <w:p w14:paraId="48F477C1">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2.3</w:t>
            </w:r>
            <w:r>
              <w:rPr>
                <w:rFonts w:hint="eastAsia" w:ascii="Times New Roman" w:hAnsi="Times New Roman" w:eastAsia="宋体" w:cs="Times New Roman"/>
                <w:b w:val="0"/>
                <w:i w:val="0"/>
                <w:iCs w:val="0"/>
                <w:caps w:val="0"/>
                <w:color w:val="auto"/>
                <w:spacing w:val="0"/>
                <w:kern w:val="0"/>
                <w:sz w:val="20"/>
                <w:szCs w:val="20"/>
                <w:lang w:val="en-US" w:eastAsia="zh-CN" w:bidi="ar"/>
              </w:rPr>
              <w:t>1</w:t>
            </w:r>
          </w:p>
        </w:tc>
        <w:tc>
          <w:tcPr>
            <w:tcW w:w="1553" w:type="dxa"/>
            <w:tcBorders>
              <w:tl2br w:val="nil"/>
              <w:tr2bl w:val="nil"/>
            </w:tcBorders>
            <w:shd w:val="clear" w:color="auto" w:fill="FFFFFF"/>
            <w:tcMar>
              <w:top w:w="90" w:type="dxa"/>
              <w:left w:w="135" w:type="dxa"/>
              <w:bottom w:w="90" w:type="dxa"/>
              <w:right w:w="135" w:type="dxa"/>
            </w:tcMar>
            <w:vAlign w:val="center"/>
          </w:tcPr>
          <w:p w14:paraId="7FA93E87">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b w:val="0"/>
                <w:i w:val="0"/>
                <w:iCs w:val="0"/>
                <w:caps w:val="0"/>
                <w:color w:val="auto"/>
                <w:spacing w:val="0"/>
                <w:kern w:val="0"/>
                <w:sz w:val="20"/>
                <w:szCs w:val="20"/>
                <w:lang w:val="en-US" w:eastAsia="zh-CN" w:bidi="ar"/>
              </w:rPr>
              <w:t>≥2.3</w:t>
            </w:r>
          </w:p>
        </w:tc>
        <w:tc>
          <w:tcPr>
            <w:tcW w:w="1710" w:type="dxa"/>
            <w:tcBorders>
              <w:tl2br w:val="nil"/>
              <w:tr2bl w:val="nil"/>
            </w:tcBorders>
            <w:shd w:val="clear" w:color="auto" w:fill="FFFFFF"/>
            <w:tcMar>
              <w:top w:w="90" w:type="dxa"/>
              <w:left w:w="135" w:type="dxa"/>
              <w:bottom w:w="90" w:type="dxa"/>
              <w:right w:w="135" w:type="dxa"/>
            </w:tcMar>
            <w:vAlign w:val="center"/>
          </w:tcPr>
          <w:p w14:paraId="6577B68D">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840" w:type="dxa"/>
            <w:tcBorders>
              <w:tl2br w:val="nil"/>
              <w:tr2bl w:val="nil"/>
            </w:tcBorders>
            <w:shd w:val="clear" w:color="auto" w:fill="FFFFFF"/>
            <w:tcMar>
              <w:top w:w="90" w:type="dxa"/>
              <w:left w:w="135" w:type="dxa"/>
              <w:bottom w:w="90" w:type="dxa"/>
              <w:right w:w="135" w:type="dxa"/>
            </w:tcMar>
            <w:vAlign w:val="center"/>
          </w:tcPr>
          <w:p w14:paraId="52B0B4B4">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约束性</w:t>
            </w:r>
          </w:p>
        </w:tc>
      </w:tr>
      <w:tr w14:paraId="1C264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0" w:type="auto"/>
            <w:vMerge w:val="continue"/>
            <w:tcBorders>
              <w:tl2br w:val="nil"/>
              <w:tr2bl w:val="nil"/>
            </w:tcBorders>
            <w:shd w:val="clear" w:color="auto" w:fill="FFFFFF"/>
            <w:tcMar>
              <w:top w:w="90" w:type="dxa"/>
              <w:left w:w="135" w:type="dxa"/>
              <w:bottom w:w="90" w:type="dxa"/>
              <w:right w:w="135" w:type="dxa"/>
            </w:tcMar>
            <w:vAlign w:val="center"/>
          </w:tcPr>
          <w:p w14:paraId="649DAA53">
            <w:pPr>
              <w:keepNext/>
              <w:keepLines w:val="0"/>
              <w:pageBreakBefore w:val="0"/>
              <w:widowControl w:val="0"/>
              <w:kinsoku/>
              <w:wordWrap/>
              <w:overflowPunct w:val="0"/>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p>
        </w:tc>
        <w:tc>
          <w:tcPr>
            <w:tcW w:w="0" w:type="auto"/>
            <w:tcBorders>
              <w:tl2br w:val="nil"/>
              <w:tr2bl w:val="nil"/>
            </w:tcBorders>
            <w:shd w:val="clear" w:color="auto" w:fill="FFFFFF"/>
            <w:tcMar>
              <w:top w:w="90" w:type="dxa"/>
              <w:left w:w="135" w:type="dxa"/>
              <w:bottom w:w="90" w:type="dxa"/>
              <w:right w:w="135" w:type="dxa"/>
            </w:tcMar>
            <w:vAlign w:val="center"/>
          </w:tcPr>
          <w:p w14:paraId="0675A319">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2"/>
                <w:sz w:val="20"/>
                <w:szCs w:val="20"/>
                <w:lang w:val="en-US" w:eastAsia="zh-CN" w:bidi="ar-SA"/>
              </w:rPr>
            </w:pPr>
            <w:r>
              <w:rPr>
                <w:rFonts w:hint="default" w:ascii="Times New Roman" w:hAnsi="Times New Roman" w:eastAsia="宋体" w:cs="Times New Roman"/>
                <w:b w:val="0"/>
                <w:i w:val="0"/>
                <w:iCs w:val="0"/>
                <w:caps w:val="0"/>
                <w:color w:val="auto"/>
                <w:spacing w:val="0"/>
                <w:kern w:val="0"/>
                <w:sz w:val="20"/>
                <w:szCs w:val="20"/>
                <w:lang w:val="en-US" w:eastAsia="zh-CN" w:bidi="ar"/>
              </w:rPr>
              <w:t>23</w:t>
            </w:r>
          </w:p>
        </w:tc>
        <w:tc>
          <w:tcPr>
            <w:tcW w:w="2871" w:type="dxa"/>
            <w:gridSpan w:val="2"/>
            <w:tcBorders>
              <w:tl2br w:val="nil"/>
              <w:tr2bl w:val="nil"/>
            </w:tcBorders>
            <w:shd w:val="clear" w:color="auto" w:fill="FFFFFF"/>
            <w:tcMar>
              <w:top w:w="90" w:type="dxa"/>
              <w:left w:w="135" w:type="dxa"/>
              <w:bottom w:w="90" w:type="dxa"/>
              <w:right w:w="135" w:type="dxa"/>
            </w:tcMar>
            <w:vAlign w:val="center"/>
          </w:tcPr>
          <w:p w14:paraId="161E0B19">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能源综合生产能力（亿吨标准煤）</w:t>
            </w:r>
          </w:p>
        </w:tc>
        <w:tc>
          <w:tcPr>
            <w:tcW w:w="991" w:type="dxa"/>
            <w:tcBorders>
              <w:tl2br w:val="nil"/>
              <w:tr2bl w:val="nil"/>
            </w:tcBorders>
            <w:shd w:val="clear" w:color="auto" w:fill="FFFFFF"/>
            <w:tcMar>
              <w:top w:w="90" w:type="dxa"/>
              <w:left w:w="135" w:type="dxa"/>
              <w:bottom w:w="90" w:type="dxa"/>
              <w:right w:w="135" w:type="dxa"/>
            </w:tcMar>
            <w:vAlign w:val="center"/>
          </w:tcPr>
          <w:p w14:paraId="0452A467">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p>
        </w:tc>
        <w:tc>
          <w:tcPr>
            <w:tcW w:w="1553" w:type="dxa"/>
            <w:tcBorders>
              <w:tl2br w:val="nil"/>
              <w:tr2bl w:val="nil"/>
            </w:tcBorders>
            <w:shd w:val="clear" w:color="auto" w:fill="FFFFFF"/>
            <w:tcMar>
              <w:top w:w="90" w:type="dxa"/>
              <w:left w:w="135" w:type="dxa"/>
              <w:bottom w:w="90" w:type="dxa"/>
              <w:right w:w="135" w:type="dxa"/>
            </w:tcMar>
            <w:vAlign w:val="center"/>
          </w:tcPr>
          <w:p w14:paraId="453DE5C7">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p>
        </w:tc>
        <w:tc>
          <w:tcPr>
            <w:tcW w:w="1710" w:type="dxa"/>
            <w:tcBorders>
              <w:tl2br w:val="nil"/>
              <w:tr2bl w:val="nil"/>
            </w:tcBorders>
            <w:shd w:val="clear" w:color="auto" w:fill="FFFFFF"/>
            <w:tcMar>
              <w:top w:w="90" w:type="dxa"/>
              <w:left w:w="135" w:type="dxa"/>
              <w:bottom w:w="90" w:type="dxa"/>
              <w:right w:w="135" w:type="dxa"/>
            </w:tcMar>
            <w:vAlign w:val="center"/>
          </w:tcPr>
          <w:p w14:paraId="767CC242">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kern w:val="0"/>
                <w:sz w:val="20"/>
                <w:szCs w:val="20"/>
                <w:lang w:val="en-US" w:eastAsia="zh-CN" w:bidi="ar"/>
              </w:rPr>
            </w:pPr>
            <w:r>
              <w:rPr>
                <w:rFonts w:hint="default" w:ascii="Times New Roman" w:hAnsi="Times New Roman" w:eastAsia="宋体" w:cs="Times New Roman"/>
                <w:color w:val="auto"/>
                <w:spacing w:val="4"/>
                <w:sz w:val="20"/>
                <w:szCs w:val="20"/>
              </w:rPr>
              <w:t>—</w:t>
            </w:r>
          </w:p>
        </w:tc>
        <w:tc>
          <w:tcPr>
            <w:tcW w:w="840" w:type="dxa"/>
            <w:tcBorders>
              <w:tl2br w:val="nil"/>
              <w:tr2bl w:val="nil"/>
            </w:tcBorders>
            <w:shd w:val="clear" w:color="auto" w:fill="FFFFFF"/>
            <w:tcMar>
              <w:top w:w="90" w:type="dxa"/>
              <w:left w:w="135" w:type="dxa"/>
              <w:bottom w:w="90" w:type="dxa"/>
              <w:right w:w="135" w:type="dxa"/>
            </w:tcMar>
            <w:vAlign w:val="center"/>
          </w:tcPr>
          <w:p w14:paraId="570E0521">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val="0"/>
                <w:i w:val="0"/>
                <w:iCs w:val="0"/>
                <w:caps w:val="0"/>
                <w:color w:val="auto"/>
                <w:spacing w:val="0"/>
                <w:sz w:val="20"/>
                <w:szCs w:val="20"/>
              </w:rPr>
            </w:pPr>
            <w:r>
              <w:rPr>
                <w:rFonts w:hint="default" w:ascii="Times New Roman" w:hAnsi="Times New Roman" w:eastAsia="宋体" w:cs="Times New Roman"/>
                <w:b w:val="0"/>
                <w:i w:val="0"/>
                <w:iCs w:val="0"/>
                <w:caps w:val="0"/>
                <w:color w:val="auto"/>
                <w:spacing w:val="0"/>
                <w:kern w:val="0"/>
                <w:sz w:val="20"/>
                <w:szCs w:val="20"/>
                <w:lang w:val="en-US" w:eastAsia="zh-CN" w:bidi="ar"/>
              </w:rPr>
              <w:t>约束性</w:t>
            </w:r>
          </w:p>
        </w:tc>
      </w:tr>
      <w:tr w14:paraId="692D6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0" w:hRule="atLeast"/>
          <w:jc w:val="center"/>
        </w:trPr>
        <w:tc>
          <w:tcPr>
            <w:tcW w:w="1710" w:type="dxa"/>
            <w:gridSpan w:val="8"/>
            <w:tcBorders>
              <w:tl2br w:val="nil"/>
              <w:tr2bl w:val="nil"/>
            </w:tcBorders>
            <w:shd w:val="clear" w:color="auto" w:fill="FFFFFF"/>
            <w:tcMar>
              <w:top w:w="90" w:type="dxa"/>
              <w:left w:w="135" w:type="dxa"/>
              <w:bottom w:w="90" w:type="dxa"/>
              <w:right w:w="135" w:type="dxa"/>
            </w:tcMar>
            <w:vAlign w:val="center"/>
          </w:tcPr>
          <w:p w14:paraId="68BC23C6">
            <w:pPr>
              <w:keepNext/>
              <w:keepLines w:val="0"/>
              <w:pageBreakBefore w:val="0"/>
              <w:widowControl w:val="0"/>
              <w:suppressLineNumbers w:val="0"/>
              <w:kinsoku/>
              <w:wordWrap/>
              <w:overflowPunct w:val="0"/>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outlineLvl w:val="9"/>
              <w:rPr>
                <w:rFonts w:hint="default" w:ascii="Times New Roman" w:hAnsi="Times New Roman" w:cs="Times New Roman" w:eastAsiaTheme="minorEastAsia"/>
                <w:b w:val="0"/>
                <w:i w:val="0"/>
                <w:iCs w:val="0"/>
                <w:caps w:val="0"/>
                <w:color w:val="auto"/>
                <w:spacing w:val="0"/>
                <w:kern w:val="0"/>
                <w:sz w:val="20"/>
                <w:szCs w:val="20"/>
                <w:lang w:val="en-US" w:eastAsia="zh-CN" w:bidi="ar"/>
              </w:rPr>
            </w:pPr>
            <w:r>
              <w:rPr>
                <w:rFonts w:hint="default" w:ascii="Times New Roman" w:hAnsi="Times New Roman" w:cs="Times New Roman" w:eastAsiaTheme="minorEastAsia"/>
                <w:b w:val="0"/>
                <w:i w:val="0"/>
                <w:iCs w:val="0"/>
                <w:caps w:val="0"/>
                <w:color w:val="auto"/>
                <w:spacing w:val="0"/>
                <w:kern w:val="0"/>
                <w:sz w:val="20"/>
                <w:szCs w:val="20"/>
                <w:lang w:val="en-US" w:eastAsia="zh-CN" w:bidi="ar"/>
              </w:rPr>
              <w:t>注：〔 〕为累计数。</w:t>
            </w:r>
          </w:p>
        </w:tc>
      </w:tr>
    </w:tbl>
    <w:p w14:paraId="30A11457"/>
    <w:p w14:paraId="7786DC0C">
      <w:pPr>
        <w:rPr>
          <w:rFonts w:hint="eastAsia" w:ascii="黑体" w:hAnsi="黑体" w:eastAsia="黑体" w:cs="黑体"/>
          <w:szCs w:val="32"/>
        </w:rPr>
      </w:pPr>
      <w:bookmarkStart w:id="18" w:name="_Toc6703"/>
      <w:bookmarkStart w:id="19" w:name="_Toc9152"/>
      <w:r>
        <w:rPr>
          <w:rFonts w:hint="eastAsia" w:ascii="黑体" w:hAnsi="黑体" w:eastAsia="黑体" w:cs="黑体"/>
          <w:szCs w:val="32"/>
        </w:rPr>
        <w:br w:type="page"/>
      </w:r>
    </w:p>
    <w:p w14:paraId="07FD9AD6">
      <w:pPr>
        <w:overflowPunct w:val="0"/>
        <w:spacing w:line="622" w:lineRule="exact"/>
        <w:ind w:firstLine="0" w:firstLineChars="0"/>
        <w:jc w:val="center"/>
        <w:outlineLvl w:val="0"/>
        <w:rPr>
          <w:rFonts w:hint="eastAsia" w:ascii="黑体" w:hAnsi="黑体" w:eastAsia="黑体" w:cs="黑体"/>
          <w:szCs w:val="32"/>
        </w:rPr>
      </w:pPr>
      <w:r>
        <w:rPr>
          <w:rFonts w:hint="eastAsia" w:ascii="黑体" w:hAnsi="黑体" w:eastAsia="黑体" w:cs="黑体"/>
          <w:szCs w:val="32"/>
        </w:rPr>
        <w:t>第三章  依托丰富能源资源</w:t>
      </w:r>
      <w:r>
        <w:rPr>
          <w:rFonts w:hint="eastAsia" w:ascii="黑体" w:hAnsi="黑体" w:eastAsia="黑体" w:cs="黑体"/>
          <w:szCs w:val="32"/>
          <w:lang w:val="en-US" w:eastAsia="zh-CN"/>
        </w:rPr>
        <w:t xml:space="preserve"> </w:t>
      </w:r>
      <w:r>
        <w:rPr>
          <w:rFonts w:hint="eastAsia" w:ascii="黑体" w:hAnsi="黑体" w:eastAsia="黑体" w:cs="黑体"/>
          <w:szCs w:val="32"/>
        </w:rPr>
        <w:t>加快打造“沁水能源”新名片</w:t>
      </w:r>
      <w:bookmarkEnd w:id="18"/>
      <w:bookmarkEnd w:id="19"/>
    </w:p>
    <w:p w14:paraId="2729B1C0">
      <w:pPr>
        <w:overflowPunct w:val="0"/>
        <w:spacing w:line="622" w:lineRule="exact"/>
        <w:ind w:firstLine="640"/>
        <w:rPr>
          <w:rFonts w:ascii="Times New Roman" w:hAnsi="Times New Roman" w:cs="Times New Roman"/>
          <w:bCs/>
          <w:szCs w:val="32"/>
        </w:rPr>
      </w:pPr>
    </w:p>
    <w:p w14:paraId="0594DA76">
      <w:pPr>
        <w:overflowPunct w:val="0"/>
        <w:spacing w:line="622" w:lineRule="exact"/>
        <w:ind w:firstLine="640"/>
        <w:rPr>
          <w:rFonts w:ascii="Times New Roman" w:hAnsi="Times New Roman" w:cs="Times New Roman"/>
          <w:b/>
          <w:spacing w:val="-6"/>
          <w:kern w:val="0"/>
          <w:szCs w:val="32"/>
        </w:rPr>
      </w:pPr>
      <w:r>
        <w:rPr>
          <w:rFonts w:ascii="Times New Roman" w:hAnsi="Times New Roman" w:cs="Times New Roman"/>
          <w:bCs/>
          <w:szCs w:val="32"/>
        </w:rPr>
        <w:t>持</w:t>
      </w:r>
      <w:r>
        <w:rPr>
          <w:rFonts w:ascii="Times New Roman" w:hAnsi="Times New Roman" w:cs="Times New Roman"/>
          <w:bCs/>
          <w:spacing w:val="-6"/>
          <w:szCs w:val="32"/>
        </w:rPr>
        <w:t>续深化能源革命，充分发挥煤炭和煤层气资源优势，着力推进煤炭清洁高效利用，推动煤层气全产业链均衡发展，加快新能源多元化发展，全面构建清洁低碳、安全高效的新型能源体系，打造沁水能源新名片，为实现经济高质量发展提供坚强能源保障。</w:t>
      </w:r>
    </w:p>
    <w:p w14:paraId="3A8D8DD3">
      <w:pPr>
        <w:overflowPunct w:val="0"/>
        <w:spacing w:line="622" w:lineRule="exact"/>
        <w:ind w:firstLine="640"/>
        <w:rPr>
          <w:rFonts w:ascii="Times New Roman" w:hAnsi="Times New Roman" w:eastAsia="楷体_GB2312" w:cs="Times New Roman"/>
        </w:rPr>
      </w:pPr>
      <w:bookmarkStart w:id="20" w:name="_Toc15869"/>
    </w:p>
    <w:p w14:paraId="6386B0E4">
      <w:pPr>
        <w:overflowPunct w:val="0"/>
        <w:spacing w:line="622" w:lineRule="exact"/>
        <w:ind w:firstLine="0" w:firstLineChars="0"/>
        <w:jc w:val="center"/>
        <w:outlineLvl w:val="1"/>
        <w:rPr>
          <w:rFonts w:ascii="Times New Roman" w:hAnsi="Times New Roman" w:eastAsia="楷体_GB2312" w:cs="Times New Roman"/>
        </w:rPr>
      </w:pPr>
      <w:bookmarkStart w:id="21" w:name="_Toc10729"/>
      <w:r>
        <w:rPr>
          <w:rFonts w:ascii="Times New Roman" w:hAnsi="Times New Roman" w:eastAsia="楷体_GB2312" w:cs="Times New Roman"/>
        </w:rPr>
        <w:t>第一节</w:t>
      </w:r>
      <w:r>
        <w:rPr>
          <w:rFonts w:hint="eastAsia" w:ascii="Times New Roman" w:hAnsi="Times New Roman" w:cs="Times New Roman"/>
        </w:rPr>
        <w:t xml:space="preserve"> </w:t>
      </w:r>
      <w:r>
        <w:rPr>
          <w:rFonts w:ascii="Times New Roman" w:hAnsi="Times New Roman" w:eastAsia="楷体_GB2312" w:cs="Times New Roman"/>
        </w:rPr>
        <w:t xml:space="preserve"> 推动煤炭产业优化升级和转型发展</w:t>
      </w:r>
      <w:bookmarkEnd w:id="20"/>
      <w:bookmarkEnd w:id="21"/>
    </w:p>
    <w:p w14:paraId="413D017B">
      <w:pPr>
        <w:spacing w:line="622" w:lineRule="exact"/>
        <w:ind w:firstLine="640"/>
      </w:pPr>
    </w:p>
    <w:p w14:paraId="5C6E9FAD">
      <w:pPr>
        <w:overflowPunct w:val="0"/>
        <w:spacing w:line="622" w:lineRule="exact"/>
        <w:ind w:firstLine="640"/>
        <w:rPr>
          <w:rFonts w:hint="eastAsia" w:ascii="仿宋_GB2312" w:hAnsi="仿宋_GB2312" w:cs="仿宋_GB2312"/>
          <w:bCs/>
          <w:szCs w:val="32"/>
        </w:rPr>
      </w:pPr>
      <w:r>
        <w:rPr>
          <w:rFonts w:hint="eastAsia" w:ascii="仿宋_GB2312" w:hAnsi="仿宋_GB2312" w:cs="仿宋_GB2312"/>
          <w:bCs/>
          <w:szCs w:val="32"/>
        </w:rPr>
        <w:t>聚焦能源转型和产业升级，充分发挥煤炭“压舱石”作用，加快生产方式、消费方式和发展动力转型，做好煤炭清洁高效利用这篇大文章，保持全县煤炭产能滚动接续、合理充裕，推动煤炭产业由低端向高端攀升。</w:t>
      </w:r>
    </w:p>
    <w:p w14:paraId="1AF0A171">
      <w:pPr>
        <w:overflowPunct w:val="0"/>
        <w:spacing w:line="622" w:lineRule="exact"/>
        <w:ind w:firstLine="643"/>
        <w:rPr>
          <w:rFonts w:hint="eastAsia" w:ascii="仿宋_GB2312" w:hAnsi="仿宋_GB2312" w:cs="仿宋_GB2312"/>
          <w:bCs/>
          <w:szCs w:val="32"/>
        </w:rPr>
      </w:pPr>
      <w:r>
        <w:rPr>
          <w:rFonts w:hint="eastAsia" w:ascii="仿宋_GB2312" w:hAnsi="仿宋_GB2312" w:cs="仿宋_GB2312"/>
          <w:b/>
          <w:szCs w:val="32"/>
        </w:rPr>
        <w:t>持续优化煤炭产能布局。</w:t>
      </w:r>
      <w:r>
        <w:rPr>
          <w:rFonts w:hint="eastAsia" w:ascii="仿宋_GB2312" w:hAnsi="仿宋_GB2312" w:cs="仿宋_GB2312"/>
          <w:bCs/>
          <w:szCs w:val="32"/>
        </w:rPr>
        <w:t>加快资源接续配置和矿井建设，有序挖掘煤炭先进产能，推动煤炭产能向资源富集区域集中、优势企业集中，加快无效低效产能有序退出，确保煤炭产量稳步增长。扎实推进煤矿四个一批，统筹安全生产、技术升级、产能接续、稳产稳供，深化供给侧结构性改革。持续推进大型骨干矿井建设，加快推进永安宏泰、东大、郑庄、里必等大型煤矿竣工投产，胡底煤业扩建及选煤厂项目开工建设。加快推动永和、上安、沁南、樊庄4座新建矿井项目获批建设，不断增强全县煤炭产业可持续发展能力。到2030年，全县煤炭产能控制在5000万吨左右，原煤产量保持在4600万吨以上，先进产能占比达到100%。</w:t>
      </w:r>
    </w:p>
    <w:p w14:paraId="1C6E2D9E">
      <w:pPr>
        <w:overflowPunct w:val="0"/>
        <w:spacing w:line="622" w:lineRule="exact"/>
        <w:ind w:firstLine="643"/>
        <w:rPr>
          <w:rFonts w:hint="eastAsia" w:ascii="仿宋_GB2312" w:hAnsi="仿宋_GB2312" w:cs="仿宋_GB2312"/>
          <w:bCs/>
          <w:szCs w:val="32"/>
        </w:rPr>
      </w:pPr>
      <w:r>
        <w:rPr>
          <w:rFonts w:hint="eastAsia" w:ascii="仿宋_GB2312" w:hAnsi="仿宋_GB2312" w:cs="仿宋_GB2312"/>
          <w:b/>
          <w:szCs w:val="32"/>
        </w:rPr>
        <w:t>全力推进煤矿智能化改造升级。</w:t>
      </w:r>
      <w:r>
        <w:rPr>
          <w:rFonts w:hint="eastAsia" w:ascii="仿宋_GB2312" w:hAnsi="仿宋_GB2312" w:cs="仿宋_GB2312"/>
          <w:bCs/>
          <w:szCs w:val="32"/>
        </w:rPr>
        <w:t>以简化优化矿井生产系统，实现集约高效生产为目的，积极开展现有生产矿井技术改造</w:t>
      </w:r>
      <w:r>
        <w:rPr>
          <w:rFonts w:hint="eastAsia" w:ascii="仿宋_GB2312" w:hAnsi="仿宋_GB2312" w:cs="仿宋_GB2312"/>
          <w:bCs/>
          <w:kern w:val="32"/>
          <w:szCs w:val="32"/>
        </w:rPr>
        <w:t>提升</w:t>
      </w:r>
      <w:r>
        <w:rPr>
          <w:rFonts w:hint="eastAsia" w:ascii="仿宋_GB2312" w:hAnsi="仿宋_GB2312" w:cs="仿宋_GB2312"/>
          <w:bCs/>
          <w:szCs w:val="32"/>
        </w:rPr>
        <w:t>，不断提升煤矿生产的机械化、自动化、智能化水平，实现生产环节衔接配套。全力推进</w:t>
      </w:r>
      <w:r>
        <w:rPr>
          <w:rFonts w:hint="eastAsia" w:ascii="仿宋_GB2312" w:hAnsi="仿宋_GB2312" w:cs="仿宋_GB2312"/>
          <w:kern w:val="32"/>
          <w:szCs w:val="32"/>
        </w:rPr>
        <w:t>寺河煤矿东井、中村二水平延深项目、寺河二号井井筒技术改造、胡底副立井提升、永红、候村、坪上、永安、南凹寺二水平延深项目尽快投产，加快推动玉溪煤矿2号风井、鹿台山15号煤水平延深项目开工建设。</w:t>
      </w:r>
      <w:r>
        <w:rPr>
          <w:rFonts w:hint="eastAsia" w:ascii="仿宋_GB2312" w:hAnsi="仿宋_GB2312" w:cs="仿宋_GB2312"/>
          <w:bCs/>
          <w:szCs w:val="32"/>
        </w:rPr>
        <w:t>分类分级、高标准推进煤矿智能化改造和建设，</w:t>
      </w:r>
      <w:r>
        <w:rPr>
          <w:rFonts w:hint="eastAsia" w:ascii="仿宋_GB2312" w:hAnsi="仿宋_GB2312" w:cs="仿宋_GB2312"/>
          <w:kern w:val="32"/>
          <w:szCs w:val="32"/>
        </w:rPr>
        <w:t>稳步推进郑庄、东大、里必等13座矿井智能化建设，</w:t>
      </w:r>
      <w:r>
        <w:rPr>
          <w:rFonts w:hint="eastAsia" w:ascii="仿宋_GB2312" w:hAnsi="仿宋_GB2312" w:cs="仿宋_GB2312"/>
          <w:bCs/>
          <w:szCs w:val="32"/>
        </w:rPr>
        <w:t>全面提升智能化煤矿常态化运行水平，推进从“建好”向“用好”转变，提升煤矿智能化建设质效。“十五五”末，全县生产矿井智能化率达到80%以上。</w:t>
      </w:r>
    </w:p>
    <w:p w14:paraId="49D8B767">
      <w:pPr>
        <w:overflowPunct w:val="0"/>
        <w:spacing w:line="622" w:lineRule="exact"/>
        <w:ind w:firstLine="643"/>
        <w:rPr>
          <w:rFonts w:hint="eastAsia" w:ascii="仿宋_GB2312" w:hAnsi="仿宋_GB2312" w:cs="仿宋_GB2312"/>
          <w:bCs/>
          <w:szCs w:val="32"/>
        </w:rPr>
      </w:pPr>
      <w:r>
        <w:rPr>
          <w:rFonts w:hint="eastAsia" w:ascii="仿宋_GB2312" w:hAnsi="仿宋_GB2312" w:cs="仿宋_GB2312"/>
          <w:b/>
          <w:szCs w:val="32"/>
        </w:rPr>
        <w:t>加快煤炭资源绿色集约开发。</w:t>
      </w:r>
      <w:r>
        <w:rPr>
          <w:rFonts w:hint="eastAsia" w:ascii="仿宋_GB2312" w:hAnsi="仿宋_GB2312" w:cs="仿宋_GB2312"/>
          <w:bCs/>
          <w:szCs w:val="32"/>
        </w:rPr>
        <w:t>探索煤炭绿色开采技术路线，优化采煤工艺，持续扩大绿色开采试点范围，持续推动煤矿井下智能分选系统建设，实施煤矸石井下分选与返井充填，推广煤与瓦斯共采、充填开采、无煤柱开采、保水开采等技术，降低开采成本，提高开采效率。促进煤炭与煤层气、战略性金属矿产等共伴生资源综合开发，与矿区生态修复协同发展。</w:t>
      </w:r>
      <w:r>
        <w:rPr>
          <w:rFonts w:hint="eastAsia" w:ascii="仿宋_GB2312" w:hAnsi="仿宋_GB2312" w:cs="仿宋_GB2312"/>
          <w:kern w:val="0"/>
          <w:szCs w:val="32"/>
          <w:lang w:bidi="ar"/>
        </w:rPr>
        <w:t>深入推进矿山生态环境集中连片综合治理，坚持“政府主导、企业主责、集中连片规划、多模式一体推进”，用好矿山环境治理恢复基金，推动绿色转型。</w:t>
      </w:r>
    </w:p>
    <w:p w14:paraId="1A00BC51">
      <w:pPr>
        <w:overflowPunct w:val="0"/>
        <w:spacing w:line="622" w:lineRule="exact"/>
        <w:ind w:firstLine="643"/>
        <w:rPr>
          <w:rFonts w:hint="eastAsia" w:ascii="仿宋_GB2312" w:hAnsi="仿宋_GB2312" w:cs="仿宋_GB2312"/>
          <w:bCs/>
          <w:szCs w:val="32"/>
        </w:rPr>
      </w:pPr>
      <w:r>
        <w:rPr>
          <w:rFonts w:hint="eastAsia" w:ascii="仿宋_GB2312" w:hAnsi="仿宋_GB2312" w:cs="仿宋_GB2312"/>
          <w:b/>
          <w:szCs w:val="32"/>
        </w:rPr>
        <w:t>提升煤炭运输保障能力。</w:t>
      </w:r>
      <w:r>
        <w:rPr>
          <w:rFonts w:hint="eastAsia" w:ascii="仿宋_GB2312" w:hAnsi="仿宋_GB2312" w:cs="仿宋_GB2312"/>
          <w:bCs/>
          <w:szCs w:val="32"/>
        </w:rPr>
        <w:t>完善煤炭外运通道网络建设，推进主要煤炭产区与外部铁路干线、铁路专用线与周边公路运输网络的衔接，构建公铁联运体系。优化运输结构，大力推动公路、铁路外运通道建设，加快推进G342沁水县城过境公路改线工程、省道366老马岭至里必段改建工程、东大郑庄里必铁路专用线和晋城西北部铁路建设，打造“千万吨”级沁煤外运“大动脉”，为“十五五”新增产能提供运力保障。</w:t>
      </w:r>
    </w:p>
    <w:p w14:paraId="2945375C">
      <w:pPr>
        <w:keepNext w:val="0"/>
        <w:keepLines w:val="0"/>
        <w:widowControl/>
        <w:suppressLineNumbers w:val="0"/>
        <w:jc w:val="left"/>
        <w:rPr>
          <w:rFonts w:hint="eastAsia" w:ascii="仿宋_GB2312" w:hAnsi="仿宋_GB2312" w:cs="仿宋_GB2312"/>
          <w:bCs/>
          <w:szCs w:val="32"/>
        </w:rPr>
      </w:pPr>
      <w:r>
        <w:rPr>
          <w:rFonts w:hint="eastAsia" w:ascii="仿宋_GB2312" w:hAnsi="仿宋_GB2312" w:cs="仿宋_GB2312"/>
          <w:b/>
          <w:szCs w:val="32"/>
        </w:rPr>
        <w:t>深入推进煤炭清洁高效利用。</w:t>
      </w:r>
      <w:r>
        <w:rPr>
          <w:rFonts w:hint="eastAsia" w:ascii="仿宋_GB2312" w:hAnsi="仿宋_GB2312" w:cs="仿宋_GB2312"/>
          <w:bCs/>
          <w:szCs w:val="32"/>
        </w:rPr>
        <w:t>坚持高端化、多元化、低碳化发展方向，大力延伸煤炭产业链条，推动煤炭与煤电、新能源、煤化工、煤基新材料等协同融合发展，推动煤炭产业由低端向高端、煤炭产品由初级燃料向高价值产品攀升。规范煤炭洗选加工，新建煤矿必须配套洗选设备，加快现有洗选设施改造升级，淘汰落后产能，全力攻坚洗煤行业难点，推动煤炭洗选企业向规模化、集约化、智能化方向发展，提高煤炭洗选精度与效率，精准适配供应品质稳定的优质煤炭产品，力争实现“沁煤沁洗”。积极推进煤炭固废资源综合利用，</w:t>
      </w:r>
      <w:r>
        <w:rPr>
          <w:rFonts w:hint="eastAsia" w:ascii="仿宋_GB2312" w:hAnsi="仿宋_GB2312" w:cs="仿宋_GB2312"/>
          <w:bCs/>
          <w:szCs w:val="32"/>
          <w:lang w:val="en-US" w:eastAsia="zh-CN"/>
        </w:rPr>
        <w:t>依托煤层气开发投资有限公司煤矿绿色低碳循环产业项目，</w:t>
      </w:r>
      <w:r>
        <w:rPr>
          <w:rFonts w:hint="eastAsia" w:ascii="仿宋_GB2312" w:hAnsi="仿宋_GB2312" w:cs="仿宋_GB2312"/>
          <w:bCs/>
          <w:szCs w:val="32"/>
        </w:rPr>
        <w:t>以煤矸石为重点，</w:t>
      </w:r>
      <w:r>
        <w:rPr>
          <w:rFonts w:hint="eastAsia" w:ascii="仿宋_GB2312" w:hAnsi="仿宋_GB2312" w:cs="仿宋_GB2312"/>
          <w:bCs/>
          <w:szCs w:val="32"/>
          <w:lang w:val="en-US" w:eastAsia="zh-CN"/>
        </w:rPr>
        <w:t>以煤基固废制备新型建材、高值化综合利用为路径，</w:t>
      </w:r>
      <w:r>
        <w:rPr>
          <w:rFonts w:hint="eastAsia" w:ascii="仿宋_GB2312" w:hAnsi="仿宋_GB2312" w:cs="仿宋_GB2312"/>
          <w:bCs/>
          <w:szCs w:val="32"/>
        </w:rPr>
        <w:t>制备生物有机肥料、新型绿色建材、催化剂、提取重金属等高附加值产品，重点推动沁水德恒建筑垃圾资源化</w:t>
      </w:r>
      <w:r>
        <w:rPr>
          <w:rFonts w:hint="eastAsia" w:ascii="仿宋_GB2312" w:hAnsi="仿宋_GB2312" w:cs="仿宋_GB2312"/>
          <w:bCs/>
          <w:szCs w:val="32"/>
          <w:lang w:val="en-US" w:eastAsia="zh-CN"/>
        </w:rPr>
        <w:t>、嘉峰镇王山村200万吨煤研石高值利用</w:t>
      </w:r>
      <w:r>
        <w:rPr>
          <w:rFonts w:hint="eastAsia" w:ascii="仿宋_GB2312" w:hAnsi="仿宋_GB2312" w:cs="仿宋_GB2312"/>
          <w:bCs/>
          <w:szCs w:val="32"/>
          <w:lang w:eastAsia="zh-CN"/>
        </w:rPr>
        <w:t>等</w:t>
      </w:r>
      <w:r>
        <w:rPr>
          <w:rFonts w:hint="eastAsia" w:ascii="仿宋_GB2312" w:hAnsi="仿宋_GB2312" w:cs="仿宋_GB2312"/>
          <w:bCs/>
          <w:szCs w:val="32"/>
        </w:rPr>
        <w:t>项目建设，促其早日投产达效，助力产业绿色低碳发展。</w:t>
      </w:r>
    </w:p>
    <w:p w14:paraId="5F698648">
      <w:pPr>
        <w:pStyle w:val="11"/>
        <w:overflowPunct w:val="0"/>
        <w:spacing w:after="156" w:afterLines="50" w:line="622" w:lineRule="exact"/>
        <w:ind w:left="0" w:leftChars="0" w:firstLine="0" w:firstLineChars="0"/>
        <w:jc w:val="center"/>
        <w:rPr>
          <w:rFonts w:ascii="黑体" w:hAnsi="黑体" w:eastAsia="黑体" w:cs="黑体"/>
          <w:szCs w:val="30"/>
        </w:rPr>
      </w:pPr>
      <w:r>
        <w:rPr>
          <w:rFonts w:ascii="黑体" w:hAnsi="黑体" w:eastAsia="黑体" w:cs="黑体"/>
          <w:szCs w:val="30"/>
        </w:rPr>
        <w:t>专栏2</w:t>
      </w:r>
      <w:r>
        <w:rPr>
          <w:rFonts w:hint="eastAsia" w:ascii="黑体" w:hAnsi="黑体" w:eastAsia="黑体" w:cs="黑体"/>
          <w:szCs w:val="30"/>
          <w:lang w:val="en-US" w:eastAsia="zh-CN"/>
        </w:rPr>
        <w:t xml:space="preserve"> </w:t>
      </w:r>
      <w:r>
        <w:rPr>
          <w:rFonts w:ascii="黑体" w:hAnsi="黑体" w:eastAsia="黑体" w:cs="黑体"/>
          <w:szCs w:val="30"/>
        </w:rPr>
        <w:t>煤炭开发利用</w:t>
      </w:r>
      <w:r>
        <w:rPr>
          <w:rFonts w:hint="eastAsia" w:ascii="黑体" w:hAnsi="黑体" w:eastAsia="黑体" w:cs="黑体"/>
          <w:szCs w:val="30"/>
          <w:lang w:eastAsia="zh-CN"/>
        </w:rPr>
        <w:t>重点</w:t>
      </w:r>
      <w:r>
        <w:rPr>
          <w:rFonts w:ascii="黑体" w:hAnsi="黑体" w:eastAsia="黑体" w:cs="黑体"/>
          <w:szCs w:val="30"/>
        </w:rPr>
        <w:t>项目</w:t>
      </w:r>
    </w:p>
    <w:tbl>
      <w:tblPr>
        <w:tblStyle w:val="21"/>
        <w:tblW w:w="89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957"/>
      </w:tblGrid>
      <w:tr w14:paraId="6D112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761" w:hRule="atLeast"/>
          <w:jc w:val="center"/>
        </w:trPr>
        <w:tc>
          <w:tcPr>
            <w:tcW w:w="5000" w:type="pct"/>
            <w:tcBorders>
              <w:tl2br w:val="nil"/>
              <w:tr2bl w:val="nil"/>
            </w:tcBorders>
            <w:vAlign w:val="center"/>
          </w:tcPr>
          <w:p w14:paraId="6E516B65">
            <w:pPr>
              <w:overflowPunct w:val="0"/>
              <w:spacing w:line="360" w:lineRule="exact"/>
              <w:ind w:firstLine="402"/>
              <w:rPr>
                <w:rFonts w:hint="eastAsia" w:asciiTheme="majorEastAsia" w:hAnsiTheme="majorEastAsia" w:eastAsiaTheme="majorEastAsia" w:cstheme="majorEastAsia"/>
                <w:sz w:val="20"/>
                <w:szCs w:val="20"/>
                <w:highlight w:val="none"/>
                <w:lang w:val="en-US" w:eastAsia="zh-CN"/>
              </w:rPr>
            </w:pPr>
            <w:r>
              <w:rPr>
                <w:rFonts w:hint="eastAsia" w:asciiTheme="majorEastAsia" w:hAnsiTheme="majorEastAsia" w:eastAsiaTheme="majorEastAsia" w:cstheme="majorEastAsia"/>
                <w:b/>
                <w:bCs/>
                <w:sz w:val="20"/>
                <w:szCs w:val="20"/>
              </w:rPr>
              <w:t>稳定增产项目：</w:t>
            </w:r>
            <w:r>
              <w:rPr>
                <w:rFonts w:hint="eastAsia" w:asciiTheme="majorEastAsia" w:hAnsiTheme="majorEastAsia" w:eastAsiaTheme="majorEastAsia" w:cstheme="majorEastAsia"/>
                <w:sz w:val="20"/>
                <w:szCs w:val="20"/>
              </w:rPr>
              <w:t>重点推进东大500万吨/年、里必400万吨/年矿井、郑庄400万吨/年3座大型煤矿项目竣工投产</w:t>
            </w:r>
            <w:r>
              <w:rPr>
                <w:rFonts w:hint="eastAsia" w:asciiTheme="majorEastAsia" w:hAnsiTheme="majorEastAsia" w:eastAsiaTheme="majorEastAsia" w:cstheme="majorEastAsia"/>
                <w:sz w:val="20"/>
                <w:szCs w:val="20"/>
                <w:highlight w:val="none"/>
                <w:lang w:val="en-US" w:eastAsia="zh-CN"/>
              </w:rPr>
              <w:t>，胡底煤业扩建及选煤厂项目、胡底南（成庄矿扩区）项目开工建设。加快推动永和、上安、沁南、樊庄4座新建矿井项目获批建设。</w:t>
            </w:r>
          </w:p>
          <w:p w14:paraId="4491E978">
            <w:pPr>
              <w:overflowPunct w:val="0"/>
              <w:spacing w:line="36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技术改造项目：</w:t>
            </w:r>
            <w:r>
              <w:rPr>
                <w:rFonts w:hint="eastAsia" w:asciiTheme="majorEastAsia" w:hAnsiTheme="majorEastAsia" w:eastAsiaTheme="majorEastAsia" w:cstheme="majorEastAsia"/>
                <w:sz w:val="20"/>
                <w:szCs w:val="20"/>
                <w:highlight w:val="none"/>
                <w:lang w:val="en-US" w:eastAsia="zh-CN"/>
              </w:rPr>
              <w:t>持续推进寺河煤矿东井风井、寺河二号井井筒、许家岭风井配套设施建设、玉溪煤矿2号风井、胡底副立井提升技术改造，永红、侯</w:t>
            </w:r>
            <w:r>
              <w:rPr>
                <w:rFonts w:hint="eastAsia" w:asciiTheme="majorEastAsia" w:hAnsiTheme="majorEastAsia" w:eastAsiaTheme="majorEastAsia" w:cstheme="majorEastAsia"/>
                <w:sz w:val="20"/>
                <w:szCs w:val="20"/>
              </w:rPr>
              <w:t>村、坪上、永安、南凹寺、中村、鹿台山15号煤层水平延深项目建设。</w:t>
            </w:r>
          </w:p>
          <w:p w14:paraId="2CB66A1A">
            <w:pPr>
              <w:overflowPunct w:val="0"/>
              <w:spacing w:line="36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智能化建设项目：</w:t>
            </w:r>
            <w:r>
              <w:rPr>
                <w:rFonts w:hint="eastAsia" w:asciiTheme="majorEastAsia" w:hAnsiTheme="majorEastAsia" w:eastAsiaTheme="majorEastAsia" w:cstheme="majorEastAsia"/>
                <w:sz w:val="20"/>
                <w:szCs w:val="20"/>
              </w:rPr>
              <w:t>推进郑庄、东大、里必、岳城、鹿台山、沁城、侯村、永安、南凹寺、永红、中村、永安宏泰、胡底13座矿井智能化建设。</w:t>
            </w:r>
          </w:p>
          <w:p w14:paraId="2EB10FF5">
            <w:pPr>
              <w:overflowPunct w:val="0"/>
              <w:spacing w:line="360" w:lineRule="exact"/>
              <w:ind w:firstLine="402"/>
            </w:pPr>
            <w:r>
              <w:rPr>
                <w:rFonts w:hint="eastAsia" w:asciiTheme="majorEastAsia" w:hAnsiTheme="majorEastAsia" w:eastAsiaTheme="majorEastAsia" w:cstheme="majorEastAsia"/>
                <w:b/>
                <w:bCs/>
                <w:sz w:val="20"/>
                <w:szCs w:val="20"/>
                <w:lang w:val="en-US" w:eastAsia="zh-CN"/>
              </w:rPr>
              <w:t>其他类项目：</w:t>
            </w:r>
            <w:r>
              <w:rPr>
                <w:rFonts w:hint="eastAsia" w:asciiTheme="majorEastAsia" w:hAnsiTheme="majorEastAsia" w:eastAsiaTheme="majorEastAsia" w:cstheme="majorEastAsia"/>
                <w:b w:val="0"/>
                <w:bCs w:val="0"/>
                <w:sz w:val="20"/>
                <w:szCs w:val="20"/>
                <w:lang w:val="en-US" w:eastAsia="zh-CN"/>
              </w:rPr>
              <w:t>东大煤矿机电维修综合服务中心项目。</w:t>
            </w:r>
          </w:p>
        </w:tc>
      </w:tr>
    </w:tbl>
    <w:p w14:paraId="455974DD">
      <w:pPr>
        <w:overflowPunct w:val="0"/>
        <w:spacing w:line="632" w:lineRule="exact"/>
        <w:ind w:firstLine="640"/>
        <w:rPr>
          <w:rFonts w:ascii="Times New Roman" w:hAnsi="Times New Roman" w:eastAsia="楷体_GB2312" w:cs="Times New Roman"/>
        </w:rPr>
      </w:pPr>
      <w:bookmarkStart w:id="22" w:name="_Toc9392"/>
    </w:p>
    <w:p w14:paraId="13E50BA5">
      <w:pPr>
        <w:overflowPunct w:val="0"/>
        <w:spacing w:line="622" w:lineRule="exact"/>
        <w:ind w:firstLine="0" w:firstLineChars="0"/>
        <w:jc w:val="center"/>
        <w:outlineLvl w:val="1"/>
        <w:rPr>
          <w:rFonts w:ascii="Times New Roman" w:hAnsi="Times New Roman" w:eastAsia="楷体_GB2312" w:cs="Times New Roman"/>
        </w:rPr>
      </w:pPr>
      <w:bookmarkStart w:id="23" w:name="_Toc23370"/>
      <w:r>
        <w:rPr>
          <w:rFonts w:ascii="Times New Roman" w:hAnsi="Times New Roman" w:eastAsia="楷体_GB2312" w:cs="Times New Roman"/>
        </w:rPr>
        <w:t xml:space="preserve">第二节 </w:t>
      </w:r>
      <w:r>
        <w:rPr>
          <w:rFonts w:hint="eastAsia" w:ascii="Times New Roman" w:hAnsi="Times New Roman" w:eastAsia="楷体_GB2312" w:cs="Times New Roman"/>
        </w:rPr>
        <w:t xml:space="preserve"> </w:t>
      </w:r>
      <w:r>
        <w:rPr>
          <w:rFonts w:ascii="Times New Roman" w:hAnsi="Times New Roman" w:eastAsia="楷体_GB2312" w:cs="Times New Roman"/>
        </w:rPr>
        <w:t>加快煤层气规模化开发和多元化利用</w:t>
      </w:r>
      <w:bookmarkEnd w:id="22"/>
      <w:bookmarkEnd w:id="23"/>
    </w:p>
    <w:p w14:paraId="4A63D4B1">
      <w:pPr>
        <w:overflowPunct w:val="0"/>
        <w:spacing w:line="632" w:lineRule="exact"/>
        <w:ind w:firstLine="640"/>
        <w:rPr>
          <w:rFonts w:hint="eastAsia" w:ascii="仿宋_GB2312" w:hAnsi="仿宋_GB2312" w:cs="仿宋_GB2312"/>
          <w:bCs/>
          <w:szCs w:val="32"/>
        </w:rPr>
      </w:pPr>
    </w:p>
    <w:p w14:paraId="6751D441">
      <w:pPr>
        <w:overflowPunct w:val="0"/>
        <w:spacing w:line="632" w:lineRule="exact"/>
        <w:ind w:firstLine="640"/>
        <w:rPr>
          <w:rFonts w:hint="eastAsia" w:ascii="仿宋_GB2312" w:hAnsi="仿宋_GB2312" w:cs="仿宋_GB2312"/>
          <w:bCs/>
          <w:szCs w:val="32"/>
        </w:rPr>
      </w:pPr>
      <w:r>
        <w:rPr>
          <w:rFonts w:hint="eastAsia" w:ascii="仿宋_GB2312" w:hAnsi="仿宋_GB2312" w:cs="仿宋_GB2312"/>
          <w:bCs/>
          <w:szCs w:val="32"/>
        </w:rPr>
        <w:t>逐步扩大煤炭深加工转化和煤基新材料产业链，推进煤炭洗选升级，按照“上游抓资源勘查开发、中游抓管网建设运营、下游抓综合消纳利用、其他关联产业联动发展”的全产业链发展思路，推动煤层气产业高质量发展，加快形成产运储销平衡、各方受益、互利共赢的发展格局，</w:t>
      </w:r>
      <w:r>
        <w:rPr>
          <w:rFonts w:hint="eastAsia" w:ascii="仿宋_GB2312"/>
          <w:spacing w:val="6"/>
          <w:sz w:val="31"/>
          <w:szCs w:val="31"/>
        </w:rPr>
        <w:t>加快建设全国煤层气产业示范基地和</w:t>
      </w:r>
      <w:r>
        <w:rPr>
          <w:rFonts w:hint="eastAsia" w:ascii="仿宋_GB2312"/>
          <w:spacing w:val="4"/>
          <w:sz w:val="31"/>
          <w:szCs w:val="31"/>
        </w:rPr>
        <w:t>京津冀应急保障基地。</w:t>
      </w:r>
    </w:p>
    <w:p w14:paraId="106ADB9F">
      <w:pPr>
        <w:overflowPunct w:val="0"/>
        <w:spacing w:line="632" w:lineRule="exact"/>
        <w:ind w:firstLine="643"/>
        <w:rPr>
          <w:rFonts w:hint="eastAsia" w:ascii="仿宋_GB2312" w:hAnsi="仿宋_GB2312" w:cs="仿宋_GB2312"/>
          <w:bCs/>
          <w:szCs w:val="32"/>
        </w:rPr>
      </w:pPr>
      <w:r>
        <w:rPr>
          <w:rFonts w:hint="eastAsia" w:ascii="仿宋_GB2312" w:hAnsi="仿宋_GB2312" w:cs="仿宋_GB2312"/>
          <w:b/>
          <w:szCs w:val="32"/>
        </w:rPr>
        <w:t>积极推进增储上产。</w:t>
      </w:r>
      <w:r>
        <w:rPr>
          <w:rFonts w:hint="eastAsia" w:ascii="仿宋_GB2312" w:hAnsi="仿宋_GB2312" w:cs="仿宋_GB2312"/>
          <w:bCs/>
          <w:szCs w:val="32"/>
        </w:rPr>
        <w:t>坚持“成熟区稳产、建设区达产、探明区建产”开发策略，有效盘活资源储量，扎实推动郑庄、潘庄、马必南等成熟区稳产</w:t>
      </w:r>
      <w:r>
        <w:rPr>
          <w:rFonts w:hint="eastAsia" w:ascii="仿宋_GB2312" w:hAnsi="仿宋_GB2312" w:cs="仿宋_GB2312"/>
          <w:kern w:val="32"/>
          <w:szCs w:val="32"/>
        </w:rPr>
        <w:t>增产</w:t>
      </w:r>
      <w:r>
        <w:rPr>
          <w:rFonts w:hint="eastAsia" w:ascii="仿宋_GB2312" w:hAnsi="仿宋_GB2312" w:cs="仿宋_GB2312"/>
          <w:bCs/>
          <w:szCs w:val="32"/>
        </w:rPr>
        <w:t>，郑庄北、马必北、柿庄南等建设区开展深部煤层、复杂构造区、薄煤层资源开采技术攻关加速达产，马必东、柿庄北等探明区推动企地合作盘活区块资源科学建产，确保2030年全县煤层气产量</w:t>
      </w:r>
      <w:r>
        <w:rPr>
          <w:rFonts w:hint="eastAsia" w:ascii="仿宋_GB2312" w:hAnsi="仿宋_GB2312" w:cs="仿宋_GB2312"/>
          <w:kern w:val="32"/>
          <w:szCs w:val="32"/>
          <w:shd w:val="clear" w:color="auto" w:fill="FFFFFF"/>
        </w:rPr>
        <w:t>（包括井下瓦斯）</w:t>
      </w:r>
      <w:r>
        <w:rPr>
          <w:rFonts w:hint="eastAsia" w:ascii="仿宋_GB2312" w:hAnsi="仿宋_GB2312" w:cs="仿宋_GB2312"/>
          <w:bCs/>
          <w:szCs w:val="32"/>
        </w:rPr>
        <w:t>稳定在60亿方/年左右。</w:t>
      </w:r>
    </w:p>
    <w:p w14:paraId="6E780FA4">
      <w:pPr>
        <w:overflowPunct w:val="0"/>
        <w:spacing w:line="622" w:lineRule="exact"/>
        <w:ind w:firstLine="643"/>
        <w:rPr>
          <w:rFonts w:hint="eastAsia" w:ascii="仿宋_GB2312" w:hAnsi="仿宋_GB2312" w:cs="仿宋_GB2312"/>
          <w:bCs/>
          <w:szCs w:val="32"/>
        </w:rPr>
      </w:pPr>
      <w:r>
        <w:rPr>
          <w:rFonts w:hint="eastAsia" w:ascii="仿宋_GB2312" w:hAnsi="仿宋_GB2312" w:cs="仿宋_GB2312"/>
          <w:b/>
          <w:szCs w:val="32"/>
        </w:rPr>
        <w:t>持续完善储运管网。</w:t>
      </w:r>
      <w:r>
        <w:rPr>
          <w:rFonts w:hint="eastAsia" w:ascii="仿宋_GB2312" w:hAnsi="仿宋_GB2312" w:cs="仿宋_GB2312"/>
          <w:bCs/>
          <w:szCs w:val="32"/>
        </w:rPr>
        <w:t>持续完善县域管网“三纵四横”布局，积极融入全市“一张网”管输体系，推进柿庄、固县、胡底、端氏、嘉峰、开发区管网互联互通。持续加强储气战略储备能力和调峰保供能力建设，加快推进京津冀LNG调峰储备中心液化单元投产运行，推动液化能力提升至745万方/日，全县储气调峰能力达到2.5亿方。到2030年，全县输气管网基本实现互联互通，煤层气长输管道达到400公里，管网外输能力实现100亿方/年，有效保证各类用户用气、应急供气及调峰供气需求。</w:t>
      </w:r>
    </w:p>
    <w:p w14:paraId="0D0321F8">
      <w:pPr>
        <w:overflowPunct w:val="0"/>
        <w:spacing w:line="622" w:lineRule="exact"/>
        <w:ind w:firstLine="643"/>
        <w:rPr>
          <w:rFonts w:hint="eastAsia" w:ascii="仿宋_GB2312" w:hAnsi="仿宋_GB2312" w:cs="仿宋_GB2312"/>
          <w:bCs/>
          <w:szCs w:val="32"/>
        </w:rPr>
      </w:pPr>
      <w:r>
        <w:rPr>
          <w:rFonts w:hint="eastAsia" w:ascii="仿宋_GB2312" w:hAnsi="仿宋_GB2312" w:cs="仿宋_GB2312"/>
          <w:b/>
          <w:szCs w:val="32"/>
        </w:rPr>
        <w:t>着力提升综合利用水平。</w:t>
      </w:r>
      <w:r>
        <w:rPr>
          <w:rFonts w:hint="eastAsia" w:ascii="仿宋_GB2312" w:hAnsi="仿宋_GB2312" w:cs="仿宋_GB2312"/>
          <w:bCs/>
          <w:szCs w:val="32"/>
        </w:rPr>
        <w:t>实施瓦斯全浓度综合利用，</w:t>
      </w:r>
      <w:r>
        <w:rPr>
          <w:rFonts w:hint="eastAsia" w:ascii="仿宋_GB2312" w:hAnsi="仿宋_GB2312" w:cs="仿宋_GB2312"/>
          <w:szCs w:val="32"/>
        </w:rPr>
        <w:t>依托现有瓦斯电厂规模，大力发展蓄热氧化等超低浓度瓦斯发电技术，重点支持国润郑庄、兰能东大、和祥二期、中煤里必（二期）、金驹常店（二期）、金驹许家岭等瓦斯发电项目建设，打造瓦斯发电产业集群。坚持“就近利用、余气外输”原则，积极拓展煤层气在民用、工业生产和交通运输等关键领域的利用，深度挖掘煤层气作为化工原料、工业原料的潜在价值，打造涵盖煤层气发电、精细化工、工程服务、物流贸易等产业集群。依托现有产业发展优势，推动煤层气燃料与原料替代，加速推进煤层气全产业链发展。积极培育多元化的消费主体，以气源地比较优势打造“以气引资”新亮点，优化供给价格及补贴政策，保障产地重大项目用气需求，吸引优势项目集聚沁水，提高煤层气市场竞争力。</w:t>
      </w:r>
    </w:p>
    <w:p w14:paraId="1AD7A58B">
      <w:pPr>
        <w:pStyle w:val="11"/>
        <w:overflowPunct w:val="0"/>
        <w:spacing w:after="156" w:afterLines="50" w:line="622" w:lineRule="exact"/>
        <w:ind w:left="0" w:leftChars="0" w:firstLine="0" w:firstLineChars="0"/>
        <w:jc w:val="center"/>
        <w:rPr>
          <w:rFonts w:ascii="黑体" w:hAnsi="黑体" w:eastAsia="黑体" w:cs="黑体"/>
          <w:szCs w:val="30"/>
        </w:rPr>
      </w:pPr>
      <w:r>
        <w:rPr>
          <w:rFonts w:ascii="黑体" w:hAnsi="黑体" w:eastAsia="黑体" w:cs="黑体"/>
          <w:szCs w:val="30"/>
        </w:rPr>
        <w:t>专栏3  煤层气产业</w:t>
      </w:r>
      <w:r>
        <w:rPr>
          <w:rFonts w:hint="eastAsia" w:ascii="黑体" w:hAnsi="黑体" w:eastAsia="黑体" w:cs="黑体"/>
          <w:szCs w:val="30"/>
          <w:lang w:eastAsia="zh-CN"/>
        </w:rPr>
        <w:t>重点</w:t>
      </w:r>
      <w:r>
        <w:rPr>
          <w:rFonts w:ascii="黑体" w:hAnsi="黑体" w:eastAsia="黑体" w:cs="黑体"/>
          <w:szCs w:val="30"/>
        </w:rPr>
        <w:t>项目</w:t>
      </w:r>
    </w:p>
    <w:tbl>
      <w:tblPr>
        <w:tblStyle w:val="21"/>
        <w:tblW w:w="89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957"/>
      </w:tblGrid>
      <w:tr w14:paraId="6F6F6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2" w:hRule="atLeast"/>
          <w:jc w:val="center"/>
        </w:trPr>
        <w:tc>
          <w:tcPr>
            <w:tcW w:w="5000" w:type="pct"/>
            <w:tcBorders>
              <w:tl2br w:val="nil"/>
              <w:tr2bl w:val="nil"/>
            </w:tcBorders>
            <w:vAlign w:val="center"/>
          </w:tcPr>
          <w:p w14:paraId="55E49A98">
            <w:pPr>
              <w:overflowPunct w:val="0"/>
              <w:spacing w:line="360" w:lineRule="exact"/>
              <w:ind w:firstLine="402"/>
              <w:rPr>
                <w:rFonts w:hint="eastAsia" w:ascii="宋体" w:hAnsi="宋体" w:eastAsia="宋体" w:cs="宋体"/>
                <w:b/>
                <w:bCs/>
                <w:sz w:val="20"/>
                <w:szCs w:val="20"/>
              </w:rPr>
            </w:pPr>
            <w:r>
              <w:rPr>
                <w:rFonts w:hint="eastAsia" w:ascii="宋体" w:hAnsi="宋体" w:eastAsia="宋体" w:cs="宋体"/>
                <w:b/>
                <w:bCs/>
                <w:sz w:val="20"/>
                <w:szCs w:val="20"/>
              </w:rPr>
              <w:t>产能提升项目：</w:t>
            </w:r>
            <w:r>
              <w:rPr>
                <w:rFonts w:hint="eastAsia" w:ascii="宋体" w:hAnsi="宋体" w:eastAsia="宋体" w:cs="宋体"/>
                <w:sz w:val="20"/>
                <w:szCs w:val="20"/>
              </w:rPr>
              <w:t>沁水煤层气田郑庄区块郑试76</w:t>
            </w:r>
            <w:r>
              <w:rPr>
                <w:rFonts w:hint="eastAsia" w:ascii="仿宋_GB2312" w:hAnsi="仿宋_GB2312" w:eastAsia="宋体" w:cs="宋体"/>
                <w:sz w:val="20"/>
                <w:szCs w:val="20"/>
              </w:rPr>
              <w:t>—</w:t>
            </w:r>
            <w:r>
              <w:rPr>
                <w:rFonts w:hint="eastAsia" w:ascii="宋体" w:hAnsi="宋体" w:eastAsia="宋体" w:cs="宋体"/>
                <w:sz w:val="20"/>
                <w:szCs w:val="20"/>
              </w:rPr>
              <w:t>郑试34井区多层系产能建设项目、华北油田沁水煤层气田郑庄区块已开发区调整方案项目、沁水煤层气田郑庄区块北部郑试59井区开发方案项目、山西沁水盆地成庄区块煤层气对外合作项目、山西沁水盆地煤层气中央处理厂三期建设工程、潘河区块煤层气开发项目、柿庄南区块开发项目、潘河9号煤调整井项目、马必东地区马25井区煤层气资源合作开发项目、晋城区块煤层气加密井建设项目（一期）、山西蓝焰煤层气集团有限责任公司晋城区块煤层气加密井建设项目（二期）、山西沁水盆地马必区块煤层气勘探开发076项目、山西沁水盆地马必区块煤层气勘探开发105项目、潘庄区块煤层气资源开发项目、郑庄里必合作区块四期项目、郑庄里必合作区块地面预抽合作项目、郑庄里必合作区块加密井项目</w:t>
            </w:r>
            <w:r>
              <w:rPr>
                <w:rFonts w:hint="eastAsia" w:ascii="宋体" w:hAnsi="宋体" w:eastAsia="宋体" w:cs="宋体"/>
                <w:sz w:val="20"/>
                <w:szCs w:val="20"/>
                <w:lang w:eastAsia="zh-CN"/>
              </w:rPr>
              <w:t>、华北沁水煤层气田樊庄-郑庄区块压舱石工程开发项目</w:t>
            </w:r>
            <w:r>
              <w:rPr>
                <w:rFonts w:hint="eastAsia" w:ascii="宋体" w:hAnsi="宋体" w:eastAsia="宋体" w:cs="宋体"/>
                <w:b/>
                <w:bCs/>
                <w:sz w:val="20"/>
                <w:szCs w:val="20"/>
              </w:rPr>
              <w:t>。</w:t>
            </w:r>
          </w:p>
          <w:p w14:paraId="1C2333DE">
            <w:pPr>
              <w:overflowPunct w:val="0"/>
              <w:spacing w:line="360" w:lineRule="exact"/>
              <w:ind w:firstLine="402"/>
              <w:rPr>
                <w:rFonts w:hint="eastAsia" w:ascii="宋体" w:hAnsi="宋体" w:eastAsia="宋体" w:cs="宋体"/>
                <w:sz w:val="20"/>
                <w:szCs w:val="20"/>
                <w:highlight w:val="yellow"/>
                <w:lang w:eastAsia="zh-CN"/>
              </w:rPr>
            </w:pPr>
            <w:r>
              <w:rPr>
                <w:rFonts w:hint="eastAsia" w:ascii="宋体" w:hAnsi="宋体" w:eastAsia="宋体" w:cs="宋体"/>
                <w:b/>
                <w:bCs/>
                <w:sz w:val="20"/>
                <w:szCs w:val="20"/>
              </w:rPr>
              <w:t>输气管网项目：</w:t>
            </w:r>
            <w:r>
              <w:rPr>
                <w:rFonts w:hint="eastAsia" w:ascii="宋体" w:hAnsi="宋体" w:eastAsia="宋体" w:cs="宋体"/>
                <w:sz w:val="20"/>
                <w:szCs w:val="20"/>
                <w:highlight w:val="none"/>
                <w:lang w:val="en-US" w:eastAsia="zh-CN"/>
              </w:rPr>
              <w:t>依托煤层气投资开发集团有限公司，建设融戎-周村管道项目，沁水西处理站、马必东处理站及配套管网项目。建设</w:t>
            </w:r>
            <w:r>
              <w:rPr>
                <w:rFonts w:hint="eastAsia" w:ascii="宋体" w:hAnsi="宋体" w:eastAsia="宋体" w:cs="宋体"/>
                <w:sz w:val="20"/>
                <w:szCs w:val="20"/>
              </w:rPr>
              <w:t>胡底增压站</w:t>
            </w:r>
            <w:r>
              <w:rPr>
                <w:rFonts w:hint="eastAsia" w:ascii="仿宋_GB2312" w:hAnsi="仿宋_GB2312" w:eastAsia="宋体" w:cs="宋体"/>
                <w:sz w:val="20"/>
                <w:szCs w:val="20"/>
              </w:rPr>
              <w:t>—</w:t>
            </w:r>
            <w:r>
              <w:rPr>
                <w:rFonts w:hint="eastAsia" w:ascii="宋体" w:hAnsi="宋体" w:eastAsia="宋体" w:cs="宋体"/>
                <w:sz w:val="20"/>
                <w:szCs w:val="20"/>
              </w:rPr>
              <w:t>中石油金峰处理厂管道项目</w:t>
            </w:r>
            <w:r>
              <w:rPr>
                <w:rFonts w:hint="eastAsia" w:ascii="宋体" w:hAnsi="宋体" w:eastAsia="宋体" w:cs="宋体"/>
                <w:sz w:val="20"/>
                <w:szCs w:val="20"/>
                <w:lang w:eastAsia="zh-CN"/>
              </w:rPr>
              <w:t>、</w:t>
            </w:r>
            <w:r>
              <w:rPr>
                <w:rFonts w:hint="eastAsia" w:ascii="宋体" w:hAnsi="宋体" w:eastAsia="宋体" w:cs="宋体"/>
                <w:sz w:val="20"/>
                <w:szCs w:val="20"/>
                <w:lang w:val="en-US" w:eastAsia="zh-CN"/>
              </w:rPr>
              <w:t>北京宜信达端氏-沁水输气管道项目、华沁（山西）能源有限公司聚源安通清管站-融戎增压站输气管道项目、华沁（山西）能源有限公司华港-融戎增压站输气管道项目、华沁（山西）能源有限公司张山-李庄输气管道项目、华沁（山西）能源有限公司西头村-槐庄BOG输气管道项目、华沁（山西）能源有限公司纯气输气管道项目。</w:t>
            </w:r>
          </w:p>
          <w:p w14:paraId="10C4F81F">
            <w:pPr>
              <w:overflowPunct w:val="0"/>
              <w:spacing w:line="360" w:lineRule="exact"/>
              <w:ind w:firstLine="402"/>
              <w:rPr>
                <w:rFonts w:hint="eastAsia" w:ascii="宋体" w:hAnsi="宋体" w:eastAsia="宋体" w:cs="宋体"/>
                <w:sz w:val="20"/>
                <w:szCs w:val="20"/>
              </w:rPr>
            </w:pPr>
            <w:r>
              <w:rPr>
                <w:rFonts w:hint="eastAsia" w:ascii="宋体" w:hAnsi="宋体" w:eastAsia="宋体" w:cs="宋体"/>
                <w:b/>
                <w:bCs/>
                <w:sz w:val="20"/>
                <w:szCs w:val="20"/>
              </w:rPr>
              <w:t>瓦斯发电项目：</w:t>
            </w:r>
            <w:r>
              <w:rPr>
                <w:rFonts w:hint="eastAsia" w:ascii="宋体" w:hAnsi="宋体" w:eastAsia="宋体" w:cs="宋体"/>
                <w:sz w:val="20"/>
                <w:szCs w:val="20"/>
              </w:rPr>
              <w:t>推动国润郑庄、兰能东大、和祥二期、中煤里必（二期）、金驹常店（二期）、金驹许家岭、汇祥三水沟、华瑞张山、威泰石柱南等瓦斯发电项目建设。</w:t>
            </w:r>
          </w:p>
          <w:p w14:paraId="2ED025A1">
            <w:pPr>
              <w:overflowPunct w:val="0"/>
              <w:spacing w:line="360" w:lineRule="exact"/>
              <w:ind w:firstLine="402"/>
              <w:rPr>
                <w:rFonts w:hint="eastAsia" w:ascii="宋体" w:hAnsi="宋体" w:eastAsia="宋体" w:cs="宋体"/>
                <w:sz w:val="20"/>
                <w:szCs w:val="20"/>
                <w:highlight w:val="none"/>
                <w:lang w:val="en-US" w:eastAsia="zh-CN"/>
              </w:rPr>
            </w:pPr>
            <w:r>
              <w:rPr>
                <w:rFonts w:hint="eastAsia" w:ascii="宋体" w:hAnsi="宋体" w:eastAsia="宋体" w:cs="宋体"/>
                <w:b/>
                <w:bCs/>
                <w:sz w:val="20"/>
                <w:szCs w:val="20"/>
                <w:lang w:val="en-US" w:eastAsia="zh-CN"/>
              </w:rPr>
              <w:t>低浓度瓦斯综合利用项目</w:t>
            </w:r>
            <w:r>
              <w:rPr>
                <w:rFonts w:hint="eastAsia" w:ascii="宋体" w:hAnsi="宋体" w:eastAsia="宋体" w:cs="宋体"/>
                <w:b/>
                <w:bCs/>
                <w:sz w:val="20"/>
                <w:szCs w:val="20"/>
              </w:rPr>
              <w:t>：</w:t>
            </w:r>
            <w:r>
              <w:rPr>
                <w:rFonts w:hint="eastAsia" w:ascii="宋体" w:hAnsi="宋体" w:eastAsia="宋体" w:cs="宋体"/>
                <w:sz w:val="20"/>
                <w:szCs w:val="20"/>
                <w:highlight w:val="none"/>
                <w:lang w:val="en-US" w:eastAsia="zh-CN"/>
              </w:rPr>
              <w:t>依托煤层气开发投资有限公司，采用低浓度瓦斯发电、蓄热氧化(RT0)等成熟工艺技术，对全部重点煤矿布局实施，覆盖龙港镇里必、三沟鑫都等煤矿；郑庄镇东大、郑庄等煤矿；嘉峰镇寺河、永红等煤矿；端氏镇端氏、坪上等煤矿；胡底乡玉溪、胡底等煤矿；中村镇中村、东沟等煤矿区域抽采低浓度瓦斯（含8%以下）进行集中收集、净化利用，杜绝直接排空，实现煤矿瓦斯近零排放、能源回收、碳减排。</w:t>
            </w:r>
          </w:p>
          <w:p w14:paraId="21B3016B">
            <w:pPr>
              <w:overflowPunct w:val="0"/>
              <w:spacing w:line="360" w:lineRule="exact"/>
              <w:ind w:firstLine="402"/>
              <w:rPr>
                <w:rFonts w:hint="eastAsia" w:ascii="宋体" w:hAnsi="宋体" w:eastAsia="宋体" w:cs="宋体"/>
                <w:sz w:val="20"/>
                <w:szCs w:val="20"/>
                <w:highlight w:val="none"/>
                <w:lang w:val="en-US" w:eastAsia="zh-CN"/>
              </w:rPr>
            </w:pPr>
            <w:r>
              <w:rPr>
                <w:rFonts w:hint="eastAsia" w:ascii="宋体" w:hAnsi="宋体" w:eastAsia="宋体" w:cs="宋体"/>
                <w:b/>
                <w:bCs/>
                <w:sz w:val="20"/>
                <w:szCs w:val="20"/>
                <w:lang w:val="en-US" w:eastAsia="zh-CN"/>
              </w:rPr>
              <w:t>其他类项目：</w:t>
            </w:r>
            <w:r>
              <w:rPr>
                <w:rFonts w:hint="eastAsia" w:ascii="宋体" w:hAnsi="宋体" w:eastAsia="宋体" w:cs="宋体"/>
                <w:b w:val="0"/>
                <w:bCs w:val="0"/>
                <w:sz w:val="20"/>
                <w:szCs w:val="20"/>
                <w:lang w:val="en-US" w:eastAsia="zh-CN"/>
              </w:rPr>
              <w:t>山西港华煤层气有限公司火炬迁建项目。</w:t>
            </w:r>
          </w:p>
        </w:tc>
      </w:tr>
    </w:tbl>
    <w:p w14:paraId="37118093">
      <w:pPr>
        <w:overflowPunct w:val="0"/>
        <w:spacing w:line="636" w:lineRule="exact"/>
        <w:ind w:firstLine="640"/>
        <w:rPr>
          <w:rFonts w:hint="eastAsia" w:ascii="仿宋_GB2312" w:hAnsi="仿宋_GB2312" w:cs="仿宋_GB2312"/>
          <w:bCs/>
          <w:szCs w:val="32"/>
        </w:rPr>
      </w:pPr>
      <w:bookmarkStart w:id="24" w:name="_Toc3398"/>
    </w:p>
    <w:p w14:paraId="5EA383A2">
      <w:pPr>
        <w:overflowPunct w:val="0"/>
        <w:spacing w:line="636" w:lineRule="exact"/>
        <w:ind w:firstLine="0" w:firstLineChars="0"/>
        <w:jc w:val="center"/>
        <w:outlineLvl w:val="1"/>
        <w:rPr>
          <w:rFonts w:ascii="Times New Roman" w:hAnsi="Times New Roman" w:eastAsia="楷体_GB2312" w:cs="Times New Roman"/>
        </w:rPr>
      </w:pPr>
      <w:bookmarkStart w:id="25" w:name="_Toc553"/>
    </w:p>
    <w:p w14:paraId="6EC3BB09">
      <w:pPr>
        <w:overflowPunct w:val="0"/>
        <w:spacing w:line="636" w:lineRule="exact"/>
        <w:ind w:firstLine="0" w:firstLineChars="0"/>
        <w:jc w:val="center"/>
        <w:outlineLvl w:val="1"/>
        <w:rPr>
          <w:rFonts w:ascii="Times New Roman" w:hAnsi="Times New Roman" w:eastAsia="楷体_GB2312" w:cs="Times New Roman"/>
        </w:rPr>
      </w:pPr>
      <w:r>
        <w:rPr>
          <w:rFonts w:ascii="Times New Roman" w:hAnsi="Times New Roman" w:eastAsia="楷体_GB2312" w:cs="Times New Roman"/>
        </w:rPr>
        <w:t>第三节</w:t>
      </w:r>
      <w:r>
        <w:rPr>
          <w:rFonts w:hint="eastAsia" w:ascii="Times New Roman" w:hAnsi="Times New Roman" w:cs="Times New Roman"/>
        </w:rPr>
        <w:t xml:space="preserve"> </w:t>
      </w:r>
      <w:r>
        <w:rPr>
          <w:rFonts w:ascii="Times New Roman" w:hAnsi="Times New Roman" w:eastAsia="楷体_GB2312" w:cs="Times New Roman"/>
        </w:rPr>
        <w:t xml:space="preserve"> 促进新能源开发利用和消纳转化</w:t>
      </w:r>
      <w:bookmarkEnd w:id="24"/>
      <w:bookmarkEnd w:id="25"/>
    </w:p>
    <w:p w14:paraId="2B447AF6">
      <w:pPr>
        <w:overflowPunct w:val="0"/>
        <w:spacing w:line="636" w:lineRule="exact"/>
        <w:ind w:firstLine="640"/>
        <w:rPr>
          <w:rFonts w:hint="eastAsia" w:ascii="仿宋_GB2312" w:hAnsi="仿宋_GB2312" w:cs="仿宋_GB2312"/>
          <w:bCs/>
          <w:szCs w:val="32"/>
        </w:rPr>
      </w:pPr>
    </w:p>
    <w:p w14:paraId="0BD857D9">
      <w:pPr>
        <w:overflowPunct w:val="0"/>
        <w:spacing w:line="636" w:lineRule="exact"/>
        <w:ind w:firstLine="640"/>
        <w:rPr>
          <w:rFonts w:hint="eastAsia" w:ascii="仿宋_GB2312" w:hAnsi="仿宋_GB2312" w:cs="仿宋_GB2312"/>
          <w:bCs/>
          <w:szCs w:val="32"/>
        </w:rPr>
      </w:pPr>
      <w:r>
        <w:rPr>
          <w:rFonts w:hint="eastAsia" w:ascii="仿宋_GB2312" w:hAnsi="仿宋_GB2312" w:cs="仿宋_GB2312"/>
          <w:bCs/>
          <w:szCs w:val="32"/>
        </w:rPr>
        <w:t>用好我县丰富的风光水气等资源，推动传统能源与新型能源优化组合、协同发展。持续推动集中式项目做大做强、分布式项目做优做精，并适度布局发展新型储能设施和氢能相关产业，持续优化县域电网结构，建设智能电网，构建新型电力系统。</w:t>
      </w:r>
    </w:p>
    <w:p w14:paraId="7DD65A37">
      <w:pPr>
        <w:overflowPunct w:val="0"/>
        <w:spacing w:line="622" w:lineRule="exact"/>
        <w:ind w:firstLine="643"/>
        <w:rPr>
          <w:rFonts w:hint="eastAsia" w:ascii="仿宋_GB2312" w:hAnsi="仿宋_GB2312" w:cs="仿宋_GB2312"/>
          <w:bCs/>
          <w:szCs w:val="32"/>
        </w:rPr>
      </w:pPr>
      <w:r>
        <w:rPr>
          <w:rFonts w:hint="eastAsia" w:ascii="仿宋_GB2312" w:hAnsi="仿宋_GB2312" w:cs="仿宋_GB2312"/>
          <w:b/>
          <w:bCs/>
          <w:kern w:val="0"/>
          <w:szCs w:val="32"/>
        </w:rPr>
        <w:t>推动风电光伏高质量发展</w:t>
      </w:r>
      <w:r>
        <w:rPr>
          <w:rFonts w:hint="eastAsia" w:ascii="仿宋_GB2312" w:hAnsi="仿宋_GB2312" w:cs="仿宋_GB2312"/>
          <w:b/>
          <w:szCs w:val="32"/>
        </w:rPr>
        <w:t>。</w:t>
      </w:r>
      <w:r>
        <w:rPr>
          <w:rFonts w:hint="eastAsia" w:ascii="仿宋_GB2312" w:hAnsi="仿宋_GB2312" w:cs="仿宋_GB2312"/>
          <w:bCs/>
          <w:szCs w:val="32"/>
        </w:rPr>
        <w:t>加快风电光伏重大项目建设，持续提高新能源和可再生能源装机占比。科学布局光伏发电项目，推动光伏资源高效利用，</w:t>
      </w:r>
      <w:r>
        <w:rPr>
          <w:rFonts w:hint="eastAsia" w:ascii="仿宋_GB2312" w:hAnsi="仿宋_GB2312" w:cs="仿宋_GB2312"/>
          <w:bCs/>
          <w:szCs w:val="32"/>
          <w:lang w:val="en-US" w:eastAsia="zh-CN"/>
        </w:rPr>
        <w:t>重点推动大唐龙港、大唐固县、国彤、 粤电二期等5个集中式光伏项目和山西电建龙港、华电柿庄、华电固县等3个分布式光伏项目落地。</w:t>
      </w:r>
      <w:r>
        <w:rPr>
          <w:rFonts w:hint="eastAsia" w:ascii="仿宋_GB2312" w:hAnsi="仿宋_GB2312" w:cs="仿宋_GB2312"/>
          <w:bCs/>
          <w:szCs w:val="32"/>
        </w:rPr>
        <w:t>到2030年末，全县光伏装机容量达到</w:t>
      </w:r>
      <w:r>
        <w:rPr>
          <w:rFonts w:hint="eastAsia" w:ascii="仿宋_GB2312" w:hAnsi="仿宋_GB2312" w:cs="仿宋_GB2312"/>
          <w:szCs w:val="32"/>
        </w:rPr>
        <w:t>1800</w:t>
      </w:r>
      <w:r>
        <w:rPr>
          <w:rFonts w:hint="eastAsia" w:ascii="仿宋_GB2312" w:hAnsi="仿宋_GB2312" w:cs="仿宋_GB2312"/>
          <w:bCs/>
          <w:szCs w:val="32"/>
        </w:rPr>
        <w:t>兆瓦。推动风能资源有序利用，积极引进国内先进低风速发电技术，</w:t>
      </w:r>
      <w:r>
        <w:rPr>
          <w:rFonts w:hint="eastAsia" w:ascii="仿宋_GB2312" w:hAnsi="仿宋_GB2312" w:cs="仿宋_GB2312"/>
          <w:szCs w:val="32"/>
        </w:rPr>
        <w:t>推动富鸿沟口、兰花二期、山西华电3个风电项目落地投产</w:t>
      </w:r>
      <w:r>
        <w:rPr>
          <w:rFonts w:hint="eastAsia" w:ascii="仿宋_GB2312" w:hAnsi="仿宋_GB2312" w:cs="仿宋_GB2312"/>
          <w:bCs/>
          <w:szCs w:val="32"/>
        </w:rPr>
        <w:t>，同时结合乡村振兴、驭风行动，在有条件的农村规划一批分散式风电项目。到2030年全县风电装机容量达到640兆瓦。</w:t>
      </w:r>
    </w:p>
    <w:p w14:paraId="234FFDF9">
      <w:pPr>
        <w:overflowPunct w:val="0"/>
        <w:spacing w:line="622" w:lineRule="exact"/>
        <w:ind w:firstLine="643"/>
        <w:rPr>
          <w:rFonts w:hint="eastAsia" w:ascii="仿宋_GB2312" w:hAnsi="仿宋_GB2312" w:cs="仿宋_GB2312"/>
          <w:bCs/>
          <w:szCs w:val="32"/>
        </w:rPr>
      </w:pPr>
      <w:r>
        <w:rPr>
          <w:rFonts w:hint="eastAsia" w:ascii="仿宋_GB2312" w:hAnsi="仿宋_GB2312" w:cs="仿宋_GB2312"/>
          <w:b/>
          <w:bCs/>
          <w:kern w:val="0"/>
          <w:szCs w:val="32"/>
        </w:rPr>
        <w:t>适度发展其他新能源。</w:t>
      </w:r>
      <w:r>
        <w:rPr>
          <w:rFonts w:hint="eastAsia" w:ascii="仿宋_GB2312" w:hAnsi="仿宋_GB2312" w:cs="仿宋_GB2312"/>
          <w:szCs w:val="32"/>
        </w:rPr>
        <w:t>适度发展生物质能源，引导企业推进生物质制天然气及发电项目，增加清洁能源供应。开展沁水</w:t>
      </w:r>
      <w:r>
        <w:rPr>
          <w:rFonts w:hint="eastAsia" w:ascii="仿宋_GB2312" w:hAnsi="仿宋_GB2312" w:cs="仿宋_GB2312"/>
          <w:bCs/>
          <w:szCs w:val="32"/>
        </w:rPr>
        <w:t>盆地南部中低温地热能勘查工作，积极开发利用郑庄片区有价值的地热能资源。</w:t>
      </w:r>
    </w:p>
    <w:p w14:paraId="4ECEF506">
      <w:pPr>
        <w:overflowPunct w:val="0"/>
        <w:spacing w:line="622" w:lineRule="exact"/>
        <w:ind w:firstLine="643"/>
        <w:rPr>
          <w:rFonts w:hint="eastAsia" w:ascii="仿宋_GB2312" w:hAnsi="仿宋_GB2312" w:cs="仿宋_GB2312"/>
          <w:bCs/>
          <w:szCs w:val="32"/>
        </w:rPr>
      </w:pPr>
      <w:r>
        <w:rPr>
          <w:rFonts w:hint="eastAsia" w:ascii="仿宋_GB2312" w:hAnsi="仿宋_GB2312" w:cs="仿宋_GB2312"/>
          <w:b/>
          <w:szCs w:val="32"/>
        </w:rPr>
        <w:t>协同推进抽水蓄能和新型储能。</w:t>
      </w:r>
      <w:r>
        <w:rPr>
          <w:rFonts w:hint="eastAsia" w:ascii="仿宋_GB2312" w:hAnsi="仿宋_GB2312" w:cs="仿宋_GB2312"/>
          <w:bCs/>
          <w:szCs w:val="32"/>
        </w:rPr>
        <w:t>积极有序开发建设抽水蓄能，促进新型储能多元化发展和多场景应用。积极推进</w:t>
      </w:r>
      <w:r>
        <w:rPr>
          <w:rFonts w:hint="eastAsia" w:ascii="仿宋_GB2312" w:hAnsi="仿宋_GB2312" w:cs="仿宋_GB2312"/>
          <w:szCs w:val="32"/>
        </w:rPr>
        <w:t>抽水蓄能电站</w:t>
      </w:r>
      <w:r>
        <w:rPr>
          <w:rFonts w:hint="eastAsia" w:ascii="仿宋_GB2312" w:hAnsi="仿宋_GB2312" w:cs="仿宋_GB2312"/>
          <w:bCs/>
          <w:szCs w:val="32"/>
        </w:rPr>
        <w:t>建设，实施小水电站整改废除和扩容增效工程，进一步规范水电设施。开展抽水蓄能资源普查，合理储备抽水蓄能项目，强化电站安全管理。</w:t>
      </w:r>
      <w:r>
        <w:rPr>
          <w:rFonts w:hint="eastAsia" w:ascii="仿宋_GB2312"/>
          <w:spacing w:val="4"/>
          <w:sz w:val="31"/>
          <w:szCs w:val="31"/>
        </w:rPr>
        <w:t>稳步推动新型储能建设。</w:t>
      </w:r>
      <w:r>
        <w:rPr>
          <w:rFonts w:hint="eastAsia" w:ascii="仿宋_GB2312" w:hAnsi="仿宋_GB2312" w:cs="仿宋_GB2312"/>
          <w:bCs/>
          <w:szCs w:val="32"/>
        </w:rPr>
        <w:t>推动各类新型储能技术规模化商业化应用，促进新型储能应用场景拓展，谋划建设共享储能电站、系统友好型新能源电站，联合布局虚拟电厂、换电重卡等综合智慧能源项目，推动新型储能利用水平提升。</w:t>
      </w:r>
    </w:p>
    <w:p w14:paraId="2B37E111">
      <w:pPr>
        <w:overflowPunct w:val="0"/>
        <w:spacing w:line="622" w:lineRule="exact"/>
        <w:ind w:firstLine="643"/>
        <w:rPr>
          <w:rFonts w:hint="eastAsia" w:ascii="仿宋_GB2312" w:hAnsi="仿宋_GB2312" w:cs="仿宋_GB2312"/>
          <w:bCs/>
          <w:szCs w:val="32"/>
        </w:rPr>
      </w:pPr>
      <w:r>
        <w:rPr>
          <w:rStyle w:val="39"/>
          <w:rFonts w:hint="eastAsia" w:ascii="仿宋_GB2312" w:hAnsi="仿宋_GB2312" w:cs="仿宋_GB2312"/>
          <w:b/>
          <w:bCs/>
          <w:szCs w:val="32"/>
          <w:shd w:val="clear" w:color="auto" w:fill="FFFFFF"/>
        </w:rPr>
        <w:t>加快构建新型电力系统。</w:t>
      </w:r>
      <w:r>
        <w:rPr>
          <w:rStyle w:val="39"/>
          <w:rFonts w:hint="eastAsia" w:ascii="仿宋_GB2312" w:hAnsi="仿宋_GB2312" w:cs="仿宋_GB2312"/>
          <w:szCs w:val="32"/>
          <w:shd w:val="clear" w:color="auto" w:fill="FFFFFF"/>
        </w:rPr>
        <w:t>依托数字技术和智能化手段，建设智能沁水电网，促进可再生能源大规模、高比例发展。</w:t>
      </w:r>
      <w:r>
        <w:rPr>
          <w:rFonts w:hint="eastAsia" w:ascii="仿宋_GB2312" w:hAnsi="仿宋_GB2312" w:cs="仿宋_GB2312"/>
          <w:bCs/>
          <w:szCs w:val="32"/>
        </w:rPr>
        <w:t>优化县域电网骨架结构，规划建设沁水经济技术开发区、沁水西、苏庄</w:t>
      </w:r>
      <w:r>
        <w:rPr>
          <w:rStyle w:val="39"/>
          <w:rFonts w:hint="eastAsia" w:ascii="仿宋_GB2312" w:hAnsi="仿宋_GB2312" w:cs="仿宋_GB2312"/>
          <w:szCs w:val="32"/>
          <w:shd w:val="clear" w:color="auto" w:fill="FFFFFF"/>
        </w:rPr>
        <w:t>3</w:t>
      </w:r>
      <w:r>
        <w:rPr>
          <w:rFonts w:hint="eastAsia" w:ascii="仿宋_GB2312" w:hAnsi="仿宋_GB2312" w:cs="仿宋_GB2312"/>
          <w:bCs/>
          <w:szCs w:val="32"/>
        </w:rPr>
        <w:t>座220kV变电站，提高供电能力。推进多能互补和源网荷储一体化融合发展。升级改造配电网，提升配电网分布式电源接纳能力，以满足电动汽车充电设施等新型用电主体规模化发展对配电网需求。加快农村低压电网改造，满足分布式项目接入需求以及农村地区用电快速增长需求。到2030年，全县智能电网和新型电力系统初步建成，电力行业总装机容量达到2550兆瓦，发电量达到40亿度，全社会用电量达到45亿度。</w:t>
      </w:r>
    </w:p>
    <w:p w14:paraId="19C2105C">
      <w:pPr>
        <w:pStyle w:val="11"/>
        <w:overflowPunct w:val="0"/>
        <w:spacing w:after="156" w:afterLines="50" w:line="622" w:lineRule="exact"/>
        <w:ind w:left="0" w:leftChars="0" w:firstLine="0" w:firstLineChars="0"/>
        <w:jc w:val="center"/>
        <w:rPr>
          <w:rFonts w:ascii="黑体" w:hAnsi="黑体" w:eastAsia="黑体" w:cs="黑体"/>
          <w:szCs w:val="30"/>
        </w:rPr>
      </w:pPr>
      <w:r>
        <w:rPr>
          <w:rFonts w:ascii="黑体" w:hAnsi="黑体" w:eastAsia="黑体" w:cs="黑体"/>
          <w:szCs w:val="30"/>
        </w:rPr>
        <w:t>专栏4  新能源产业</w:t>
      </w:r>
      <w:r>
        <w:rPr>
          <w:rFonts w:hint="eastAsia" w:ascii="黑体" w:hAnsi="黑体" w:eastAsia="黑体" w:cs="黑体"/>
          <w:szCs w:val="30"/>
          <w:lang w:eastAsia="zh-CN"/>
        </w:rPr>
        <w:t>重点</w:t>
      </w:r>
      <w:r>
        <w:rPr>
          <w:rFonts w:ascii="黑体" w:hAnsi="黑体" w:eastAsia="黑体" w:cs="黑体"/>
          <w:szCs w:val="30"/>
        </w:rPr>
        <w:t>项目</w:t>
      </w:r>
    </w:p>
    <w:tbl>
      <w:tblPr>
        <w:tblStyle w:val="21"/>
        <w:tblW w:w="906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9060"/>
      </w:tblGrid>
      <w:tr w14:paraId="036C1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060" w:type="dxa"/>
            <w:tcBorders>
              <w:tl2br w:val="nil"/>
              <w:tr2bl w:val="nil"/>
            </w:tcBorders>
            <w:vAlign w:val="center"/>
          </w:tcPr>
          <w:p w14:paraId="5D75378F">
            <w:pPr>
              <w:keepNext w:val="0"/>
              <w:keepLines w:val="0"/>
              <w:widowControl/>
              <w:suppressLineNumbers w:val="0"/>
              <w:snapToGrid w:val="0"/>
              <w:jc w:val="left"/>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光伏项目：</w:t>
            </w:r>
            <w:r>
              <w:rPr>
                <w:rFonts w:hint="eastAsia" w:asciiTheme="majorEastAsia" w:hAnsiTheme="majorEastAsia" w:eastAsiaTheme="majorEastAsia" w:cstheme="majorEastAsia"/>
                <w:sz w:val="20"/>
                <w:szCs w:val="20"/>
                <w:lang w:val="en-US" w:eastAsia="zh-CN"/>
              </w:rPr>
              <w:t>推动龙港 100MW 光伏发电、固县柿庄 100MW 光伏发电项目、国彤一期 100MW 光伏发电项目、国彤二期 100MW 光伏发电项目、沁水县 100MW 光伏发电项目等 5 个集中式光伏项目和龙港 20MW 光伏发电、柿庄 20MW 分布式光伏项目、固县 20MW 分布式光伏项目等4个分布式光伏项目落地。</w:t>
            </w:r>
          </w:p>
          <w:p w14:paraId="79DF65DA">
            <w:pPr>
              <w:overflowPunct w:val="0"/>
              <w:snapToGrid w:val="0"/>
              <w:spacing w:line="400" w:lineRule="exact"/>
              <w:ind w:left="0" w:leftChars="0" w:firstLine="402" w:firstLineChars="200"/>
              <w:jc w:val="both"/>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风电项目：</w:t>
            </w:r>
            <w:r>
              <w:rPr>
                <w:rFonts w:hint="eastAsia" w:asciiTheme="majorEastAsia" w:hAnsiTheme="majorEastAsia" w:eastAsiaTheme="majorEastAsia" w:cstheme="majorEastAsia"/>
                <w:sz w:val="20"/>
                <w:szCs w:val="20"/>
              </w:rPr>
              <w:t>推动沁水50MW风电、</w:t>
            </w:r>
            <w:r>
              <w:rPr>
                <w:rFonts w:hint="eastAsia" w:asciiTheme="majorEastAsia" w:hAnsiTheme="majorEastAsia" w:eastAsiaTheme="majorEastAsia" w:cstheme="majorEastAsia"/>
                <w:sz w:val="20"/>
                <w:szCs w:val="20"/>
                <w:lang w:val="en-US" w:eastAsia="zh-CN"/>
              </w:rPr>
              <w:t>山西华电</w:t>
            </w:r>
            <w:r>
              <w:rPr>
                <w:rFonts w:hint="eastAsia" w:asciiTheme="majorEastAsia" w:hAnsiTheme="majorEastAsia" w:eastAsiaTheme="majorEastAsia" w:cstheme="majorEastAsia"/>
                <w:sz w:val="20"/>
                <w:szCs w:val="20"/>
              </w:rPr>
              <w:t>沁水</w:t>
            </w:r>
            <w:r>
              <w:rPr>
                <w:rFonts w:hint="eastAsia" w:asciiTheme="majorEastAsia" w:hAnsiTheme="majorEastAsia" w:eastAsiaTheme="majorEastAsia" w:cstheme="majorEastAsia"/>
                <w:sz w:val="20"/>
                <w:szCs w:val="20"/>
                <w:lang w:val="en-US" w:eastAsia="zh-CN"/>
              </w:rPr>
              <w:t>200MW风电、中煤华晋沁水（一期）100MW风电、沁水鸿富沟口150MW风电</w:t>
            </w:r>
            <w:r>
              <w:rPr>
                <w:rFonts w:hint="eastAsia" w:asciiTheme="majorEastAsia" w:hAnsiTheme="majorEastAsia" w:eastAsiaTheme="majorEastAsia" w:cstheme="majorEastAsia"/>
                <w:sz w:val="20"/>
                <w:szCs w:val="20"/>
                <w:lang w:eastAsia="zh-CN"/>
              </w:rPr>
              <w:t>等</w:t>
            </w:r>
            <w:r>
              <w:rPr>
                <w:rFonts w:hint="eastAsia" w:asciiTheme="majorEastAsia" w:hAnsiTheme="majorEastAsia" w:eastAsiaTheme="majorEastAsia" w:cstheme="majorEastAsia"/>
                <w:sz w:val="20"/>
                <w:szCs w:val="20"/>
                <w:lang w:val="en-US" w:eastAsia="zh-CN"/>
              </w:rPr>
              <w:t>项目</w:t>
            </w:r>
            <w:r>
              <w:rPr>
                <w:rFonts w:hint="eastAsia" w:asciiTheme="majorEastAsia" w:hAnsiTheme="majorEastAsia" w:eastAsiaTheme="majorEastAsia" w:cstheme="majorEastAsia"/>
                <w:sz w:val="20"/>
                <w:szCs w:val="20"/>
              </w:rPr>
              <w:t>落地投产。</w:t>
            </w:r>
          </w:p>
          <w:p w14:paraId="0A535150">
            <w:pPr>
              <w:overflowPunct w:val="0"/>
              <w:snapToGrid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生物质能源开发利用项目：</w:t>
            </w:r>
            <w:r>
              <w:rPr>
                <w:rFonts w:hint="eastAsia" w:asciiTheme="majorEastAsia" w:hAnsiTheme="majorEastAsia" w:eastAsiaTheme="majorEastAsia" w:cstheme="majorEastAsia"/>
                <w:sz w:val="20"/>
                <w:szCs w:val="20"/>
              </w:rPr>
              <w:t>持续推进生物质能源开发利用项目，实现生物天然气及有机肥生态循环利用。</w:t>
            </w:r>
          </w:p>
          <w:p w14:paraId="396330DF">
            <w:pPr>
              <w:overflowPunct w:val="0"/>
              <w:snapToGrid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抽水蓄能电站项目：</w:t>
            </w:r>
            <w:r>
              <w:rPr>
                <w:rFonts w:hint="eastAsia" w:asciiTheme="majorEastAsia" w:hAnsiTheme="majorEastAsia" w:eastAsiaTheme="majorEastAsia" w:cstheme="majorEastAsia"/>
                <w:sz w:val="20"/>
                <w:szCs w:val="20"/>
              </w:rPr>
              <w:t>推进沁水120万千瓦抽水蓄能电站</w:t>
            </w:r>
            <w:r>
              <w:rPr>
                <w:rFonts w:hint="eastAsia" w:asciiTheme="majorEastAsia" w:hAnsiTheme="majorEastAsia" w:eastAsiaTheme="majorEastAsia" w:cstheme="majorEastAsia"/>
                <w:sz w:val="20"/>
                <w:szCs w:val="20"/>
                <w:highlight w:val="none"/>
                <w:lang w:val="en-US" w:eastAsia="zh-CN"/>
              </w:rPr>
              <w:t>获批</w:t>
            </w:r>
            <w:r>
              <w:rPr>
                <w:rFonts w:hint="eastAsia" w:asciiTheme="majorEastAsia" w:hAnsiTheme="majorEastAsia" w:eastAsiaTheme="majorEastAsia" w:cstheme="majorEastAsia"/>
                <w:sz w:val="20"/>
                <w:szCs w:val="20"/>
              </w:rPr>
              <w:t>建设。</w:t>
            </w:r>
          </w:p>
          <w:p w14:paraId="2D56A771">
            <w:pPr>
              <w:overflowPunct w:val="0"/>
              <w:snapToGrid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新型储能电站项目：</w:t>
            </w:r>
            <w:r>
              <w:rPr>
                <w:rFonts w:hint="eastAsia" w:asciiTheme="majorEastAsia" w:hAnsiTheme="majorEastAsia" w:eastAsiaTheme="majorEastAsia" w:cstheme="majorEastAsia"/>
                <w:sz w:val="20"/>
                <w:szCs w:val="20"/>
              </w:rPr>
              <w:t>推动龙港100MW/200MWh储能项目、高庄100MW混合储能调频项目、沁水200MW/400MWh独立储能项目等开工建设。</w:t>
            </w:r>
          </w:p>
          <w:p w14:paraId="1620CD2E">
            <w:pPr>
              <w:overflowPunct w:val="0"/>
              <w:snapToGrid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电网改造项目：</w:t>
            </w:r>
            <w:r>
              <w:rPr>
                <w:rFonts w:hint="eastAsia" w:asciiTheme="majorEastAsia" w:hAnsiTheme="majorEastAsia" w:eastAsiaTheme="majorEastAsia" w:cstheme="majorEastAsia"/>
                <w:sz w:val="20"/>
                <w:szCs w:val="20"/>
              </w:rPr>
              <w:t>规划建设沁水经济技术开发区、沁水西、苏庄3座220kV变电站。</w:t>
            </w:r>
          </w:p>
        </w:tc>
      </w:tr>
    </w:tbl>
    <w:p w14:paraId="64B6A647">
      <w:pPr>
        <w:overflowPunct w:val="0"/>
        <w:spacing w:line="622" w:lineRule="exact"/>
        <w:ind w:firstLine="640"/>
        <w:rPr>
          <w:rFonts w:ascii="Times New Roman" w:hAnsi="Times New Roman" w:eastAsia="楷体_GB2312" w:cs="Times New Roman"/>
        </w:rPr>
      </w:pPr>
      <w:bookmarkStart w:id="26" w:name="_Toc1698"/>
    </w:p>
    <w:p w14:paraId="4E15EB40">
      <w:pPr>
        <w:overflowPunct w:val="0"/>
        <w:spacing w:line="636" w:lineRule="exact"/>
        <w:ind w:firstLine="0" w:firstLineChars="0"/>
        <w:jc w:val="center"/>
        <w:outlineLvl w:val="1"/>
        <w:rPr>
          <w:rFonts w:ascii="Times New Roman" w:hAnsi="Times New Roman" w:eastAsia="楷体_GB2312" w:cs="Times New Roman"/>
        </w:rPr>
      </w:pPr>
      <w:bookmarkStart w:id="27" w:name="_Toc1655"/>
      <w:r>
        <w:rPr>
          <w:rFonts w:ascii="Times New Roman" w:hAnsi="Times New Roman" w:eastAsia="楷体_GB2312" w:cs="Times New Roman"/>
        </w:rPr>
        <w:t xml:space="preserve">第四节 </w:t>
      </w:r>
      <w:r>
        <w:rPr>
          <w:rFonts w:hint="eastAsia" w:ascii="Times New Roman" w:hAnsi="Times New Roman" w:eastAsia="楷体_GB2312" w:cs="Times New Roman"/>
        </w:rPr>
        <w:t xml:space="preserve"> </w:t>
      </w:r>
      <w:r>
        <w:rPr>
          <w:rFonts w:ascii="Times New Roman" w:hAnsi="Times New Roman" w:eastAsia="楷体_GB2312" w:cs="Times New Roman"/>
        </w:rPr>
        <w:t>打造绿电与产业协同发展新模式</w:t>
      </w:r>
      <w:bookmarkEnd w:id="26"/>
      <w:bookmarkEnd w:id="27"/>
    </w:p>
    <w:p w14:paraId="4E4E4A9A">
      <w:pPr>
        <w:overflowPunct w:val="0"/>
        <w:spacing w:line="622" w:lineRule="exact"/>
        <w:ind w:firstLine="640"/>
        <w:rPr>
          <w:rFonts w:hint="eastAsia" w:ascii="仿宋_GB2312" w:hAnsi="仿宋_GB2312" w:cs="仿宋_GB2312"/>
          <w:szCs w:val="32"/>
        </w:rPr>
      </w:pPr>
    </w:p>
    <w:p w14:paraId="6DC5490B">
      <w:pPr>
        <w:overflowPunct w:val="0"/>
        <w:spacing w:line="622" w:lineRule="exact"/>
        <w:ind w:firstLine="640"/>
        <w:rPr>
          <w:rFonts w:hint="eastAsia" w:ascii="仿宋_GB2312" w:hAnsi="仿宋_GB2312" w:cs="仿宋_GB2312"/>
          <w:spacing w:val="-6"/>
          <w:szCs w:val="32"/>
        </w:rPr>
      </w:pPr>
      <w:r>
        <w:rPr>
          <w:rFonts w:hint="eastAsia" w:ascii="仿宋_GB2312" w:hAnsi="仿宋_GB2312" w:cs="仿宋_GB2312"/>
          <w:szCs w:val="32"/>
        </w:rPr>
        <w:t>做</w:t>
      </w:r>
      <w:r>
        <w:rPr>
          <w:rFonts w:hint="eastAsia" w:ascii="仿宋_GB2312" w:hAnsi="仿宋_GB2312" w:cs="仿宋_GB2312"/>
          <w:spacing w:val="-6"/>
          <w:szCs w:val="32"/>
        </w:rPr>
        <w:t>好“绿色能源+”和绿电大文章，深化重点领域电气化改造，推动绿电与先进高载能产业等产业协同发展，增强新能源高水平就地就近消纳，促进新型能源体系和现代化产业体系融合发展。</w:t>
      </w:r>
    </w:p>
    <w:p w14:paraId="449018EA">
      <w:pPr>
        <w:overflowPunct w:val="0"/>
        <w:spacing w:line="622" w:lineRule="exact"/>
        <w:ind w:firstLine="643"/>
        <w:rPr>
          <w:rFonts w:hint="eastAsia" w:ascii="仿宋_GB2312" w:hAnsi="仿宋_GB2312" w:cs="仿宋_GB2312"/>
          <w:bCs/>
          <w:szCs w:val="32"/>
        </w:rPr>
      </w:pPr>
      <w:r>
        <w:rPr>
          <w:rFonts w:hint="eastAsia" w:ascii="仿宋_GB2312" w:hAnsi="仿宋_GB2312" w:cs="仿宋_GB2312"/>
          <w:b/>
          <w:bCs/>
          <w:kern w:val="0"/>
          <w:szCs w:val="32"/>
        </w:rPr>
        <w:t>加</w:t>
      </w:r>
      <w:r>
        <w:rPr>
          <w:rFonts w:hint="eastAsia" w:ascii="仿宋_GB2312" w:hAnsi="仿宋_GB2312" w:cs="仿宋_GB2312"/>
          <w:b/>
          <w:bCs/>
          <w:spacing w:val="6"/>
          <w:kern w:val="0"/>
          <w:szCs w:val="32"/>
        </w:rPr>
        <w:t>快推动绿电园区建设。</w:t>
      </w:r>
      <w:r>
        <w:rPr>
          <w:rFonts w:hint="eastAsia" w:ascii="仿宋_GB2312" w:hAnsi="仿宋_GB2312" w:cs="仿宋_GB2312"/>
          <w:bCs/>
          <w:spacing w:val="6"/>
          <w:szCs w:val="32"/>
        </w:rPr>
        <w:t>充分挖掘和利用县内绿电资源，创新绿电供给机制，打造集中式绿电直连、分布式绿电就地消纳、绿电绿证交易的多途径绿电供应的绿电园区新模式，加快绿电就地转化。重点推动开发区绿电园区建设项目，</w:t>
      </w:r>
      <w:r>
        <w:rPr>
          <w:rFonts w:hint="eastAsia" w:ascii="仿宋_GB2312" w:hAnsi="仿宋_GB2312" w:cs="仿宋_GB2312"/>
          <w:bCs/>
          <w:spacing w:val="6"/>
          <w:szCs w:val="32"/>
          <w:lang w:val="zh-CN"/>
        </w:rPr>
        <w:t>推进绿电直连试点示范，</w:t>
      </w:r>
      <w:r>
        <w:rPr>
          <w:rFonts w:hint="eastAsia" w:ascii="仿宋_GB2312" w:hAnsi="仿宋_GB2312" w:cs="仿宋_GB2312"/>
          <w:bCs/>
          <w:spacing w:val="6"/>
          <w:szCs w:val="32"/>
        </w:rPr>
        <w:t>推广“绿电+虚拟电厂”“绿电+源网荷储”等“绿电+”新业态应用模式，实现绿电与产业协同发展。</w:t>
      </w:r>
      <w:r>
        <w:rPr>
          <w:rFonts w:hint="eastAsia" w:ascii="仿宋_GB2312" w:hAnsi="仿宋_GB2312" w:cs="仿宋_GB2312"/>
          <w:bCs/>
          <w:spacing w:val="6"/>
          <w:szCs w:val="32"/>
          <w:lang w:val="zh-CN"/>
        </w:rPr>
        <w:t>用好绿电优势，提升绿电竞争力和要素成本竞争力，精准有效承接产业转移。</w:t>
      </w:r>
    </w:p>
    <w:p w14:paraId="0BC2BC81">
      <w:pPr>
        <w:overflowPunct w:val="0"/>
        <w:spacing w:line="622" w:lineRule="exact"/>
        <w:ind w:firstLine="643"/>
        <w:rPr>
          <w:rFonts w:hint="eastAsia" w:ascii="仿宋_GB2312" w:hAnsi="仿宋_GB2312" w:cs="仿宋_GB2312"/>
          <w:kern w:val="0"/>
          <w:szCs w:val="32"/>
        </w:rPr>
      </w:pPr>
      <w:r>
        <w:rPr>
          <w:rFonts w:hint="eastAsia" w:ascii="仿宋_GB2312" w:hAnsi="仿宋_GB2312" w:cs="仿宋_GB2312"/>
          <w:b/>
          <w:bCs/>
          <w:szCs w:val="32"/>
        </w:rPr>
        <w:t>推</w:t>
      </w:r>
      <w:r>
        <w:rPr>
          <w:rFonts w:hint="eastAsia" w:ascii="仿宋_GB2312" w:hAnsi="仿宋_GB2312" w:cs="仿宋_GB2312"/>
          <w:b/>
          <w:bCs/>
          <w:spacing w:val="-6"/>
          <w:szCs w:val="32"/>
        </w:rPr>
        <w:t>动新能源与先进高载能产业融合发展</w:t>
      </w:r>
      <w:r>
        <w:rPr>
          <w:rFonts w:hint="eastAsia" w:ascii="仿宋_GB2312" w:hAnsi="仿宋_GB2312" w:cs="仿宋_GB2312"/>
          <w:spacing w:val="-6"/>
          <w:szCs w:val="32"/>
        </w:rPr>
        <w:t>。</w:t>
      </w:r>
      <w:r>
        <w:rPr>
          <w:rFonts w:hint="eastAsia" w:ascii="仿宋_GB2312" w:hAnsi="仿宋_GB2312" w:cs="仿宋_GB2312"/>
          <w:spacing w:val="-6"/>
          <w:kern w:val="0"/>
          <w:szCs w:val="32"/>
        </w:rPr>
        <w:t>促进新能源与本地产业发展深度耦合，加快形成电价洼地，</w:t>
      </w:r>
      <w:r>
        <w:rPr>
          <w:rFonts w:hint="eastAsia" w:ascii="仿宋_GB2312" w:hAnsi="仿宋_GB2312" w:cs="仿宋_GB2312"/>
          <w:bCs/>
          <w:spacing w:val="-6"/>
          <w:szCs w:val="32"/>
        </w:rPr>
        <w:t>积极引进碳基新材料产业、装备制造产业、大数据产业等高载能产业，促进向“绿载能”产业转变。</w:t>
      </w:r>
      <w:r>
        <w:rPr>
          <w:rFonts w:hint="eastAsia" w:ascii="仿宋_GB2312" w:hAnsi="仿宋_GB2312" w:cs="仿宋_GB2312"/>
          <w:spacing w:val="-6"/>
          <w:kern w:val="0"/>
          <w:szCs w:val="32"/>
        </w:rPr>
        <w:t>通过绿电电价优势和绿证调控，推动产业升级，吸引和布局先进高载能产业落户我县，培育新质生产力。推动新能源与碳基新材料产业、精细煤化工产业、装备制造产业协同深入推进，推动传统能源产业向绿色化、低碳化升级。推动新能源与大数据产业融合发展，打造“瓦斯发电+数据中心”的绿色智算中心。</w:t>
      </w:r>
    </w:p>
    <w:p w14:paraId="48C64C3F">
      <w:pPr>
        <w:overflowPunct w:val="0"/>
        <w:spacing w:line="622" w:lineRule="exact"/>
        <w:ind w:firstLine="640"/>
        <w:rPr>
          <w:rFonts w:ascii="Times New Roman" w:hAnsi="Times New Roman" w:cs="Times New Roman"/>
        </w:rPr>
      </w:pPr>
      <w:bookmarkStart w:id="28" w:name="_Toc9635"/>
    </w:p>
    <w:p w14:paraId="7A67ED3E">
      <w:pPr>
        <w:overflowPunct w:val="0"/>
        <w:spacing w:line="636" w:lineRule="exact"/>
        <w:ind w:firstLine="0" w:firstLineChars="0"/>
        <w:jc w:val="center"/>
        <w:outlineLvl w:val="1"/>
        <w:rPr>
          <w:rFonts w:ascii="Times New Roman" w:hAnsi="Times New Roman" w:eastAsia="楷体_GB2312" w:cs="Times New Roman"/>
        </w:rPr>
      </w:pPr>
      <w:bookmarkStart w:id="29" w:name="_Toc20731"/>
      <w:r>
        <w:rPr>
          <w:rFonts w:ascii="Times New Roman" w:hAnsi="Times New Roman" w:eastAsia="楷体_GB2312" w:cs="Times New Roman"/>
        </w:rPr>
        <w:t>第五节</w:t>
      </w:r>
      <w:r>
        <w:rPr>
          <w:rFonts w:hint="eastAsia" w:ascii="Times New Roman" w:hAnsi="Times New Roman" w:eastAsia="楷体_GB2312" w:cs="Times New Roman"/>
        </w:rPr>
        <w:t xml:space="preserve"> </w:t>
      </w:r>
      <w:r>
        <w:rPr>
          <w:rFonts w:ascii="Times New Roman" w:hAnsi="Times New Roman" w:eastAsia="楷体_GB2312" w:cs="Times New Roman"/>
        </w:rPr>
        <w:t xml:space="preserve"> 强化能源领域重大风险管控</w:t>
      </w:r>
      <w:bookmarkEnd w:id="28"/>
      <w:bookmarkEnd w:id="29"/>
    </w:p>
    <w:p w14:paraId="000553FF">
      <w:pPr>
        <w:spacing w:line="622" w:lineRule="exact"/>
        <w:ind w:firstLine="640"/>
      </w:pPr>
    </w:p>
    <w:p w14:paraId="67740379">
      <w:pPr>
        <w:overflowPunct w:val="0"/>
        <w:spacing w:line="622" w:lineRule="exact"/>
        <w:ind w:firstLine="640"/>
        <w:rPr>
          <w:rFonts w:hint="eastAsia" w:ascii="仿宋_GB2312" w:hAnsi="仿宋_GB2312" w:cs="仿宋_GB2312"/>
          <w:bCs/>
          <w:szCs w:val="32"/>
        </w:rPr>
      </w:pPr>
      <w:r>
        <w:rPr>
          <w:rFonts w:hint="eastAsia" w:ascii="仿宋_GB2312" w:hAnsi="仿宋_GB2312" w:cs="仿宋_GB2312"/>
          <w:bCs/>
          <w:szCs w:val="32"/>
        </w:rPr>
        <w:t>继续加强对煤炭、煤层气、电力、新能源等重点领域的安全生产管控，全面防范化解安全风险，坚决遏制重特大事故，提高能源行业安全生产整体水平。</w:t>
      </w:r>
    </w:p>
    <w:p w14:paraId="68B62EBE">
      <w:pPr>
        <w:overflowPunct w:val="0"/>
        <w:spacing w:line="622" w:lineRule="exact"/>
        <w:ind w:firstLine="643"/>
        <w:rPr>
          <w:rStyle w:val="39"/>
          <w:rFonts w:hint="eastAsia" w:ascii="仿宋_GB2312" w:hAnsi="仿宋_GB2312" w:cs="仿宋_GB2312"/>
          <w:szCs w:val="32"/>
          <w:shd w:val="clear" w:color="auto" w:fill="FFFFFF"/>
        </w:rPr>
      </w:pPr>
      <w:r>
        <w:rPr>
          <w:rFonts w:hint="eastAsia" w:ascii="仿宋_GB2312" w:hAnsi="仿宋_GB2312" w:cs="仿宋_GB2312"/>
          <w:b/>
          <w:bCs/>
          <w:szCs w:val="32"/>
        </w:rPr>
        <w:t>推进科技兴安与智慧应急。</w:t>
      </w:r>
      <w:r>
        <w:rPr>
          <w:rFonts w:hint="eastAsia" w:ascii="仿宋_GB2312" w:hAnsi="仿宋_GB2312" w:cs="仿宋_GB2312"/>
          <w:kern w:val="0"/>
          <w:szCs w:val="32"/>
        </w:rPr>
        <w:t>充分发挥智慧煤层气指挥调度中心作用，实现安全风险智能感知、早期预警和精准监管。推进企业优化应急预案体系和应急能力现代化，构建更加智慧高效的应急指挥、救援装备和物资保障体系。</w:t>
      </w:r>
    </w:p>
    <w:p w14:paraId="302C2B68">
      <w:pPr>
        <w:overflowPunct w:val="0"/>
        <w:spacing w:line="622" w:lineRule="exact"/>
        <w:ind w:firstLine="643"/>
        <w:rPr>
          <w:rFonts w:hint="eastAsia" w:ascii="仿宋_GB2312" w:hAnsi="仿宋_GB2312" w:cs="仿宋_GB2312"/>
          <w:kern w:val="0"/>
          <w:szCs w:val="32"/>
        </w:rPr>
      </w:pPr>
      <w:r>
        <w:rPr>
          <w:rStyle w:val="39"/>
          <w:rFonts w:hint="eastAsia" w:ascii="仿宋_GB2312" w:hAnsi="仿宋_GB2312" w:cs="仿宋_GB2312"/>
          <w:b/>
          <w:bCs/>
          <w:szCs w:val="32"/>
          <w:shd w:val="clear" w:color="auto" w:fill="FFFFFF"/>
        </w:rPr>
        <w:t>扎实开展安全生产专项行动。</w:t>
      </w:r>
      <w:r>
        <w:rPr>
          <w:rFonts w:hint="eastAsia" w:ascii="仿宋_GB2312" w:hAnsi="仿宋_GB2312" w:cs="仿宋_GB2312"/>
          <w:kern w:val="0"/>
          <w:szCs w:val="32"/>
        </w:rPr>
        <w:t>结合安全生产形势和安委会工作要求，</w:t>
      </w:r>
      <w:r>
        <w:rPr>
          <w:rFonts w:hint="eastAsia" w:ascii="仿宋_GB2312" w:hAnsi="仿宋_GB2312" w:cs="仿宋_GB2312"/>
          <w:bCs/>
          <w:szCs w:val="32"/>
        </w:rPr>
        <w:t>邀请专家“把脉问诊”，加强问题隐患排查整改，</w:t>
      </w:r>
      <w:r>
        <w:rPr>
          <w:rFonts w:hint="eastAsia" w:ascii="仿宋_GB2312" w:hAnsi="仿宋_GB2312" w:cs="仿宋_GB2312"/>
          <w:kern w:val="0"/>
          <w:szCs w:val="32"/>
        </w:rPr>
        <w:t>扎实开展全覆盖、无盲区的相关安全生产专项行动，进一步巩固治本攻坚、体检精查、林电共安、管道安全等安全生产专项行动成果，提升能源行业本质安全水平。</w:t>
      </w:r>
    </w:p>
    <w:p w14:paraId="2989FC57">
      <w:pPr>
        <w:overflowPunct w:val="0"/>
        <w:spacing w:line="622" w:lineRule="exact"/>
        <w:ind w:firstLine="643"/>
        <w:rPr>
          <w:rFonts w:hint="eastAsia" w:ascii="仿宋_GB2312" w:hAnsi="仿宋_GB2312" w:cs="仿宋_GB2312"/>
          <w:kern w:val="0"/>
          <w:szCs w:val="32"/>
        </w:rPr>
      </w:pPr>
      <w:r>
        <w:rPr>
          <w:rStyle w:val="39"/>
          <w:rFonts w:hint="eastAsia" w:ascii="仿宋_GB2312" w:hAnsi="仿宋_GB2312" w:cs="仿宋_GB2312"/>
          <w:b/>
          <w:bCs/>
          <w:szCs w:val="32"/>
          <w:shd w:val="clear" w:color="auto" w:fill="FFFFFF"/>
        </w:rPr>
        <w:t>加强安全监管队伍建设。</w:t>
      </w:r>
      <w:r>
        <w:rPr>
          <w:rFonts w:hint="eastAsia" w:ascii="仿宋_GB2312" w:hAnsi="仿宋_GB2312" w:cs="仿宋_GB2312"/>
          <w:kern w:val="0"/>
          <w:szCs w:val="32"/>
        </w:rPr>
        <w:t>逐步充实安全监管人员力量，加强业务技能学习培训，提升监管队伍综合素质，做到学法懂法普法执法全程高能，打造一支作风硬、能力强、效果好的沁水能源行业安全监管队伍。</w:t>
      </w:r>
    </w:p>
    <w:p w14:paraId="2DA25AFE">
      <w:pPr>
        <w:overflowPunct w:val="0"/>
        <w:spacing w:line="622" w:lineRule="exact"/>
        <w:ind w:firstLine="643"/>
        <w:rPr>
          <w:rFonts w:ascii="Times New Roman" w:hAnsi="Times New Roman" w:cs="Times New Roman"/>
          <w:kern w:val="0"/>
          <w:szCs w:val="32"/>
        </w:rPr>
      </w:pPr>
      <w:r>
        <w:rPr>
          <w:rStyle w:val="39"/>
          <w:rFonts w:hint="eastAsia" w:ascii="仿宋_GB2312" w:hAnsi="仿宋_GB2312" w:cs="仿宋_GB2312"/>
          <w:b/>
          <w:bCs/>
          <w:szCs w:val="32"/>
          <w:shd w:val="clear" w:color="auto" w:fill="FFFFFF"/>
        </w:rPr>
        <w:t>深化安全生产法治化建设。</w:t>
      </w:r>
      <w:r>
        <w:rPr>
          <w:rFonts w:hint="eastAsia" w:ascii="仿宋_GB2312" w:hAnsi="仿宋_GB2312" w:cs="仿宋_GB2312"/>
          <w:kern w:val="0"/>
          <w:szCs w:val="32"/>
        </w:rPr>
        <w:t>深入开展安全生产月等宣传教育活动，提升全民安全意识和自救互救能力。学习贯彻《中华人民共和国安全生产法》“重大隐患判定标准”等法律条文；建立并有效运行全员安全生产责任制和风险分级管控与隐患排查治理双重预防机制，压实企业安全生产主体责任。</w:t>
      </w:r>
      <w:r>
        <w:rPr>
          <w:rFonts w:hint="eastAsia" w:ascii="仿宋_GB2312" w:hAnsi="仿宋_GB2312" w:cs="仿宋_GB2312"/>
          <w:bCs/>
          <w:szCs w:val="32"/>
        </w:rPr>
        <w:t>坚持严格执法、规范执法、精准执法，推广“互联网+执法”模式，坚决打击安全生产违法行为</w:t>
      </w:r>
      <w:r>
        <w:rPr>
          <w:rFonts w:hint="eastAsia" w:ascii="仿宋_GB2312" w:hAnsi="仿宋_GB2312" w:cs="仿宋_GB2312"/>
          <w:kern w:val="0"/>
          <w:szCs w:val="32"/>
        </w:rPr>
        <w:t>。</w:t>
      </w:r>
    </w:p>
    <w:p w14:paraId="48897D64">
      <w:pPr>
        <w:overflowPunct w:val="0"/>
        <w:spacing w:line="622" w:lineRule="exact"/>
        <w:ind w:firstLine="0" w:firstLineChars="0"/>
        <w:rPr>
          <w:rFonts w:eastAsia="黑体" w:cs="Times New Roman"/>
          <w:kern w:val="44"/>
          <w:sz w:val="36"/>
        </w:rPr>
      </w:pPr>
      <w:bookmarkStart w:id="30" w:name="_Toc31250"/>
      <w:bookmarkStart w:id="31" w:name="_Toc14061"/>
      <w:bookmarkStart w:id="32" w:name="_Toc28543"/>
    </w:p>
    <w:p w14:paraId="230C2EEF">
      <w:pPr>
        <w:overflowPunct w:val="0"/>
        <w:spacing w:line="622" w:lineRule="exact"/>
        <w:ind w:firstLine="0" w:firstLineChars="0"/>
        <w:jc w:val="center"/>
        <w:rPr>
          <w:rFonts w:eastAsia="黑体" w:cs="Times New Roman"/>
          <w:kern w:val="44"/>
          <w:szCs w:val="32"/>
        </w:rPr>
        <w:sectPr>
          <w:footerReference r:id="rId8" w:type="default"/>
          <w:pgSz w:w="11906" w:h="16838"/>
          <w:pgMar w:top="1871" w:right="1531" w:bottom="1871" w:left="1531" w:header="851" w:footer="1417" w:gutter="0"/>
          <w:pgNumType w:fmt="decimal" w:start="1"/>
          <w:cols w:space="0" w:num="1"/>
          <w:docGrid w:type="lines" w:linePitch="312" w:charSpace="0"/>
        </w:sectPr>
      </w:pPr>
    </w:p>
    <w:p w14:paraId="4FFEF179">
      <w:pPr>
        <w:numPr>
          <w:ilvl w:val="0"/>
          <w:numId w:val="2"/>
        </w:numPr>
        <w:overflowPunct w:val="0"/>
        <w:spacing w:line="622" w:lineRule="exact"/>
        <w:ind w:firstLine="0" w:firstLineChars="0"/>
        <w:jc w:val="center"/>
        <w:outlineLvl w:val="0"/>
        <w:rPr>
          <w:rFonts w:eastAsia="黑体" w:cs="Times New Roman"/>
          <w:kern w:val="44"/>
          <w:szCs w:val="32"/>
        </w:rPr>
      </w:pPr>
      <w:bookmarkStart w:id="33" w:name="_Toc25744"/>
      <w:r>
        <w:rPr>
          <w:rFonts w:eastAsia="黑体" w:cs="Times New Roman"/>
          <w:kern w:val="44"/>
          <w:szCs w:val="32"/>
        </w:rPr>
        <w:t>立足沁水特色优势</w:t>
      </w:r>
      <w:r>
        <w:rPr>
          <w:rFonts w:hint="eastAsia" w:eastAsia="黑体" w:cs="Times New Roman"/>
          <w:kern w:val="44"/>
          <w:szCs w:val="32"/>
          <w:lang w:val="en-US" w:eastAsia="zh-CN"/>
        </w:rPr>
        <w:t xml:space="preserve"> 加快</w:t>
      </w:r>
      <w:r>
        <w:rPr>
          <w:rFonts w:eastAsia="黑体" w:cs="Times New Roman"/>
          <w:kern w:val="44"/>
          <w:szCs w:val="32"/>
        </w:rPr>
        <w:t>构建多元支撑现代化产业体系</w:t>
      </w:r>
      <w:bookmarkEnd w:id="30"/>
      <w:bookmarkEnd w:id="33"/>
    </w:p>
    <w:p w14:paraId="02827D09">
      <w:pPr>
        <w:overflowPunct w:val="0"/>
        <w:spacing w:line="622" w:lineRule="exact"/>
        <w:ind w:firstLine="0" w:firstLineChars="0"/>
        <w:rPr>
          <w:rFonts w:eastAsia="黑体" w:cs="Times New Roman"/>
          <w:kern w:val="44"/>
          <w:sz w:val="36"/>
        </w:rPr>
      </w:pPr>
    </w:p>
    <w:p w14:paraId="63038015">
      <w:pPr>
        <w:overflowPunct w:val="0"/>
        <w:spacing w:line="622" w:lineRule="exact"/>
        <w:ind w:firstLine="640"/>
        <w:rPr>
          <w:rFonts w:cs="Times New Roman"/>
        </w:rPr>
      </w:pPr>
      <w:r>
        <w:rPr>
          <w:rFonts w:cs="Times New Roman"/>
        </w:rPr>
        <w:t>坚持把发展经济的着力点放在实体经济上，立足比较优势、资源禀赋，锚定智能化、绿色化、融合化方向，注重新旧动能平稳转化，以新化旧、循序渐进，着力构建体现沁水特点、具有比较优势的现代化产业体系。</w:t>
      </w:r>
    </w:p>
    <w:p w14:paraId="1855A037">
      <w:pPr>
        <w:overflowPunct w:val="0"/>
        <w:spacing w:line="622" w:lineRule="exact"/>
        <w:ind w:firstLine="0" w:firstLineChars="0"/>
        <w:rPr>
          <w:rFonts w:eastAsia="楷体_GB2312" w:cs="Times New Roman"/>
          <w:b/>
        </w:rPr>
      </w:pPr>
      <w:bookmarkStart w:id="34" w:name="_Toc12386"/>
    </w:p>
    <w:p w14:paraId="27F02EC1">
      <w:pPr>
        <w:overflowPunct w:val="0"/>
        <w:spacing w:line="622" w:lineRule="exact"/>
        <w:ind w:firstLine="0" w:firstLineChars="0"/>
        <w:jc w:val="center"/>
        <w:outlineLvl w:val="1"/>
        <w:rPr>
          <w:rFonts w:eastAsia="楷体_GB2312" w:cs="Times New Roman"/>
          <w:bCs/>
        </w:rPr>
      </w:pPr>
      <w:bookmarkStart w:id="35" w:name="_Toc9246"/>
      <w:r>
        <w:rPr>
          <w:rFonts w:eastAsia="楷体_GB2312" w:cs="Times New Roman"/>
          <w:bCs/>
        </w:rPr>
        <w:t>第一节</w:t>
      </w:r>
      <w:r>
        <w:rPr>
          <w:rFonts w:hint="eastAsia" w:eastAsia="楷体_GB2312" w:cs="Times New Roman"/>
          <w:bCs/>
        </w:rPr>
        <w:t xml:space="preserve"> </w:t>
      </w:r>
      <w:r>
        <w:rPr>
          <w:rFonts w:eastAsia="楷体_GB2312" w:cs="Times New Roman"/>
          <w:bCs/>
        </w:rPr>
        <w:t xml:space="preserve"> 打造碳基新材料产业集聚区</w:t>
      </w:r>
      <w:bookmarkEnd w:id="34"/>
      <w:bookmarkEnd w:id="35"/>
    </w:p>
    <w:p w14:paraId="443E749C">
      <w:pPr>
        <w:overflowPunct w:val="0"/>
        <w:spacing w:line="622" w:lineRule="exact"/>
        <w:ind w:firstLine="0" w:firstLineChars="0"/>
        <w:rPr>
          <w:rFonts w:eastAsia="楷体_GB2312" w:cs="Times New Roman"/>
          <w:b/>
        </w:rPr>
      </w:pPr>
    </w:p>
    <w:p w14:paraId="2B0C5DFD">
      <w:pPr>
        <w:overflowPunct w:val="0"/>
        <w:spacing w:line="622" w:lineRule="exact"/>
        <w:ind w:firstLine="640"/>
        <w:rPr>
          <w:rFonts w:hint="eastAsia" w:ascii="仿宋_GB2312" w:hAnsi="仿宋_GB2312" w:cs="仿宋_GB2312"/>
        </w:rPr>
      </w:pPr>
      <w:r>
        <w:rPr>
          <w:rFonts w:hint="eastAsia" w:ascii="仿宋_GB2312" w:hAnsi="仿宋_GB2312" w:cs="仿宋_GB2312"/>
        </w:rPr>
        <w:t>依托全县优质煤炭、煤层气资源，以沁水经济技术开发区为载体，以加快发展新质生产力为目标，推动煤炭煤层气向中下游延伸，大力发展精细煤化工和碳基新材料产业，将“沁河碳谷”打造成为产业升级集聚区。</w:t>
      </w:r>
    </w:p>
    <w:p w14:paraId="147E7A2C">
      <w:pPr>
        <w:overflowPunct w:val="0"/>
        <w:spacing w:line="622" w:lineRule="exact"/>
        <w:ind w:firstLine="643"/>
        <w:rPr>
          <w:rFonts w:hint="eastAsia" w:ascii="仿宋_GB2312" w:hAnsi="仿宋_GB2312" w:cs="仿宋_GB2312"/>
          <w:b/>
          <w:bCs/>
        </w:rPr>
      </w:pPr>
      <w:r>
        <w:rPr>
          <w:rFonts w:hint="eastAsia" w:ascii="仿宋_GB2312" w:hAnsi="仿宋_GB2312" w:cs="仿宋_GB2312"/>
          <w:b/>
          <w:bCs/>
        </w:rPr>
        <w:t>全力打造“沁河碳谷”品牌。</w:t>
      </w:r>
      <w:r>
        <w:rPr>
          <w:rFonts w:hint="eastAsia" w:ascii="仿宋_GB2312" w:hAnsi="仿宋_GB2312" w:cs="仿宋_GB2312"/>
        </w:rPr>
        <w:t>以开发区为载体，立足沁河流域煤炭、煤层气资源禀赋，以碳基新材料为主攻方向打造高端产业集聚品牌。锚定“碳基新材料产业生态标杆”核心定位，深耕航空制动、光伏热场、耐烧蚀等高端应用领域，发展壮大煤层气综合利用、碳基新材料、航空航天三大产业，建强科研、金融、综合服务三大平台，完善基础设施，优化土地、税收等扶持政策，全力打造“3+3+N”产业生态圈。通过“资源—产业—创新—生态”全链条升级，实现从传统能源基地到碳科技创新高地的转型，将“沁河碳谷”打造成为“燃料变原料、资源变资产、单一产业变复合生态”的转型典范。</w:t>
      </w:r>
    </w:p>
    <w:p w14:paraId="5321937E">
      <w:pPr>
        <w:overflowPunct w:val="0"/>
        <w:spacing w:line="622" w:lineRule="exact"/>
        <w:ind w:firstLine="643"/>
        <w:rPr>
          <w:rFonts w:hint="eastAsia" w:ascii="仿宋_GB2312" w:hAnsi="仿宋_GB2312" w:cs="仿宋_GB2312"/>
        </w:rPr>
      </w:pPr>
      <w:r>
        <w:rPr>
          <w:rFonts w:hint="eastAsia" w:ascii="仿宋_GB2312" w:hAnsi="仿宋_GB2312" w:cs="仿宋_GB2312"/>
          <w:b/>
          <w:szCs w:val="32"/>
        </w:rPr>
        <w:t>发展高端煤化工和煤基新材料产业</w:t>
      </w:r>
      <w:r>
        <w:rPr>
          <w:rFonts w:hint="eastAsia" w:ascii="仿宋_GB2312" w:hAnsi="仿宋_GB2312" w:cs="仿宋_GB2312"/>
          <w:bCs/>
          <w:szCs w:val="32"/>
        </w:rPr>
        <w:t>。</w:t>
      </w:r>
      <w:r>
        <w:rPr>
          <w:rFonts w:hint="eastAsia" w:ascii="仿宋_GB2312" w:hAnsi="仿宋_GB2312" w:cs="仿宋_GB2312"/>
        </w:rPr>
        <w:t>立足优质煤炭资源，延伸产业链条，重点引进行业龙头企业落地布局，发展煤焦油、煤制合成气制备高性能碳纤维，以及无烟煤制备石墨烯等高端煤基新材料。支持煤焦油深加工项目建设，提升</w:t>
      </w:r>
      <w:r>
        <w:rPr>
          <w:rFonts w:hint="eastAsia" w:ascii="仿宋_GB2312" w:hAnsi="仿宋_GB2312" w:cs="仿宋_GB2312"/>
          <w:lang w:eastAsia="zh-CN"/>
        </w:rPr>
        <w:t>产品</w:t>
      </w:r>
      <w:r>
        <w:rPr>
          <w:rFonts w:hint="eastAsia" w:ascii="仿宋_GB2312" w:hAnsi="仿宋_GB2312" w:cs="仿宋_GB2312"/>
        </w:rPr>
        <w:t>附加值，生产超高功率石墨电极和锂电池负极材料，推动煤基储能材料产业发展。加快新型炭材项目建设，依托铸造市场，利用优质无烟煤生产碳素、增碳剂、多孔碳等高附加值产品。发展精细煤化工，推动向煤制芳烃、煤制甲醇、煤制烯烃下游细分产品延伸产业链条，谋划设立飞地化工园区，发展精细煤化工产业，开发更多精细化、差异化、高端化产品，推动煤炭产品由初级燃料向高价值产品攀升，力争在“十五五”期间，规模化生产1—2种高端化细分产品。</w:t>
      </w:r>
    </w:p>
    <w:p w14:paraId="4A243ABD">
      <w:pPr>
        <w:overflowPunct w:val="0"/>
        <w:spacing w:line="622" w:lineRule="exact"/>
        <w:ind w:firstLine="643"/>
        <w:rPr>
          <w:rFonts w:hint="eastAsia" w:ascii="仿宋_GB2312" w:hAnsi="仿宋_GB2312" w:eastAsia="仿宋_GB2312" w:cs="仿宋_GB2312"/>
          <w:szCs w:val="32"/>
          <w:lang w:val="en-US" w:eastAsia="zh-CN"/>
        </w:rPr>
      </w:pPr>
      <w:r>
        <w:rPr>
          <w:rFonts w:hint="eastAsia" w:ascii="仿宋_GB2312" w:hAnsi="仿宋_GB2312" w:cs="仿宋_GB2312"/>
          <w:b/>
          <w:bCs/>
          <w:szCs w:val="32"/>
        </w:rPr>
        <w:t>推动碳基复合材料全链条发展。</w:t>
      </w:r>
      <w:r>
        <w:rPr>
          <w:rFonts w:hint="eastAsia" w:ascii="仿宋_GB2312" w:hAnsi="仿宋_GB2312" w:cs="仿宋_GB2312"/>
          <w:szCs w:val="32"/>
        </w:rPr>
        <w:t>深入实施延链补链强链行动，充分发挥“沁河碳谷”母基金、科技成果转化平台、要素集聚优势，靶向招引链上企业，推动碳基复合材料产业全链条发展。积极利用煤层气资源优势，加大上游技术改造升级，推动碳基、树脂基预制体产业扩大量产规模，保障中下游供给，提升供应链稳定性。中游推进碳基材料项目扩产提能，招引更多企业发展碳/碳复合材料、碳/陶复合材料、碳/石墨复合材料、碳/碳化硅复合材料等碳基体复合材料，力争在光伏热场、耐摩擦、耐腐蚀材料领域形成规模化产能。下游持续扩大应用场景，拓展航空航天、新能源、半导体等领域的应用，推动3D金属打印航天增材项目落地投产，支持企业扩产建设增强型复合弹翼、火箭壳体生产线。力争在“十五五”期间招引1—2家下游应用企业入驻“沁河碳谷”。布局科技前沿项目，超前发展未来材料产业，加快单壁碳纳米管项目建设，积极推进项目中试，实现百吨级量产。积极引进落地更多前沿碳基材料项目，引领行业技术创新，抢占未来发展先机。</w:t>
      </w:r>
    </w:p>
    <w:p w14:paraId="6AEE4910">
      <w:pPr>
        <w:overflowPunct w:val="0"/>
        <w:spacing w:after="156" w:afterLines="50" w:line="622" w:lineRule="exact"/>
        <w:ind w:firstLine="0" w:firstLineChars="0"/>
        <w:jc w:val="center"/>
        <w:rPr>
          <w:rFonts w:hint="eastAsia" w:ascii="黑体" w:hAnsi="黑体" w:eastAsia="黑体" w:cs="黑体"/>
          <w:sz w:val="30"/>
          <w:szCs w:val="30"/>
        </w:rPr>
      </w:pPr>
      <w:r>
        <w:rPr>
          <w:rFonts w:hint="eastAsia" w:ascii="黑体" w:hAnsi="黑体" w:eastAsia="黑体" w:cs="黑体"/>
          <w:sz w:val="30"/>
          <w:szCs w:val="30"/>
        </w:rPr>
        <w:t>专栏5  碳基新材料重点项目</w:t>
      </w:r>
    </w:p>
    <w:tbl>
      <w:tblPr>
        <w:tblStyle w:val="21"/>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6CD7D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60" w:type="dxa"/>
            <w:vAlign w:val="center"/>
          </w:tcPr>
          <w:p w14:paraId="5275D3F0">
            <w:pPr>
              <w:overflowPunct w:val="0"/>
              <w:snapToGrid w:val="0"/>
              <w:spacing w:line="440" w:lineRule="exact"/>
              <w:ind w:firstLine="402"/>
              <w:rPr>
                <w:rFonts w:hint="eastAsia" w:asciiTheme="minorEastAsia" w:hAnsiTheme="minorEastAsia" w:eastAsiaTheme="minorEastAsia" w:cstheme="minorEastAsia"/>
                <w:kern w:val="0"/>
                <w:sz w:val="20"/>
                <w:szCs w:val="20"/>
                <w:lang w:eastAsia="zh-CN"/>
              </w:rPr>
            </w:pPr>
            <w:r>
              <w:rPr>
                <w:rFonts w:hint="eastAsia" w:asciiTheme="minorEastAsia" w:hAnsiTheme="minorEastAsia" w:eastAsiaTheme="minorEastAsia" w:cstheme="minorEastAsia"/>
                <w:b/>
                <w:bCs/>
                <w:kern w:val="0"/>
                <w:sz w:val="20"/>
                <w:szCs w:val="20"/>
              </w:rPr>
              <w:t>高端碳基耐烧蚀材料项目：</w:t>
            </w:r>
            <w:r>
              <w:rPr>
                <w:rFonts w:hint="eastAsia" w:asciiTheme="minorEastAsia" w:hAnsiTheme="minorEastAsia" w:eastAsiaTheme="minorEastAsia" w:cstheme="minorEastAsia"/>
                <w:b w:val="0"/>
                <w:bCs w:val="0"/>
                <w:kern w:val="0"/>
                <w:sz w:val="20"/>
                <w:szCs w:val="20"/>
              </w:rPr>
              <w:t>建设</w:t>
            </w:r>
            <w:r>
              <w:rPr>
                <w:rFonts w:hint="eastAsia" w:asciiTheme="minorEastAsia" w:hAnsiTheme="minorEastAsia" w:eastAsiaTheme="minorEastAsia" w:cstheme="minorEastAsia"/>
                <w:kern w:val="0"/>
                <w:sz w:val="20"/>
                <w:szCs w:val="20"/>
              </w:rPr>
              <w:t>4条高端碳基耐烧蚀材料生产线，1个碳基耐烧蚀材料综合试验室，1个综合性材料试验室。</w:t>
            </w:r>
          </w:p>
          <w:p w14:paraId="0D507209">
            <w:pPr>
              <w:overflowPunct w:val="0"/>
              <w:snapToGrid w:val="0"/>
              <w:spacing w:line="440" w:lineRule="exact"/>
              <w:ind w:firstLine="402"/>
              <w:rPr>
                <w:rFonts w:hint="eastAsia" w:asciiTheme="minorEastAsia" w:hAnsiTheme="minorEastAsia" w:eastAsiaTheme="minorEastAsia" w:cstheme="minorEastAsia"/>
                <w:b w:val="0"/>
                <w:bCs w:val="0"/>
                <w:kern w:val="0"/>
                <w:sz w:val="20"/>
                <w:szCs w:val="20"/>
              </w:rPr>
            </w:pPr>
            <w:r>
              <w:rPr>
                <w:rFonts w:hint="eastAsia" w:asciiTheme="minorEastAsia" w:hAnsiTheme="minorEastAsia" w:eastAsiaTheme="minorEastAsia" w:cstheme="minorEastAsia"/>
                <w:b/>
                <w:bCs/>
                <w:kern w:val="0"/>
                <w:sz w:val="20"/>
                <w:szCs w:val="20"/>
              </w:rPr>
              <w:t>碳基复合材料项目：</w:t>
            </w:r>
            <w:r>
              <w:rPr>
                <w:rFonts w:hint="eastAsia" w:asciiTheme="minorEastAsia" w:hAnsiTheme="minorEastAsia" w:eastAsiaTheme="minorEastAsia" w:cstheme="minorEastAsia"/>
                <w:b w:val="0"/>
                <w:bCs w:val="0"/>
                <w:kern w:val="0"/>
                <w:sz w:val="20"/>
                <w:szCs w:val="20"/>
              </w:rPr>
              <w:t>建设1个光伏热场结构材料综合试验室、4条航空航天、光伏及半导体热场应用领域高性能碳基复合材料及制品生产线。</w:t>
            </w:r>
          </w:p>
          <w:p w14:paraId="2F77FEC3">
            <w:pPr>
              <w:overflowPunct w:val="0"/>
              <w:snapToGrid w:val="0"/>
              <w:spacing w:line="440" w:lineRule="exact"/>
              <w:ind w:firstLine="402"/>
              <w:rPr>
                <w:rFonts w:hint="eastAsia" w:asciiTheme="minorEastAsia" w:hAnsiTheme="minorEastAsia" w:eastAsiaTheme="minorEastAsia" w:cstheme="minorEastAsia"/>
                <w:b w:val="0"/>
                <w:bCs w:val="0"/>
                <w:kern w:val="0"/>
                <w:sz w:val="20"/>
                <w:szCs w:val="20"/>
              </w:rPr>
            </w:pPr>
            <w:r>
              <w:rPr>
                <w:rFonts w:hint="eastAsia" w:asciiTheme="minorEastAsia" w:hAnsiTheme="minorEastAsia" w:eastAsiaTheme="minorEastAsia" w:cstheme="minorEastAsia"/>
                <w:b/>
                <w:bCs/>
                <w:kern w:val="0"/>
                <w:sz w:val="20"/>
                <w:szCs w:val="20"/>
              </w:rPr>
              <w:t>单壁碳纳米管项目：</w:t>
            </w:r>
            <w:r>
              <w:rPr>
                <w:rFonts w:hint="eastAsia" w:asciiTheme="minorEastAsia" w:hAnsiTheme="minorEastAsia" w:eastAsiaTheme="minorEastAsia" w:cstheme="minorEastAsia"/>
                <w:b w:val="0"/>
                <w:bCs w:val="0"/>
                <w:kern w:val="0"/>
                <w:sz w:val="20"/>
                <w:szCs w:val="20"/>
              </w:rPr>
              <w:t>建设中试生产线及200条单壁碳纳米管生产线。</w:t>
            </w:r>
          </w:p>
          <w:p w14:paraId="1C5D4511">
            <w:pPr>
              <w:overflowPunct w:val="0"/>
              <w:snapToGrid w:val="0"/>
              <w:spacing w:line="440" w:lineRule="exact"/>
              <w:ind w:firstLine="402"/>
              <w:rPr>
                <w:rFonts w:hint="eastAsia" w:asciiTheme="majorEastAsia" w:hAnsiTheme="majorEastAsia" w:eastAsiaTheme="majorEastAsia" w:cstheme="majorEastAsia"/>
                <w:kern w:val="0"/>
                <w:sz w:val="20"/>
                <w:szCs w:val="20"/>
              </w:rPr>
            </w:pPr>
            <w:r>
              <w:rPr>
                <w:rFonts w:hint="eastAsia" w:asciiTheme="minorEastAsia" w:hAnsiTheme="minorEastAsia" w:eastAsiaTheme="minorEastAsia" w:cstheme="minorEastAsia"/>
                <w:b/>
                <w:bCs/>
                <w:kern w:val="0"/>
                <w:sz w:val="20"/>
                <w:szCs w:val="20"/>
                <w:lang w:val="en-US" w:eastAsia="zh-CN"/>
              </w:rPr>
              <w:t>新型炭材项目：</w:t>
            </w:r>
            <w:r>
              <w:rPr>
                <w:rFonts w:hint="eastAsia" w:asciiTheme="minorEastAsia" w:hAnsiTheme="minorEastAsia" w:eastAsiaTheme="minorEastAsia" w:cstheme="minorEastAsia"/>
                <w:b w:val="0"/>
                <w:bCs w:val="0"/>
                <w:kern w:val="0"/>
                <w:sz w:val="20"/>
                <w:szCs w:val="20"/>
                <w:lang w:val="en-US" w:eastAsia="zh-CN"/>
              </w:rPr>
              <w:t>建设年产70万吨新型炭材、1.8万吨预熔型连铸结晶器保护渣、1.8万吨覆盖剂。</w:t>
            </w:r>
          </w:p>
        </w:tc>
      </w:tr>
    </w:tbl>
    <w:p w14:paraId="3070FB84">
      <w:pPr>
        <w:overflowPunct w:val="0"/>
        <w:spacing w:before="156" w:beforeLines="50" w:line="622" w:lineRule="exact"/>
        <w:ind w:firstLine="643"/>
        <w:rPr>
          <w:rFonts w:cs="Times New Roman"/>
        </w:rPr>
      </w:pPr>
      <w:r>
        <w:rPr>
          <w:rFonts w:cs="Times New Roman"/>
          <w:b/>
          <w:bCs/>
        </w:rPr>
        <w:t>探索培育航空航天产业。</w:t>
      </w:r>
      <w:r>
        <w:rPr>
          <w:rFonts w:cs="Times New Roman"/>
        </w:rPr>
        <w:t>拓展高端产业赛道，布局引进一批航空航天产业项目，嵌入航空航天装备制造产业链。推动液氧甲烷火箭发动机总装项目和发动机试车台项目落地，打造国内商业火箭总装和商业卫星的重要零部件供应基地。依托碳基新材料现有基础，推动新材料技术与航空航天领域的跨界融合及协同创新，构建内生动力强劲、赋能范围广泛、引领产业变革的空天经济新生态。</w:t>
      </w:r>
    </w:p>
    <w:p w14:paraId="796DCFE4">
      <w:pPr>
        <w:overflowPunct w:val="0"/>
        <w:spacing w:after="156" w:afterLines="50" w:line="622" w:lineRule="exact"/>
        <w:ind w:firstLine="0" w:firstLineChars="0"/>
        <w:jc w:val="center"/>
        <w:rPr>
          <w:rFonts w:hint="eastAsia" w:ascii="黑体" w:hAnsi="黑体" w:eastAsia="黑体" w:cs="黑体"/>
          <w:sz w:val="30"/>
          <w:szCs w:val="30"/>
        </w:rPr>
      </w:pPr>
      <w:r>
        <w:rPr>
          <w:rFonts w:hint="eastAsia" w:ascii="黑体" w:hAnsi="黑体" w:eastAsia="黑体" w:cs="黑体"/>
          <w:sz w:val="30"/>
          <w:szCs w:val="30"/>
        </w:rPr>
        <w:t>专栏6  航空航天产业</w:t>
      </w:r>
      <w:r>
        <w:rPr>
          <w:rFonts w:hint="eastAsia" w:ascii="黑体" w:hAnsi="黑体" w:eastAsia="黑体" w:cs="黑体"/>
          <w:sz w:val="30"/>
          <w:szCs w:val="30"/>
          <w:lang w:eastAsia="zh-CN"/>
        </w:rPr>
        <w:t>重点</w:t>
      </w:r>
      <w:r>
        <w:rPr>
          <w:rFonts w:hint="eastAsia" w:ascii="黑体" w:hAnsi="黑体" w:eastAsia="黑体" w:cs="黑体"/>
          <w:sz w:val="30"/>
          <w:szCs w:val="30"/>
        </w:rPr>
        <w:t>项目</w:t>
      </w:r>
    </w:p>
    <w:tbl>
      <w:tblPr>
        <w:tblStyle w:val="21"/>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7433E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60" w:type="dxa"/>
            <w:vAlign w:val="center"/>
          </w:tcPr>
          <w:p w14:paraId="04CD4EF9">
            <w:pPr>
              <w:overflowPunct w:val="0"/>
              <w:snapToGrid w:val="0"/>
              <w:spacing w:line="440" w:lineRule="exact"/>
              <w:ind w:firstLine="402"/>
              <w:rPr>
                <w:rFonts w:hint="eastAsia" w:asciiTheme="minorEastAsia" w:hAnsiTheme="minorEastAsia" w:eastAsiaTheme="minorEastAsia" w:cstheme="minorEastAsia"/>
                <w:b w:val="0"/>
                <w:bCs w:val="0"/>
                <w:kern w:val="0"/>
                <w:sz w:val="20"/>
                <w:szCs w:val="20"/>
              </w:rPr>
            </w:pPr>
            <w:r>
              <w:rPr>
                <w:rFonts w:hint="eastAsia" w:asciiTheme="minorEastAsia" w:hAnsiTheme="minorEastAsia" w:eastAsiaTheme="minorEastAsia" w:cstheme="minorEastAsia"/>
                <w:b/>
                <w:bCs/>
                <w:kern w:val="0"/>
                <w:sz w:val="20"/>
                <w:szCs w:val="20"/>
              </w:rPr>
              <w:t>液体火箭发动机总装及试验基地项目：</w:t>
            </w:r>
            <w:r>
              <w:rPr>
                <w:rFonts w:hint="eastAsia" w:asciiTheme="minorEastAsia" w:hAnsiTheme="minorEastAsia" w:eastAsiaTheme="minorEastAsia" w:cstheme="minorEastAsia"/>
                <w:b w:val="0"/>
                <w:bCs w:val="0"/>
                <w:kern w:val="0"/>
                <w:sz w:val="20"/>
                <w:szCs w:val="20"/>
              </w:rPr>
              <w:t>建设液氧/甲烷全流量发动机生产线及大型液体火箭发动机试车台。</w:t>
            </w:r>
          </w:p>
          <w:p w14:paraId="535B64B9">
            <w:pPr>
              <w:overflowPunct w:val="0"/>
              <w:snapToGrid w:val="0"/>
              <w:spacing w:line="440" w:lineRule="exact"/>
              <w:ind w:firstLine="402"/>
              <w:rPr>
                <w:rFonts w:hint="eastAsia" w:asciiTheme="majorEastAsia" w:hAnsiTheme="majorEastAsia" w:eastAsiaTheme="majorEastAsia" w:cstheme="majorEastAsia"/>
                <w:kern w:val="0"/>
                <w:sz w:val="20"/>
                <w:szCs w:val="20"/>
              </w:rPr>
            </w:pPr>
            <w:r>
              <w:rPr>
                <w:rFonts w:hint="eastAsia" w:asciiTheme="minorEastAsia" w:hAnsiTheme="minorEastAsia" w:eastAsiaTheme="minorEastAsia" w:cstheme="minorEastAsia"/>
                <w:b/>
                <w:bCs/>
                <w:kern w:val="0"/>
                <w:sz w:val="20"/>
                <w:szCs w:val="20"/>
              </w:rPr>
              <w:t>液发火箭零部件项目：</w:t>
            </w:r>
            <w:r>
              <w:rPr>
                <w:rFonts w:hint="eastAsia" w:asciiTheme="minorEastAsia" w:hAnsiTheme="minorEastAsia" w:eastAsiaTheme="minorEastAsia" w:cstheme="minorEastAsia"/>
                <w:b w:val="0"/>
                <w:bCs w:val="0"/>
                <w:kern w:val="0"/>
                <w:sz w:val="20"/>
                <w:szCs w:val="20"/>
              </w:rPr>
              <w:t>建设500套火箭零部件和200套卫星零部件生产线。</w:t>
            </w:r>
          </w:p>
        </w:tc>
      </w:tr>
    </w:tbl>
    <w:p w14:paraId="05E02CC9">
      <w:pPr>
        <w:overflowPunct w:val="0"/>
        <w:spacing w:line="622" w:lineRule="exact"/>
        <w:ind w:firstLine="0" w:firstLineChars="0"/>
        <w:rPr>
          <w:rFonts w:eastAsia="楷体_GB2312" w:cs="Times New Roman"/>
          <w:b/>
        </w:rPr>
      </w:pPr>
      <w:bookmarkStart w:id="36" w:name="_Toc23245"/>
    </w:p>
    <w:p w14:paraId="0422D28C">
      <w:pPr>
        <w:overflowPunct w:val="0"/>
        <w:spacing w:line="622" w:lineRule="exact"/>
        <w:ind w:firstLine="0" w:firstLineChars="0"/>
        <w:jc w:val="center"/>
        <w:outlineLvl w:val="1"/>
        <w:rPr>
          <w:rFonts w:eastAsia="楷体_GB2312" w:cs="Times New Roman"/>
          <w:bCs/>
        </w:rPr>
      </w:pPr>
      <w:bookmarkStart w:id="37" w:name="_Toc15231"/>
      <w:r>
        <w:rPr>
          <w:rFonts w:eastAsia="楷体_GB2312" w:cs="Times New Roman"/>
          <w:bCs/>
        </w:rPr>
        <w:t>第</w:t>
      </w:r>
      <w:r>
        <w:rPr>
          <w:rFonts w:hint="eastAsia" w:eastAsia="楷体_GB2312" w:cs="Times New Roman"/>
          <w:bCs/>
        </w:rPr>
        <w:t>二</w:t>
      </w:r>
      <w:r>
        <w:rPr>
          <w:rFonts w:eastAsia="楷体_GB2312" w:cs="Times New Roman"/>
          <w:bCs/>
        </w:rPr>
        <w:t>节</w:t>
      </w:r>
      <w:r>
        <w:rPr>
          <w:rFonts w:hint="eastAsia" w:ascii="楷体_GB2312" w:hAnsi="楷体_GB2312" w:eastAsia="楷体_GB2312" w:cs="楷体_GB2312"/>
        </w:rPr>
        <w:t xml:space="preserve">  </w:t>
      </w:r>
      <w:r>
        <w:rPr>
          <w:rFonts w:eastAsia="楷体_GB2312" w:cs="Times New Roman"/>
          <w:bCs/>
          <w:szCs w:val="32"/>
        </w:rPr>
        <w:t>强力推动文旅康养产业融合发展</w:t>
      </w:r>
      <w:bookmarkEnd w:id="36"/>
      <w:bookmarkEnd w:id="37"/>
    </w:p>
    <w:p w14:paraId="46F3E8D3">
      <w:pPr>
        <w:overflowPunct w:val="0"/>
        <w:spacing w:line="622" w:lineRule="exact"/>
        <w:ind w:firstLine="640"/>
        <w:rPr>
          <w:rFonts w:cs="Times New Roman"/>
          <w:szCs w:val="32"/>
        </w:rPr>
      </w:pPr>
    </w:p>
    <w:p w14:paraId="1637C7B0">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立足资源禀赋优势，加大顶层设计，优化产业布局，提升核心景区品质，延伸文旅康养全产业链，积极构建“全域协同、多业态融合”的文旅康养产业融合发展新局面。</w:t>
      </w:r>
    </w:p>
    <w:p w14:paraId="74F46707">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筑牢全域文旅产业根基。</w:t>
      </w:r>
      <w:r>
        <w:rPr>
          <w:rFonts w:hint="eastAsia" w:ascii="仿宋_GB2312" w:hAnsi="仿宋_GB2312" w:cs="仿宋_GB2312"/>
          <w:szCs w:val="32"/>
        </w:rPr>
        <w:t>始终把文旅康养作为战略性支柱产业和民生幸福产业来抓，坚持政府做“生态”、景区做“平台”、市场做“业态”。以全域整合激活发展动能，发挥县文旅集团市场化运营优势，统筹全县旅游资源整合、景区开发建设、全域旅游运营、旅游产品开发、文化产业投资等业务，把资源管起来、用起来、建起来、旺起来。以全域布局筑牢产业根基，把全县域作为功能完整的文旅康养目的地来规划建设管理，构建县城“一心集聚”，历山</w:t>
      </w:r>
      <w:r>
        <w:rPr>
          <w:rFonts w:hint="eastAsia" w:ascii="仿宋_GB2312" w:hAnsi="仿宋_GB2312" w:cs="仿宋_GB2312"/>
          <w:szCs w:val="32"/>
          <w:lang w:eastAsia="zh-CN"/>
        </w:rPr>
        <w:t>—</w:t>
      </w:r>
      <w:r>
        <w:rPr>
          <w:rFonts w:hint="eastAsia" w:ascii="仿宋_GB2312" w:hAnsi="仿宋_GB2312" w:cs="仿宋_GB2312"/>
          <w:szCs w:val="32"/>
        </w:rPr>
        <w:t>太行洪谷片区、沁河古堡片区“两翼齐飞”，景区景点“多业融合”的“一心两翼多业”空间布局。推动全县文化、旅游和康养中小微企业集聚式发展，打造以树理小镇、蜜蜂小镇、星梦童年小镇等为代表的文化产业集聚区，形成一批特色鲜明、链条完整的产业集群</w:t>
      </w:r>
      <w:r>
        <w:rPr>
          <w:rFonts w:hint="eastAsia" w:ascii="仿宋_GB2312" w:hAnsi="仿宋_GB2312" w:cs="仿宋_GB2312"/>
          <w:szCs w:val="32"/>
          <w:lang w:eastAsia="zh-CN"/>
        </w:rPr>
        <w:t>，</w:t>
      </w:r>
      <w:r>
        <w:rPr>
          <w:rFonts w:hint="eastAsia" w:ascii="仿宋_GB2312" w:hAnsi="仿宋_GB2312" w:cs="仿宋_GB2312"/>
          <w:szCs w:val="32"/>
        </w:rPr>
        <w:t>做强特色文创产品。</w:t>
      </w:r>
    </w:p>
    <w:p w14:paraId="5F216B4E">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持续推进大景区引领工程。</w:t>
      </w:r>
      <w:r>
        <w:rPr>
          <w:rFonts w:hint="eastAsia" w:ascii="仿宋_GB2312" w:hAnsi="仿宋_GB2312" w:cs="仿宋_GB2312"/>
          <w:szCs w:val="32"/>
        </w:rPr>
        <w:t>开展全县A级旅游景区提质升级行动，加速推进“历山</w:t>
      </w:r>
      <w:r>
        <w:rPr>
          <w:rFonts w:hint="eastAsia" w:ascii="仿宋_GB2312" w:hAnsi="仿宋_GB2312" w:cs="仿宋_GB2312"/>
          <w:szCs w:val="32"/>
          <w:lang w:eastAsia="zh-CN"/>
        </w:rPr>
        <w:t>—</w:t>
      </w:r>
      <w:r>
        <w:rPr>
          <w:rFonts w:hint="eastAsia" w:ascii="仿宋_GB2312" w:hAnsi="仿宋_GB2312" w:cs="仿宋_GB2312"/>
          <w:szCs w:val="32"/>
        </w:rPr>
        <w:t>太行洪谷”、湘峪古堡大景区项目建设，完善房车营地、观景台、特色餐饮、精品民宿等高端服务设施配套，加大智慧化景区建设投入，新创建一批3A级及以上旅游景区，到“十五五”末，全县A级旅游景区数量实现翻番，5A级景区创建实现零</w:t>
      </w:r>
      <w:r>
        <w:rPr>
          <w:rFonts w:hint="eastAsia" w:ascii="仿宋_GB2312" w:hAnsi="仿宋_GB2312" w:cs="仿宋_GB2312"/>
          <w:szCs w:val="32"/>
          <w:lang w:eastAsia="zh-CN"/>
        </w:rPr>
        <w:t>的</w:t>
      </w:r>
      <w:r>
        <w:rPr>
          <w:rFonts w:hint="eastAsia" w:ascii="仿宋_GB2312" w:hAnsi="仿宋_GB2312" w:cs="仿宋_GB2312"/>
          <w:szCs w:val="32"/>
        </w:rPr>
        <w:t>突破，构建“5A引领、4A支撑、3A扩容”发展新梯队。协同推进郎壁—石室、窦庄—郭壁、树理小镇等重点景区项目建设，实现资源联动、融合发展，打造“一站式”高品质文旅融合发展样本。</w:t>
      </w:r>
    </w:p>
    <w:p w14:paraId="201E819B">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以全域宣传拓宽引流渠道。</w:t>
      </w:r>
      <w:r>
        <w:rPr>
          <w:rFonts w:hint="eastAsia" w:ascii="仿宋_GB2312" w:hAnsi="仿宋_GB2312" w:cs="仿宋_GB2312"/>
          <w:szCs w:val="32"/>
        </w:rPr>
        <w:t>强化内宣外宣“双轮驱动”，围绕“名人”“山水”“生态”“古堡”开发文化IP，</w:t>
      </w:r>
      <w:r>
        <w:rPr>
          <w:rFonts w:hint="eastAsia" w:ascii="仿宋_GB2312" w:hAnsi="仿宋_GB2312" w:cs="仿宋_GB2312"/>
          <w:color w:val="000000"/>
          <w:kern w:val="0"/>
          <w:szCs w:val="32"/>
          <w:lang w:bidi="ar"/>
        </w:rPr>
        <w:t>深化文旅康养品牌宣传推广行动。</w:t>
      </w:r>
      <w:r>
        <w:rPr>
          <w:rFonts w:hint="eastAsia" w:ascii="仿宋_GB2312" w:hAnsi="仿宋_GB2312" w:cs="仿宋_GB2312"/>
          <w:szCs w:val="32"/>
        </w:rPr>
        <w:t>组织开展各类文旅康养品牌宣传推介活动，大力实施本土网红培育计划，开展沁水专属话题营销，不断扩大“千年古县 如画沁水”的号召力与影响力。</w:t>
      </w:r>
    </w:p>
    <w:p w14:paraId="4D5ECADC">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加快补齐文旅基础设施短板。</w:t>
      </w:r>
      <w:r>
        <w:rPr>
          <w:rFonts w:hint="eastAsia" w:ascii="仿宋_GB2312" w:hAnsi="仿宋_GB2312" w:cs="仿宋_GB2312"/>
          <w:szCs w:val="32"/>
        </w:rPr>
        <w:t>以基础设施升级为突破口，构建“快进慢游深体验”全域旅游交通体系。重点推进南渠—下川、西峡—舜王坪、张沟—沙拉沟等公路项目建设，配套建设文旅驿站、观景平台、骑行绿道等设施。实施交通+文旅融合工程，在公路沿线布局文化标识系统。推进智慧文旅建设，在历山、湘峪古堡等景区推行分时预约，开发“智游沁水”小程序提供智能导览服务，建设旅游应急指挥中心整合气象、交通数据，试点无人机巡查提升管理效能。</w:t>
      </w:r>
    </w:p>
    <w:p w14:paraId="48993290">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塑造“沁山沁水”生态康养品牌。</w:t>
      </w:r>
      <w:r>
        <w:rPr>
          <w:rFonts w:hint="eastAsia" w:ascii="仿宋_GB2312" w:hAnsi="仿宋_GB2312" w:cs="仿宋_GB2312"/>
          <w:szCs w:val="32"/>
        </w:rPr>
        <w:t>差异化打造康养特色村，建设历山国家级森林康养基地、“沁河古堡文化走廊”“沁河沿线生态康养主题廊道”等旅游目的地；围绕“吃住行游购娱”全要素保障，深化拓展医疗康复、社区颐养、文化润养、旅居度假、森林康养、运动康养、研学康养、乡村田园等“8种康养模式”，挖掘特色美食，因地制宜布局一批高品质星级酒店、商务快捷酒店、民宿客栈，开发沉浸式体验型融合产品，更好满足不同人群多层次、多样化需求，塑造“沁山沁水”生态康养品牌。依托“沁水春居”特色民宿，建设一批区域养老服务中心、“候鸟式”生态康养基地，发展负氧离子疗愈产业，形成“生态赋能文旅、文旅反哺乡村”的良性循环，提升一批康养示范村，打造沁水特色乡村康养品牌。</w:t>
      </w:r>
    </w:p>
    <w:p w14:paraId="7A6B89BA">
      <w:pPr>
        <w:overflowPunct w:val="0"/>
        <w:spacing w:line="622" w:lineRule="exact"/>
        <w:ind w:firstLine="643"/>
        <w:rPr>
          <w:rFonts w:hint="eastAsia" w:ascii="黑体" w:hAnsi="黑体" w:eastAsia="黑体" w:cs="黑体"/>
          <w:kern w:val="0"/>
          <w:sz w:val="28"/>
          <w:szCs w:val="28"/>
        </w:rPr>
      </w:pPr>
      <w:r>
        <w:rPr>
          <w:rFonts w:hint="eastAsia" w:ascii="仿宋_GB2312" w:hAnsi="仿宋_GB2312" w:cs="仿宋_GB2312"/>
          <w:b/>
          <w:bCs/>
          <w:szCs w:val="32"/>
        </w:rPr>
        <w:t>优化城市生态休闲体验。</w:t>
      </w:r>
      <w:r>
        <w:rPr>
          <w:rFonts w:hint="eastAsia" w:ascii="仿宋_GB2312" w:hAnsi="仿宋_GB2312" w:cs="仿宋_GB2312"/>
          <w:szCs w:val="32"/>
        </w:rPr>
        <w:t>深度融合生态资源与康养产业，打造多层次、多功能、点线面结合的生态网络，将百里沁河风光带与百里画廊景观带串联成线，形成“城水相依、园城相融”的独特风貌。建设智慧湿地公园、滨河生态步道等工程，同步推进“太行一号”文旅康养公路建设，打造“推窗见绿、出门入园”的宜居环境，推动生态资源与城市发展深度融合。借助科技赋能，引入物联网环境监测系统，实时展示水质、空气质量等生态数据，开发AR导览应用，让游客在漫步中通过手机扫描标识即可获取景点历史与文化信息，实现“水绕城、城抱园”的生态之美与科技体验的完美结合。</w:t>
      </w:r>
    </w:p>
    <w:p w14:paraId="0A8F932B">
      <w:pPr>
        <w:overflowPunct w:val="0"/>
        <w:spacing w:after="156" w:afterLines="50" w:line="622" w:lineRule="exact"/>
        <w:ind w:firstLine="0" w:firstLineChars="0"/>
        <w:jc w:val="center"/>
        <w:rPr>
          <w:rFonts w:hint="eastAsia" w:ascii="黑体" w:hAnsi="黑体" w:eastAsia="黑体" w:cs="黑体"/>
          <w:sz w:val="30"/>
          <w:szCs w:val="30"/>
        </w:rPr>
      </w:pPr>
      <w:r>
        <w:rPr>
          <w:rFonts w:hint="eastAsia" w:ascii="黑体" w:hAnsi="黑体" w:eastAsia="黑体" w:cs="黑体"/>
          <w:kern w:val="0"/>
          <w:sz w:val="30"/>
          <w:szCs w:val="30"/>
        </w:rPr>
        <w:t>专栏7  文旅康养融合发展重点工程</w:t>
      </w:r>
    </w:p>
    <w:tbl>
      <w:tblPr>
        <w:tblStyle w:val="21"/>
        <w:tblW w:w="89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957"/>
      </w:tblGrid>
      <w:tr w14:paraId="700D7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819" w:hRule="atLeast"/>
          <w:jc w:val="center"/>
        </w:trPr>
        <w:tc>
          <w:tcPr>
            <w:tcW w:w="8957" w:type="dxa"/>
            <w:tcBorders>
              <w:tl2br w:val="nil"/>
              <w:tr2bl w:val="nil"/>
            </w:tcBorders>
            <w:vAlign w:val="center"/>
          </w:tcPr>
          <w:p w14:paraId="410D8FFE">
            <w:pPr>
              <w:overflowPunct w:val="0"/>
              <w:spacing w:line="300" w:lineRule="exact"/>
              <w:ind w:firstLine="562" w:firstLineChars="0"/>
              <w:rPr>
                <w:rFonts w:hint="eastAsia" w:asciiTheme="majorEastAsia" w:hAnsiTheme="majorEastAsia" w:eastAsiaTheme="majorEastAsia" w:cstheme="majorEastAsia"/>
                <w:b/>
                <w:bCs/>
                <w:spacing w:val="-2"/>
                <w:kern w:val="0"/>
                <w:sz w:val="20"/>
                <w:szCs w:val="20"/>
                <w:shd w:val="clear" w:color="auto" w:fill="FFFFFF"/>
              </w:rPr>
            </w:pPr>
            <w:r>
              <w:rPr>
                <w:rFonts w:hint="eastAsia" w:asciiTheme="majorEastAsia" w:hAnsiTheme="majorEastAsia" w:eastAsiaTheme="majorEastAsia" w:cstheme="majorEastAsia"/>
                <w:b/>
                <w:bCs/>
                <w:kern w:val="0"/>
                <w:sz w:val="20"/>
                <w:szCs w:val="20"/>
              </w:rPr>
              <w:t>康养旅游项目：</w:t>
            </w:r>
            <w:r>
              <w:rPr>
                <w:rFonts w:hint="eastAsia" w:asciiTheme="majorEastAsia" w:hAnsiTheme="majorEastAsia" w:eastAsiaTheme="majorEastAsia" w:cstheme="majorEastAsia"/>
                <w:kern w:val="0"/>
                <w:sz w:val="20"/>
                <w:szCs w:val="20"/>
              </w:rPr>
              <w:t>沁水县康养中心建设项目。沁舜堂·文旅中医康养项目。“山乡水韵 艾草庄园”项目。永宁康养中心项目。青龙番茄小镇项目。沁河风光带文旅产业开发项目。西峪村红色文旅康养配套项目。郑庄镇“水韵牧歌”片区建设项目。历山生态走廊药农旅产业康养融合项目。陈家山康养项目。张村村特色康养村项目。王街村老姆掌姥姥庵避暑山庄项目。</w:t>
            </w:r>
          </w:p>
          <w:p w14:paraId="4059E607">
            <w:pPr>
              <w:overflowPunct w:val="0"/>
              <w:spacing w:line="300" w:lineRule="exact"/>
              <w:ind w:firstLine="562" w:firstLineChars="0"/>
              <w:rPr>
                <w:rFonts w:hint="eastAsia" w:asciiTheme="majorEastAsia" w:hAnsiTheme="majorEastAsia" w:eastAsiaTheme="majorEastAsia" w:cstheme="majorEastAsia"/>
                <w:kern w:val="0"/>
                <w:sz w:val="20"/>
                <w:szCs w:val="20"/>
              </w:rPr>
            </w:pPr>
            <w:r>
              <w:rPr>
                <w:rFonts w:hint="eastAsia" w:asciiTheme="majorEastAsia" w:hAnsiTheme="majorEastAsia" w:eastAsiaTheme="majorEastAsia" w:cstheme="majorEastAsia"/>
                <w:b/>
                <w:bCs/>
                <w:kern w:val="0"/>
                <w:sz w:val="20"/>
                <w:szCs w:val="20"/>
              </w:rPr>
              <w:t>文化旅游项目：</w:t>
            </w:r>
            <w:r>
              <w:rPr>
                <w:rFonts w:hint="eastAsia" w:asciiTheme="majorEastAsia" w:hAnsiTheme="majorEastAsia" w:eastAsiaTheme="majorEastAsia" w:cstheme="majorEastAsia"/>
                <w:kern w:val="0"/>
                <w:sz w:val="20"/>
                <w:szCs w:val="20"/>
              </w:rPr>
              <w:t>端氏镇端氏村汤王庙周边环境整治提升。端氏文化体育活动中心项目。沁水县土沃乡非物质文化遗产保护传承中心建设项目。云境·高山度假村项目。历山景区基础设施提升项目。暗夜星空营地建设项目。直升机旅游观光低空经济项目。太行洪谷景区景观提升项目。城隍里·休闲度假区项目。沁水县鹿台山3A景区提升项目。湘峪古堡旅游开发项目。</w:t>
            </w:r>
          </w:p>
          <w:p w14:paraId="53DA83D1">
            <w:pPr>
              <w:overflowPunct w:val="0"/>
              <w:spacing w:line="300" w:lineRule="exact"/>
              <w:ind w:firstLine="562" w:firstLineChars="0"/>
              <w:rPr>
                <w:rFonts w:hint="eastAsia" w:asciiTheme="majorEastAsia" w:hAnsiTheme="majorEastAsia" w:eastAsiaTheme="majorEastAsia" w:cstheme="majorEastAsia"/>
                <w:kern w:val="0"/>
                <w:sz w:val="20"/>
                <w:szCs w:val="20"/>
              </w:rPr>
            </w:pPr>
            <w:r>
              <w:rPr>
                <w:rFonts w:hint="eastAsia" w:asciiTheme="majorEastAsia" w:hAnsiTheme="majorEastAsia" w:eastAsiaTheme="majorEastAsia" w:cstheme="majorEastAsia"/>
                <w:b/>
                <w:bCs/>
                <w:kern w:val="0"/>
                <w:sz w:val="20"/>
                <w:szCs w:val="20"/>
              </w:rPr>
              <w:t>红色旅游项目：</w:t>
            </w:r>
            <w:r>
              <w:rPr>
                <w:rFonts w:hint="eastAsia" w:asciiTheme="majorEastAsia" w:hAnsiTheme="majorEastAsia" w:eastAsiaTheme="majorEastAsia" w:cstheme="majorEastAsia"/>
                <w:kern w:val="0"/>
                <w:sz w:val="20"/>
                <w:szCs w:val="20"/>
              </w:rPr>
              <w:t>沁水县高庄知青展览馆改造。端氏镇“千万工程”槐庄村士敏抗日县政府旧址红色教育基地建设项目。端氏镇苏庄村青春记忆酒店项目。武安、嘉峰廉政宣讲基地。嘉峰镇星火教育基地。烈士陵园改扩建项目。</w:t>
            </w:r>
          </w:p>
          <w:p w14:paraId="00FFCAA3">
            <w:pPr>
              <w:overflowPunct w:val="0"/>
              <w:spacing w:line="300" w:lineRule="exact"/>
              <w:ind w:firstLine="554" w:firstLineChars="0"/>
              <w:rPr>
                <w:rFonts w:hint="eastAsia" w:asciiTheme="majorEastAsia" w:hAnsiTheme="majorEastAsia" w:eastAsiaTheme="majorEastAsia" w:cstheme="majorEastAsia"/>
                <w:kern w:val="0"/>
                <w:sz w:val="20"/>
                <w:szCs w:val="20"/>
              </w:rPr>
            </w:pPr>
            <w:r>
              <w:rPr>
                <w:rFonts w:hint="eastAsia" w:asciiTheme="majorEastAsia" w:hAnsiTheme="majorEastAsia" w:eastAsiaTheme="majorEastAsia" w:cstheme="majorEastAsia"/>
                <w:b/>
                <w:bCs/>
                <w:spacing w:val="-2"/>
                <w:kern w:val="0"/>
                <w:sz w:val="20"/>
                <w:szCs w:val="20"/>
                <w:shd w:val="clear" w:color="auto" w:fill="FFFFFF"/>
              </w:rPr>
              <w:t>其他：</w:t>
            </w:r>
            <w:r>
              <w:rPr>
                <w:rFonts w:hint="eastAsia" w:asciiTheme="majorEastAsia" w:hAnsiTheme="majorEastAsia" w:eastAsiaTheme="majorEastAsia" w:cstheme="majorEastAsia"/>
                <w:kern w:val="0"/>
                <w:sz w:val="20"/>
                <w:szCs w:val="20"/>
              </w:rPr>
              <w:t>全域低空文旅项目。端氏商业办公综合体项目提升工程。沁水文旅酒店建设项目。杏则民宿提升项目。郎壁—石室沁河御境项目。沃泉童年小镇四期建设项目。涧河—仙红坪公路项目。涧河旅游康养项目。张马药农旅产业融合项目。嘉峰第二批小吃城建设项目。石火庄山水艺术营地建设。沁水县土沃乡四村联建旅游休闲区建设项目。仙红坪越野公园项目。沁水县体育公园三期项目。</w:t>
            </w:r>
          </w:p>
        </w:tc>
      </w:tr>
    </w:tbl>
    <w:p w14:paraId="508C9B49">
      <w:pPr>
        <w:overflowPunct w:val="0"/>
        <w:spacing w:line="622" w:lineRule="exact"/>
        <w:ind w:firstLine="0" w:firstLineChars="0"/>
        <w:rPr>
          <w:rFonts w:eastAsia="楷体_GB2312" w:cs="Times New Roman"/>
          <w:b/>
        </w:rPr>
      </w:pPr>
      <w:bookmarkStart w:id="38" w:name="_Toc31466"/>
    </w:p>
    <w:p w14:paraId="3D2E1A42">
      <w:pPr>
        <w:overflowPunct w:val="0"/>
        <w:spacing w:line="622" w:lineRule="exact"/>
        <w:ind w:firstLine="0" w:firstLineChars="0"/>
        <w:jc w:val="center"/>
        <w:outlineLvl w:val="1"/>
        <w:rPr>
          <w:rFonts w:eastAsia="楷体_GB2312" w:cs="Times New Roman"/>
          <w:bCs/>
        </w:rPr>
      </w:pPr>
      <w:bookmarkStart w:id="39" w:name="_Toc25710"/>
      <w:r>
        <w:rPr>
          <w:rFonts w:eastAsia="楷体_GB2312" w:cs="Times New Roman"/>
          <w:bCs/>
        </w:rPr>
        <w:t>第</w:t>
      </w:r>
      <w:r>
        <w:rPr>
          <w:rFonts w:hint="eastAsia" w:eastAsia="楷体_GB2312" w:cs="Times New Roman"/>
          <w:bCs/>
        </w:rPr>
        <w:t>三</w:t>
      </w:r>
      <w:r>
        <w:rPr>
          <w:rFonts w:eastAsia="楷体_GB2312" w:cs="Times New Roman"/>
          <w:bCs/>
        </w:rPr>
        <w:t>节</w:t>
      </w:r>
      <w:r>
        <w:rPr>
          <w:rFonts w:hint="eastAsia" w:ascii="楷体_GB2312" w:hAnsi="楷体_GB2312" w:eastAsia="楷体_GB2312" w:cs="楷体_GB2312"/>
        </w:rPr>
        <w:t xml:space="preserve">  </w:t>
      </w:r>
      <w:r>
        <w:rPr>
          <w:rFonts w:eastAsia="楷体_GB2312" w:cs="Times New Roman"/>
          <w:bCs/>
        </w:rPr>
        <w:t>高质量发展现代服务业</w:t>
      </w:r>
      <w:bookmarkEnd w:id="38"/>
      <w:bookmarkEnd w:id="39"/>
    </w:p>
    <w:p w14:paraId="2CB22E8B">
      <w:pPr>
        <w:overflowPunct w:val="0"/>
        <w:spacing w:line="622" w:lineRule="exact"/>
        <w:ind w:firstLine="640"/>
        <w:rPr>
          <w:rFonts w:cs="Times New Roman"/>
          <w:szCs w:val="32"/>
        </w:rPr>
      </w:pPr>
    </w:p>
    <w:p w14:paraId="4AB058CC">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深入开展服务业扩能提质行动，推动生产性服务业专业化、融合化发展，生活性服务业向品质化、多样化升级，全面提升服务业对现代产业体系的支撑力和价值链整合能力，为高质量发展注入新动能。</w:t>
      </w:r>
    </w:p>
    <w:p w14:paraId="01A55260">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大力发展现代物流业。</w:t>
      </w:r>
      <w:r>
        <w:rPr>
          <w:rFonts w:hint="eastAsia" w:ascii="仿宋_GB2312" w:hAnsi="仿宋_GB2312" w:cs="仿宋_GB2312"/>
          <w:szCs w:val="32"/>
        </w:rPr>
        <w:t>主动对接周边主要节点城市，全面优化提升“两轴三横五纵多联”骨干路网，打造连通“晋东南—晋南”物流新通道。搭建智慧物流共享平台，以乡村e镇物流配送中心和供销物流仓储中心为基础，整合县域产业资源和物流资源，搭建集资源共享、智能调度、智慧仓储为一体的县域智慧物流共享平台，促进物流业降本增效。优化提升县乡村三级物流体系效能，建设快递物流仓配中心，因地制宜补齐乡镇物流场站短板，提高运营效能，突出抓好村级物流站点布局建设，持续提高农村寄递物流服务质量。强化数智赋能，引进升级无人驾驶货车、自动分拣机器人等智能化设备，布局智慧云仓，推进仓储、分拣、物流运输等环节数字化升级，提升行业效率和竞争力。推进冷链物流设施建设，规划布局农产品产地冷链集配中心，加快建设沁水臻相供应链产业园区，完善县乡村三级农产品仓储冷链物流体系。鼓励物流企业标准化建设，培育一批A级物流企业。</w:t>
      </w:r>
    </w:p>
    <w:p w14:paraId="68351F3C">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协同发展其他生产性服务业。</w:t>
      </w:r>
      <w:r>
        <w:rPr>
          <w:rFonts w:hint="eastAsia" w:ascii="仿宋_GB2312" w:hAnsi="仿宋_GB2312" w:cs="仿宋_GB2312"/>
          <w:szCs w:val="32"/>
        </w:rPr>
        <w:t>围绕煤炭、煤层气以及碳基新材料等产业，配套发展技术咨询、评估、交易和工业设计、创意设计、检验检测等业态，做大科技服务、信息服务、商务服务等生产性服务业。推动科技金融、绿色金融、普惠金融、养老金融、数字金融发展，加大金融服务实体经济力度。推动平台经济健康发展，培育建设能源资源交易平台，整合煤炭产业链资源，实现煤炭生产、运输、销售等环节的信息共享与协同运作，提高产业协同效率，降低交易成本。巩固提升乡村e镇建设成果，推动县域产业与电商融合发展，做强电商直播。“十五五”期间，电商网络销售额力争达到6.2亿元以上，带动农产品销售达2000万元以上。</w:t>
      </w:r>
    </w:p>
    <w:p w14:paraId="58FC220D">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推动生活性服务业品质化多样化升级。</w:t>
      </w:r>
      <w:r>
        <w:rPr>
          <w:rFonts w:hint="eastAsia" w:ascii="仿宋_GB2312" w:hAnsi="仿宋_GB2312" w:cs="仿宋_GB2312"/>
          <w:szCs w:val="32"/>
        </w:rPr>
        <w:t>培育“三新”经济，积极发展新产业、新业态、新商业模式。推动夜间经济发展，改造提升夜间经济专区，扩大夜间经济消费供给、培育夜间经济消费品牌。发展首发经济、银发经济、低空文旅，培育消费新场景，拓展经济增长点。促进消费升级，完善促进消费增长长效机制，建设一刻钟便民生活圈，推动文旅康养、体育、养老、育幼、家政等生活性服务业高品质、多样化、便利化发展。</w:t>
      </w:r>
    </w:p>
    <w:p w14:paraId="172DBC84">
      <w:pPr>
        <w:overflowPunct w:val="0"/>
        <w:spacing w:line="622" w:lineRule="exact"/>
        <w:ind w:firstLine="643"/>
        <w:rPr>
          <w:rFonts w:hint="eastAsia" w:ascii="仿宋_GB2312" w:hAnsi="仿宋_GB2312" w:cs="仿宋_GB2312"/>
          <w:szCs w:val="32"/>
        </w:rPr>
      </w:pPr>
      <w:bookmarkStart w:id="40" w:name="_Toc26150"/>
      <w:r>
        <w:rPr>
          <w:rFonts w:hint="eastAsia" w:ascii="仿宋_GB2312" w:hAnsi="仿宋_GB2312" w:cs="仿宋_GB2312"/>
          <w:b/>
          <w:bCs/>
          <w:szCs w:val="32"/>
        </w:rPr>
        <w:t>推</w:t>
      </w:r>
      <w:r>
        <w:rPr>
          <w:rFonts w:hint="eastAsia" w:ascii="仿宋_GB2312" w:hAnsi="仿宋_GB2312" w:cs="仿宋_GB2312"/>
          <w:b/>
          <w:bCs/>
          <w:spacing w:val="6"/>
          <w:szCs w:val="32"/>
        </w:rPr>
        <w:t>动制造业与服务业深度融合。</w:t>
      </w:r>
      <w:r>
        <w:rPr>
          <w:rFonts w:hint="eastAsia" w:ascii="仿宋_GB2312" w:hAnsi="仿宋_GB2312" w:cs="仿宋_GB2312"/>
          <w:spacing w:val="6"/>
          <w:szCs w:val="32"/>
        </w:rPr>
        <w:t>实施制造业与服务业深度融合提升专项计划，鼓励制造企业开展个性化定制、柔性化生产，推动企业从单一生产制造向“生产+服务”模式转变，培育“产品+服务”新业态，支持现代服务业渗透融入制造环节，加快制造服务业智能化、产品化、定制化发展。鼓励物流、快递企业融入制造业采购、生产、仓储、分销、配送等环节，推进利用先进物流技术对制造业智能化改造，促进产业降本增效。</w:t>
      </w:r>
    </w:p>
    <w:p w14:paraId="0747C109">
      <w:pPr>
        <w:overflowPunct w:val="0"/>
        <w:spacing w:line="622" w:lineRule="exact"/>
        <w:ind w:firstLine="0" w:firstLineChars="0"/>
        <w:rPr>
          <w:rFonts w:hint="eastAsia" w:ascii="仿宋_GB2312" w:hAnsi="仿宋_GB2312" w:cs="仿宋_GB2312"/>
          <w:b/>
        </w:rPr>
      </w:pPr>
    </w:p>
    <w:p w14:paraId="19D2E04C">
      <w:pPr>
        <w:overflowPunct w:val="0"/>
        <w:spacing w:line="622" w:lineRule="exact"/>
        <w:ind w:firstLine="0" w:firstLineChars="0"/>
        <w:jc w:val="center"/>
        <w:outlineLvl w:val="1"/>
        <w:rPr>
          <w:rFonts w:hint="eastAsia" w:ascii="楷体_GB2312" w:hAnsi="楷体_GB2312" w:eastAsia="楷体_GB2312" w:cs="楷体_GB2312"/>
          <w:bCs/>
        </w:rPr>
      </w:pPr>
      <w:bookmarkStart w:id="41" w:name="_Toc2272"/>
    </w:p>
    <w:p w14:paraId="0AF7C428">
      <w:pPr>
        <w:overflowPunct w:val="0"/>
        <w:spacing w:line="622" w:lineRule="exact"/>
        <w:ind w:firstLine="0" w:firstLineChars="0"/>
        <w:jc w:val="center"/>
        <w:outlineLvl w:val="1"/>
        <w:rPr>
          <w:rFonts w:hint="eastAsia" w:ascii="楷体_GB2312" w:hAnsi="楷体_GB2312" w:eastAsia="楷体_GB2312" w:cs="楷体_GB2312"/>
          <w:bCs/>
        </w:rPr>
      </w:pPr>
    </w:p>
    <w:p w14:paraId="66C51CDB">
      <w:pPr>
        <w:overflowPunct w:val="0"/>
        <w:spacing w:line="622" w:lineRule="exact"/>
        <w:ind w:firstLine="0" w:firstLineChars="0"/>
        <w:jc w:val="center"/>
        <w:outlineLvl w:val="1"/>
        <w:rPr>
          <w:rFonts w:hint="eastAsia" w:ascii="楷体_GB2312" w:hAnsi="楷体_GB2312" w:eastAsia="楷体_GB2312" w:cs="楷体_GB2312"/>
          <w:bCs/>
        </w:rPr>
      </w:pPr>
      <w:r>
        <w:rPr>
          <w:rFonts w:hint="eastAsia" w:ascii="楷体_GB2312" w:hAnsi="楷体_GB2312" w:eastAsia="楷体_GB2312" w:cs="楷体_GB2312"/>
          <w:bCs/>
        </w:rPr>
        <w:t>第四节</w:t>
      </w:r>
      <w:r>
        <w:rPr>
          <w:rFonts w:hint="eastAsia" w:ascii="楷体_GB2312" w:hAnsi="楷体_GB2312" w:eastAsia="楷体_GB2312" w:cs="楷体_GB2312"/>
        </w:rPr>
        <w:t xml:space="preserve">  </w:t>
      </w:r>
      <w:r>
        <w:rPr>
          <w:rFonts w:hint="eastAsia" w:ascii="楷体_GB2312" w:hAnsi="楷体_GB2312" w:eastAsia="楷体_GB2312" w:cs="楷体_GB2312"/>
          <w:bCs/>
        </w:rPr>
        <w:t>发展壮大先进装备制造和现代中医药产业</w:t>
      </w:r>
      <w:bookmarkEnd w:id="40"/>
      <w:bookmarkEnd w:id="41"/>
    </w:p>
    <w:p w14:paraId="32F0EC4E">
      <w:pPr>
        <w:overflowPunct w:val="0"/>
        <w:spacing w:line="622" w:lineRule="exact"/>
        <w:ind w:firstLine="640"/>
        <w:rPr>
          <w:rFonts w:hint="eastAsia" w:ascii="仿宋_GB2312" w:hAnsi="仿宋_GB2312" w:cs="仿宋_GB2312"/>
          <w:szCs w:val="32"/>
        </w:rPr>
      </w:pPr>
    </w:p>
    <w:p w14:paraId="5FA631A5">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发挥煤矿、煤层气开采以及道地中药材专业镇建设优势，重点推动先进装备制造产业、现代中医药产业提质升级，进一步扩大战略性新兴产业规模，推动新兴产业聚链成群，加快发展新质生产力，塑造县域经济发展新动能与新优势。</w:t>
      </w:r>
    </w:p>
    <w:p w14:paraId="05CB6175">
      <w:pPr>
        <w:overflowPunct w:val="0"/>
        <w:spacing w:line="622" w:lineRule="exact"/>
        <w:ind w:firstLine="643"/>
        <w:rPr>
          <w:rFonts w:hint="eastAsia" w:ascii="仿宋_GB2312" w:hAnsi="仿宋_GB2312" w:cs="仿宋_GB2312"/>
        </w:rPr>
      </w:pPr>
      <w:r>
        <w:rPr>
          <w:rFonts w:hint="eastAsia" w:ascii="仿宋_GB2312" w:hAnsi="仿宋_GB2312" w:cs="仿宋_GB2312"/>
          <w:b/>
        </w:rPr>
        <w:t>发展壮大先进装备制造产业集群。</w:t>
      </w:r>
      <w:r>
        <w:rPr>
          <w:rFonts w:hint="eastAsia" w:ascii="仿宋_GB2312" w:hAnsi="仿宋_GB2312" w:cs="仿宋_GB2312"/>
          <w:bCs/>
        </w:rPr>
        <w:t>以特色化、高端化为方向，推动产业集群化发展。</w:t>
      </w:r>
      <w:r>
        <w:rPr>
          <w:rFonts w:hint="eastAsia" w:ascii="仿宋_GB2312" w:hAnsi="仿宋_GB2312" w:cs="仿宋_GB2312"/>
        </w:rPr>
        <w:t>发挥开发区装备制造产业园集聚效应，积极引进国内外一流装备制造企业，打造集研发、制造及工程技术服务于一体的能源装备制造产业体系。盘活闲置煤矿资源，发展高端煤机装备制造与智能再制造产业，引导产业布局由分散向集群转变，加快智能制造、绿色制造、服务型制造发展步伐。煤机装备制造重点向以钻杆、钻头、可溶桥塞等为主打产品的工具制造业以及低能耗、环保型智能装备产业转型提质。煤层气装备制造重点发展钻井工具、抽采装备、硫化氢处理装备、储运装备以及加工利用装备，创新推行“定制化研发＋批量化生产”运营模式，着力打造特色能源装备产业高地。持续壮大装备制造产业规模与核心竞争力，推动县属能投公司布局煤层气装备制造产业，力争跨入中国能源企业500强。加大科研投入，支持企业与中北大学等高校、科研院所共建实验室，探索建设先进技术装备测试应用场景。鼓励发展装备维修服务，积极构建“装备制造＋生产性服务”于一体的产业模式。鼓励企业开展大规模设备更新和节能低碳技术应用，支持企业申报国家级绿色工厂认证。</w:t>
      </w:r>
    </w:p>
    <w:p w14:paraId="6666892A">
      <w:pPr>
        <w:overflowPunct w:val="0"/>
        <w:spacing w:after="156" w:afterLines="50" w:line="622" w:lineRule="exact"/>
        <w:ind w:firstLine="0" w:firstLineChars="0"/>
        <w:jc w:val="center"/>
        <w:rPr>
          <w:rFonts w:hint="eastAsia" w:ascii="黑体" w:hAnsi="黑体" w:eastAsia="黑体" w:cs="黑体"/>
          <w:sz w:val="30"/>
          <w:szCs w:val="30"/>
        </w:rPr>
      </w:pPr>
      <w:r>
        <w:rPr>
          <w:rFonts w:hint="eastAsia" w:ascii="黑体" w:hAnsi="黑体" w:eastAsia="黑体" w:cs="黑体"/>
          <w:sz w:val="30"/>
          <w:szCs w:val="30"/>
        </w:rPr>
        <w:t>专栏8  先进装备制造业产业</w:t>
      </w:r>
      <w:r>
        <w:rPr>
          <w:rFonts w:hint="eastAsia" w:ascii="黑体" w:hAnsi="黑体" w:eastAsia="黑体" w:cs="黑体"/>
          <w:sz w:val="30"/>
          <w:szCs w:val="30"/>
          <w:lang w:eastAsia="zh-CN"/>
        </w:rPr>
        <w:t>重点</w:t>
      </w:r>
      <w:r>
        <w:rPr>
          <w:rFonts w:hint="eastAsia" w:ascii="黑体" w:hAnsi="黑体" w:eastAsia="黑体" w:cs="黑体"/>
          <w:sz w:val="30"/>
          <w:szCs w:val="30"/>
        </w:rPr>
        <w:t>项目</w:t>
      </w:r>
    </w:p>
    <w:tbl>
      <w:tblPr>
        <w:tblStyle w:val="21"/>
        <w:tblW w:w="906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9060"/>
      </w:tblGrid>
      <w:tr w14:paraId="194931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060" w:type="dxa"/>
            <w:tcBorders>
              <w:tl2br w:val="nil"/>
              <w:tr2bl w:val="nil"/>
            </w:tcBorders>
            <w:vAlign w:val="center"/>
          </w:tcPr>
          <w:p w14:paraId="06A8EAED">
            <w:pPr>
              <w:overflowPunct w:val="0"/>
              <w:snapToGrid w:val="0"/>
              <w:spacing w:line="440" w:lineRule="exact"/>
              <w:ind w:firstLine="402"/>
              <w:rPr>
                <w:rFonts w:eastAsia="宋体" w:cs="Times New Roman"/>
                <w:kern w:val="0"/>
                <w:sz w:val="20"/>
                <w:szCs w:val="20"/>
              </w:rPr>
            </w:pPr>
            <w:r>
              <w:rPr>
                <w:rFonts w:eastAsia="宋体" w:cs="Times New Roman"/>
                <w:b/>
                <w:bCs/>
                <w:kern w:val="0"/>
                <w:sz w:val="20"/>
                <w:szCs w:val="20"/>
              </w:rPr>
              <w:t>能源装备制造项目：</w:t>
            </w:r>
            <w:r>
              <w:rPr>
                <w:rFonts w:eastAsia="宋体" w:cs="Times New Roman"/>
                <w:kern w:val="0"/>
                <w:sz w:val="20"/>
                <w:szCs w:val="20"/>
              </w:rPr>
              <w:t>鼓励鼎承科技拓展装备维修服务，引导亿成装备扩大液压无杆泵生产规模，推动威马潜油螺杆泵项目落地生产。鼓励菲利普斯矿机、盛和矿机、金得机电等企业扩大规模。</w:t>
            </w:r>
          </w:p>
        </w:tc>
      </w:tr>
    </w:tbl>
    <w:p w14:paraId="27F65C4D">
      <w:pPr>
        <w:overflowPunct w:val="0"/>
        <w:spacing w:line="622" w:lineRule="exact"/>
        <w:ind w:firstLine="643"/>
        <w:rPr>
          <w:rFonts w:hint="eastAsia" w:ascii="仿宋_GB2312" w:hAnsi="仿宋_GB2312" w:cs="仿宋_GB2312"/>
          <w:szCs w:val="32"/>
        </w:rPr>
      </w:pPr>
      <w:r>
        <w:rPr>
          <w:rFonts w:hint="eastAsia" w:ascii="仿宋_GB2312" w:hAnsi="仿宋_GB2312" w:cs="仿宋_GB2312"/>
          <w:b/>
          <w:szCs w:val="32"/>
        </w:rPr>
        <w:t>培育壮大现代中医药产业。</w:t>
      </w:r>
      <w:r>
        <w:rPr>
          <w:rFonts w:hint="eastAsia" w:ascii="仿宋_GB2312" w:hAnsi="仿宋_GB2312" w:cs="仿宋_GB2312"/>
          <w:szCs w:val="32"/>
        </w:rPr>
        <w:t>发挥中药材种植基地优势，完善药材收储体系建设，深入挖掘道地药材利用价值，推进中药材深加工，构建“种植+收购+储存+加工+研发”一体化中药材产业发展体系，推动现代中医药产业发展壮大。统筹流转土地资源，推广“企业+合作社+农户”合作模式，配套建设种植技术指导站，布局道地药材规范化种植基地，夯实中医药产业发展基础。深化农林投与药材公司紧密协作，建设现代化收购仓储基地，配备恒温冷藏、湿度调控、质量检测设备，确保原料供应稳定可控。以县龙头药企为核心，深化与省内外中医药高校、科研院所合作，共建“产学研用”创新平台，重点攻关中药针剂药效提升、中药饮片炮制工艺优化、中药养生保健品配方研发等技术，建成涵盖中药提取、合成、制剂全流程产业研发中心。到2030年，研发推出10—15个具有市场竞争力的新产品。完善中药材产业质量监管体系，开展中药材种植、加工、流通环节监督检查，建立质量追溯体系。加大中医药企业培育力度，建设综合服务平台，提供政策咨询、技术指导、市场开拓等服务，促进现代中医药产业实现集群发展。</w:t>
      </w:r>
    </w:p>
    <w:p w14:paraId="313FC852">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积极布局生物制造产业。</w:t>
      </w:r>
      <w:r>
        <w:rPr>
          <w:rFonts w:hint="eastAsia" w:ascii="仿宋_GB2312" w:hAnsi="仿宋_GB2312" w:cs="仿宋_GB2312"/>
          <w:szCs w:val="32"/>
        </w:rPr>
        <w:t>依托沁水示范牧场、中药材资源、生态环境等优势，推动“生物制造+医药健康”融合发展，打造药食同源健康产业基地。加快新西兰（沁水）国际大健康高端生物制品项目、锦波生物相关生产线落地沁水。</w:t>
      </w:r>
    </w:p>
    <w:p w14:paraId="76F4BD2A">
      <w:pPr>
        <w:overflowPunct w:val="0"/>
        <w:spacing w:line="622" w:lineRule="exact"/>
        <w:ind w:firstLine="0" w:firstLineChars="0"/>
        <w:rPr>
          <w:rFonts w:eastAsia="楷体_GB2312" w:cs="Times New Roman"/>
          <w:b/>
        </w:rPr>
      </w:pPr>
      <w:bookmarkStart w:id="42" w:name="_Toc1191"/>
    </w:p>
    <w:p w14:paraId="2609EA1F">
      <w:pPr>
        <w:overflowPunct w:val="0"/>
        <w:spacing w:line="622" w:lineRule="exact"/>
        <w:ind w:firstLine="0" w:firstLineChars="0"/>
        <w:jc w:val="center"/>
        <w:outlineLvl w:val="1"/>
        <w:rPr>
          <w:rFonts w:eastAsia="楷体_GB2312" w:cs="Times New Roman"/>
          <w:bCs/>
        </w:rPr>
      </w:pPr>
      <w:bookmarkStart w:id="43" w:name="_Toc14461"/>
      <w:r>
        <w:rPr>
          <w:rFonts w:eastAsia="楷体_GB2312" w:cs="Times New Roman"/>
          <w:bCs/>
        </w:rPr>
        <w:t>第</w:t>
      </w:r>
      <w:r>
        <w:rPr>
          <w:rFonts w:hint="eastAsia" w:eastAsia="楷体_GB2312" w:cs="Times New Roman"/>
          <w:bCs/>
        </w:rPr>
        <w:t>五</w:t>
      </w:r>
      <w:r>
        <w:rPr>
          <w:rFonts w:eastAsia="楷体_GB2312" w:cs="Times New Roman"/>
          <w:bCs/>
        </w:rPr>
        <w:t>节</w:t>
      </w:r>
      <w:r>
        <w:rPr>
          <w:rFonts w:hint="eastAsia" w:ascii="楷体_GB2312" w:hAnsi="楷体_GB2312" w:eastAsia="楷体_GB2312" w:cs="楷体_GB2312"/>
        </w:rPr>
        <w:t xml:space="preserve">  </w:t>
      </w:r>
      <w:r>
        <w:rPr>
          <w:rFonts w:eastAsia="楷体_GB2312" w:cs="Times New Roman"/>
          <w:bCs/>
        </w:rPr>
        <w:t>加快布局数智产业与低空经济</w:t>
      </w:r>
      <w:bookmarkEnd w:id="42"/>
      <w:bookmarkEnd w:id="43"/>
    </w:p>
    <w:p w14:paraId="65677675">
      <w:pPr>
        <w:overflowPunct w:val="0"/>
        <w:spacing w:line="622" w:lineRule="exact"/>
        <w:ind w:firstLine="0" w:firstLineChars="0"/>
        <w:rPr>
          <w:rFonts w:eastAsia="楷体_GB2312" w:cs="Times New Roman"/>
          <w:b/>
        </w:rPr>
      </w:pPr>
    </w:p>
    <w:p w14:paraId="4D38667B">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以“数字沁水”建设为引领，优化5G、算力等基础设施布局，积极推动数字产业化与产业数字化发展，创新数字化、智能化消费场景，拓展低空经济应用场景，促进数智产业与低空经济协同发展，加快培育经济增长新动能。</w:t>
      </w:r>
    </w:p>
    <w:p w14:paraId="4DEA96A0">
      <w:pPr>
        <w:overflowPunct w:val="0"/>
        <w:spacing w:line="622" w:lineRule="exact"/>
        <w:ind w:firstLine="643"/>
        <w:rPr>
          <w:rFonts w:hint="eastAsia" w:ascii="仿宋_GB2312" w:hAnsi="仿宋_GB2312" w:cs="仿宋_GB2312"/>
          <w:spacing w:val="-6"/>
          <w:szCs w:val="32"/>
        </w:rPr>
      </w:pPr>
      <w:r>
        <w:rPr>
          <w:rFonts w:hint="eastAsia" w:ascii="仿宋_GB2312" w:hAnsi="仿宋_GB2312" w:cs="仿宋_GB2312"/>
          <w:b/>
        </w:rPr>
        <w:t>夯</w:t>
      </w:r>
      <w:r>
        <w:rPr>
          <w:rFonts w:hint="eastAsia" w:ascii="仿宋_GB2312" w:hAnsi="仿宋_GB2312" w:cs="仿宋_GB2312"/>
          <w:b/>
          <w:spacing w:val="-6"/>
        </w:rPr>
        <w:t>实数字基础设施底座。</w:t>
      </w:r>
      <w:r>
        <w:rPr>
          <w:rFonts w:hint="eastAsia" w:ascii="仿宋_GB2312" w:hAnsi="仿宋_GB2312" w:cs="仿宋_GB2312"/>
          <w:spacing w:val="-6"/>
          <w:szCs w:val="32"/>
        </w:rPr>
        <w:t>不断完善数字基础设施建设，构建形成以通信网络为基础、以数据和计算设施为核心、以融合创新基础设施为突破的新型数字基础设施体系。有序推进5G网络向5G-A升级演进，着力打造5G应用示范项目，实施村村通5G工程，加快推进5G网络建设与规模化应用。到“十五五”末，全县5G基站达到600个，为数字产业培植及工业数字化转型筑牢网络基础支撑。持续推进固定宽带网络升级，加快千兆光网建设，完善千兆光网接入能力。加快建设算力基础设施，加大智算资源供给，依托沁水煤层气资源优势，打造“瓦斯发电+数据中心”的绿色智算中心，承接京津冀地区AI训练、科学计算等算力需求，</w:t>
      </w:r>
      <w:r>
        <w:rPr>
          <w:rFonts w:ascii="仿宋_GB2312" w:hAnsi="仿宋_GB2312" w:cs="仿宋_GB2312"/>
          <w:spacing w:val="-6"/>
          <w:szCs w:val="32"/>
        </w:rPr>
        <w:t>积极融入</w:t>
      </w:r>
      <w:r>
        <w:rPr>
          <w:rFonts w:hint="eastAsia" w:ascii="仿宋_GB2312" w:hAnsi="仿宋_GB2312" w:cs="仿宋_GB2312"/>
          <w:spacing w:val="-6"/>
          <w:szCs w:val="32"/>
        </w:rPr>
        <w:t>晋城市</w:t>
      </w:r>
      <w:r>
        <w:rPr>
          <w:rFonts w:ascii="仿宋_GB2312" w:hAnsi="仿宋_GB2312" w:cs="仿宋_GB2312"/>
          <w:spacing w:val="-6"/>
          <w:szCs w:val="32"/>
        </w:rPr>
        <w:t>一体化算力体系</w:t>
      </w:r>
      <w:r>
        <w:rPr>
          <w:rFonts w:hint="eastAsia" w:ascii="仿宋_GB2312" w:hAnsi="仿宋_GB2312" w:cs="仿宋_GB2312"/>
          <w:spacing w:val="-6"/>
          <w:szCs w:val="32"/>
        </w:rPr>
        <w:t>。</w:t>
      </w:r>
    </w:p>
    <w:p w14:paraId="7A289450">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积极培育数字经济产业。</w:t>
      </w:r>
      <w:r>
        <w:rPr>
          <w:rFonts w:hint="eastAsia" w:ascii="仿宋_GB2312" w:hAnsi="仿宋_GB2312" w:cs="仿宋_GB2312"/>
          <w:szCs w:val="32"/>
        </w:rPr>
        <w:t>做优数字产业化，大力引进数字经济头部企业、上市公司和潜力企业，积极融入全国一体化数据市场，深化数据资源开发利用，培育壮大数字经济核心产业。加速产业数字化，鼓励传统企业加大数字化投入，开展数字化智能化改造升级，积极发展智慧旅游、智慧农业等新产业新业态，促进数字经济和实体经济深度融合。沿煤层气主产区发展智能装备制造、数字能源服务等关联产业，构建“数字技术+清洁能源”融合示范带。依托历山、柳氏民居等景区，大力发展数字文旅、数字文创等新业态，打造沉浸式文旅体验经济带。</w:t>
      </w:r>
    </w:p>
    <w:p w14:paraId="01CEB488">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加力培育智能产业发展。</w:t>
      </w:r>
      <w:r>
        <w:rPr>
          <w:rFonts w:hint="eastAsia" w:ascii="仿宋_GB2312" w:hAnsi="仿宋_GB2312" w:cs="仿宋_GB2312"/>
          <w:szCs w:val="32"/>
        </w:rPr>
        <w:t>大力实施“两化融合”专项行动，打造“5G+工业互联网”产业集群和创新生态，推动“5G+工业互联网”规模化应用。推广人工智能工业应用技术产品。支持面向制造业研发创新自动识别设备、人机交互系统、工业机器人等人工智能工业应用技术产品。探索“人工智能+”产业发展路径，搭建跨行业综合性数字化赋能平台，支持工业企业在研发、采购、生产、销售、管理等主要环节实施信息化改造，加快智能工厂创建。完善“城市大脑+基础平台+行业应用”数治体系，拓展智慧医疗、智慧养老、智慧社区、智慧交通等应用场景，加快智慧城市建设步伐。</w:t>
      </w:r>
    </w:p>
    <w:p w14:paraId="16E48714">
      <w:pPr>
        <w:overflowPunct w:val="0"/>
        <w:spacing w:line="622" w:lineRule="exact"/>
        <w:ind w:firstLine="643"/>
        <w:rPr>
          <w:rFonts w:hint="eastAsia" w:ascii="黑体" w:hAnsi="黑体" w:eastAsia="黑体" w:cs="黑体"/>
          <w:kern w:val="0"/>
          <w:sz w:val="30"/>
          <w:szCs w:val="30"/>
        </w:rPr>
      </w:pPr>
      <w:r>
        <w:rPr>
          <w:rFonts w:hint="eastAsia" w:ascii="仿宋_GB2312" w:hAnsi="仿宋_GB2312" w:cs="仿宋_GB2312"/>
          <w:b/>
          <w:bCs/>
          <w:szCs w:val="32"/>
        </w:rPr>
        <w:t>加快布局低空经济。</w:t>
      </w:r>
      <w:r>
        <w:rPr>
          <w:rFonts w:hint="eastAsia" w:ascii="仿宋_GB2312" w:hAnsi="仿宋_GB2312" w:cs="仿宋_GB2312"/>
          <w:szCs w:val="32"/>
        </w:rPr>
        <w:t>抢抓国家低空经济开放政策与山西省通航示范省建设契机，坚持“适度超前、不过度超前”原则，因地制宜按需布局一批无人机小微型起降平台、大中型起降场，完善基础设施建设，夯实低空经济发展基础。拓展低空经济多领域应用场景，聚焦农业、文旅、商贸物流、森林巡检、气象监测、应急救援等重点领域，系统培育建设可复制、可推广的低空经济标杆场景，加速释放低空领域市场潜力与产业价值。开展精准招商引资，定向引进无人机研发及整装制造企业，推动无人机总装项目在沁水落地投产，</w:t>
      </w:r>
      <w:r>
        <w:rPr>
          <w:rFonts w:hint="eastAsia" w:ascii="仿宋_GB2312" w:hAnsi="仿宋_GB2312" w:cs="仿宋_GB2312"/>
          <w:szCs w:val="32"/>
          <w:lang w:eastAsia="zh-CN"/>
        </w:rPr>
        <w:t>加快</w:t>
      </w:r>
      <w:r>
        <w:rPr>
          <w:rFonts w:hint="eastAsia" w:ascii="仿宋_GB2312" w:hAnsi="仿宋_GB2312" w:cs="仿宋_GB2312"/>
          <w:szCs w:val="32"/>
        </w:rPr>
        <w:t>区域低空装备生产</w:t>
      </w:r>
      <w:r>
        <w:rPr>
          <w:rFonts w:hint="eastAsia" w:ascii="仿宋_GB2312" w:hAnsi="仿宋_GB2312" w:cs="仿宋_GB2312"/>
          <w:szCs w:val="32"/>
          <w:lang w:eastAsia="zh-CN"/>
        </w:rPr>
        <w:t>配套</w:t>
      </w:r>
      <w:r>
        <w:rPr>
          <w:rFonts w:hint="eastAsia" w:ascii="仿宋_GB2312" w:hAnsi="仿宋_GB2312" w:cs="仿宋_GB2312"/>
          <w:szCs w:val="32"/>
        </w:rPr>
        <w:t>。结合低空整装制造企业配套需求，同步招引零部件制造、飞手培训、飞行保障等产业，形成“技术研发—生产制造—场景应用”全链条生态，推动低空经济从“单点应用”向“集群发展”迈进，为县域经济注入新动能。</w:t>
      </w:r>
    </w:p>
    <w:p w14:paraId="30D60DBA">
      <w:pPr>
        <w:overflowPunct w:val="0"/>
        <w:spacing w:after="156" w:afterLines="50" w:line="622" w:lineRule="exact"/>
        <w:ind w:firstLine="0" w:firstLineChars="0"/>
        <w:jc w:val="center"/>
        <w:rPr>
          <w:rFonts w:hint="eastAsia" w:ascii="黑体" w:hAnsi="黑体" w:eastAsia="黑体" w:cs="黑体"/>
          <w:sz w:val="30"/>
          <w:szCs w:val="30"/>
        </w:rPr>
      </w:pPr>
      <w:r>
        <w:rPr>
          <w:rFonts w:hint="eastAsia" w:ascii="黑体" w:hAnsi="黑体" w:eastAsia="黑体" w:cs="黑体"/>
          <w:kern w:val="0"/>
          <w:sz w:val="30"/>
          <w:szCs w:val="30"/>
        </w:rPr>
        <w:t>专栏9  数字经济产业</w:t>
      </w:r>
      <w:r>
        <w:rPr>
          <w:rFonts w:hint="eastAsia" w:ascii="黑体" w:hAnsi="黑体" w:eastAsia="黑体" w:cs="黑体"/>
          <w:kern w:val="0"/>
          <w:sz w:val="30"/>
          <w:szCs w:val="30"/>
          <w:lang w:eastAsia="zh-CN"/>
        </w:rPr>
        <w:t>重点</w:t>
      </w:r>
      <w:r>
        <w:rPr>
          <w:rFonts w:hint="eastAsia" w:ascii="黑体" w:hAnsi="黑体" w:eastAsia="黑体" w:cs="黑体"/>
          <w:kern w:val="0"/>
          <w:sz w:val="30"/>
          <w:szCs w:val="30"/>
        </w:rPr>
        <w:t>项目</w:t>
      </w:r>
    </w:p>
    <w:tbl>
      <w:tblPr>
        <w:tblStyle w:val="21"/>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292F4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60" w:type="dxa"/>
            <w:vAlign w:val="center"/>
          </w:tcPr>
          <w:p w14:paraId="1ED9606E">
            <w:pPr>
              <w:overflowPunct w:val="0"/>
              <w:snapToGrid w:val="0"/>
              <w:spacing w:line="360" w:lineRule="exact"/>
              <w:ind w:firstLine="402"/>
              <w:rPr>
                <w:rFonts w:hint="eastAsia" w:asciiTheme="majorEastAsia" w:hAnsiTheme="majorEastAsia" w:eastAsiaTheme="majorEastAsia" w:cstheme="majorEastAsia"/>
                <w:kern w:val="0"/>
                <w:sz w:val="20"/>
                <w:szCs w:val="20"/>
              </w:rPr>
            </w:pPr>
            <w:r>
              <w:rPr>
                <w:rFonts w:hint="eastAsia" w:asciiTheme="majorEastAsia" w:hAnsiTheme="majorEastAsia" w:eastAsiaTheme="majorEastAsia" w:cstheme="majorEastAsia"/>
                <w:b/>
                <w:bCs/>
                <w:kern w:val="0"/>
                <w:sz w:val="20"/>
                <w:szCs w:val="20"/>
              </w:rPr>
              <w:t>“数字沁水”项目：</w:t>
            </w:r>
            <w:r>
              <w:rPr>
                <w:rFonts w:hint="eastAsia" w:asciiTheme="majorEastAsia" w:hAnsiTheme="majorEastAsia" w:eastAsiaTheme="majorEastAsia" w:cstheme="majorEastAsia"/>
                <w:kern w:val="0"/>
                <w:sz w:val="20"/>
                <w:szCs w:val="20"/>
              </w:rPr>
              <w:t>建设大数据中心，建设云计算平台、视频融合平台、空间地理信息平台、智慧交通服务监管平台、城市运营指挥平台、“雪亮工程”综治云平台等。</w:t>
            </w:r>
          </w:p>
          <w:p w14:paraId="145516DC">
            <w:pPr>
              <w:overflowPunct w:val="0"/>
              <w:snapToGrid w:val="0"/>
              <w:spacing w:line="360" w:lineRule="exact"/>
              <w:ind w:firstLine="402"/>
              <w:rPr>
                <w:rFonts w:hint="eastAsia" w:asciiTheme="majorEastAsia" w:hAnsiTheme="majorEastAsia" w:eastAsiaTheme="majorEastAsia" w:cstheme="majorEastAsia"/>
                <w:kern w:val="0"/>
                <w:sz w:val="20"/>
                <w:szCs w:val="20"/>
              </w:rPr>
            </w:pPr>
            <w:r>
              <w:rPr>
                <w:rFonts w:hint="eastAsia" w:asciiTheme="majorEastAsia" w:hAnsiTheme="majorEastAsia" w:eastAsiaTheme="majorEastAsia" w:cstheme="majorEastAsia"/>
                <w:b/>
                <w:bCs/>
                <w:kern w:val="0"/>
                <w:sz w:val="20"/>
                <w:szCs w:val="20"/>
              </w:rPr>
              <w:t>5G基站建设项目：</w:t>
            </w:r>
            <w:r>
              <w:rPr>
                <w:rFonts w:hint="eastAsia" w:asciiTheme="majorEastAsia" w:hAnsiTheme="majorEastAsia" w:eastAsiaTheme="majorEastAsia" w:cstheme="majorEastAsia"/>
                <w:kern w:val="0"/>
                <w:sz w:val="20"/>
                <w:szCs w:val="20"/>
              </w:rPr>
              <w:t>规划新建5G站点，依托移动、联通、电信及铁塔公司等网络运营企业，于2030年底前完成沁水县城5G通信覆盖率100%。</w:t>
            </w:r>
          </w:p>
          <w:p w14:paraId="1F5AA08F">
            <w:pPr>
              <w:overflowPunct w:val="0"/>
              <w:snapToGrid w:val="0"/>
              <w:spacing w:line="360" w:lineRule="exact"/>
              <w:ind w:firstLine="402"/>
              <w:rPr>
                <w:rFonts w:hint="eastAsia" w:asciiTheme="majorEastAsia" w:hAnsiTheme="majorEastAsia" w:eastAsiaTheme="majorEastAsia" w:cstheme="majorEastAsia"/>
                <w:kern w:val="0"/>
                <w:sz w:val="20"/>
                <w:szCs w:val="20"/>
              </w:rPr>
            </w:pPr>
            <w:r>
              <w:rPr>
                <w:rFonts w:hint="eastAsia" w:asciiTheme="majorEastAsia" w:hAnsiTheme="majorEastAsia" w:eastAsiaTheme="majorEastAsia" w:cstheme="majorEastAsia"/>
                <w:b/>
                <w:bCs/>
                <w:kern w:val="0"/>
                <w:sz w:val="20"/>
                <w:szCs w:val="20"/>
              </w:rPr>
              <w:t>数字创意孵化中心项目：</w:t>
            </w:r>
            <w:r>
              <w:rPr>
                <w:rFonts w:hint="eastAsia" w:asciiTheme="majorEastAsia" w:hAnsiTheme="majorEastAsia" w:eastAsiaTheme="majorEastAsia" w:cstheme="majorEastAsia"/>
                <w:kern w:val="0"/>
                <w:sz w:val="20"/>
                <w:szCs w:val="20"/>
              </w:rPr>
              <w:t>为数字创意创业企业提供办公楼、厂房、人才公寓、会议中心和生活配套设施。</w:t>
            </w:r>
          </w:p>
          <w:p w14:paraId="72CE4EFC">
            <w:pPr>
              <w:overflowPunct w:val="0"/>
              <w:snapToGrid w:val="0"/>
              <w:spacing w:line="360" w:lineRule="exact"/>
              <w:ind w:firstLine="402"/>
              <w:rPr>
                <w:rFonts w:hint="eastAsia" w:asciiTheme="majorEastAsia" w:hAnsiTheme="majorEastAsia" w:eastAsiaTheme="majorEastAsia" w:cstheme="majorEastAsia"/>
                <w:kern w:val="0"/>
                <w:sz w:val="20"/>
                <w:szCs w:val="20"/>
                <w:highlight w:val="yellow"/>
                <w:lang w:eastAsia="zh-CN"/>
              </w:rPr>
            </w:pPr>
            <w:r>
              <w:rPr>
                <w:rFonts w:hint="eastAsia" w:asciiTheme="majorEastAsia" w:hAnsiTheme="majorEastAsia" w:eastAsiaTheme="majorEastAsia" w:cstheme="majorEastAsia"/>
                <w:b/>
                <w:bCs/>
                <w:kern w:val="0"/>
                <w:sz w:val="20"/>
                <w:szCs w:val="20"/>
              </w:rPr>
              <w:t>无人机总装项目</w:t>
            </w:r>
            <w:r>
              <w:rPr>
                <w:rFonts w:hint="eastAsia" w:asciiTheme="majorEastAsia" w:hAnsiTheme="majorEastAsia" w:eastAsiaTheme="majorEastAsia" w:cstheme="majorEastAsia"/>
                <w:kern w:val="0"/>
                <w:sz w:val="20"/>
                <w:szCs w:val="20"/>
              </w:rPr>
              <w:t>：推进沁水LY系列无人机制造项</w:t>
            </w:r>
            <w:r>
              <w:rPr>
                <w:rFonts w:hint="eastAsia" w:asciiTheme="majorEastAsia" w:hAnsiTheme="majorEastAsia" w:eastAsiaTheme="majorEastAsia" w:cstheme="majorEastAsia"/>
                <w:kern w:val="0"/>
                <w:sz w:val="20"/>
                <w:szCs w:val="20"/>
                <w:lang w:eastAsia="zh-CN"/>
              </w:rPr>
              <w:t>。</w:t>
            </w:r>
            <w:r>
              <w:rPr>
                <w:rFonts w:hint="eastAsia" w:asciiTheme="majorEastAsia" w:hAnsiTheme="majorEastAsia" w:eastAsiaTheme="majorEastAsia" w:cstheme="majorEastAsia"/>
                <w:kern w:val="0"/>
                <w:sz w:val="20"/>
                <w:szCs w:val="20"/>
              </w:rPr>
              <w:t>建设三条不同型号的无人机组装生产线和一条无人机巢的生产线。</w:t>
            </w:r>
          </w:p>
          <w:p w14:paraId="6FB90CDC">
            <w:pPr>
              <w:overflowPunct w:val="0"/>
              <w:snapToGrid w:val="0"/>
              <w:spacing w:line="360" w:lineRule="exact"/>
              <w:ind w:firstLine="402"/>
              <w:rPr>
                <w:rFonts w:hint="eastAsia" w:asciiTheme="majorEastAsia" w:hAnsiTheme="majorEastAsia" w:eastAsiaTheme="majorEastAsia" w:cstheme="majorEastAsia"/>
                <w:kern w:val="0"/>
                <w:sz w:val="20"/>
                <w:szCs w:val="20"/>
              </w:rPr>
            </w:pPr>
            <w:r>
              <w:rPr>
                <w:rFonts w:hint="eastAsia" w:asciiTheme="majorEastAsia" w:hAnsiTheme="majorEastAsia" w:eastAsiaTheme="majorEastAsia" w:cstheme="majorEastAsia"/>
                <w:b/>
                <w:bCs/>
                <w:kern w:val="0"/>
                <w:sz w:val="20"/>
                <w:szCs w:val="20"/>
              </w:rPr>
              <w:t>低空经济平台建设项目：</w:t>
            </w:r>
            <w:r>
              <w:rPr>
                <w:rFonts w:hint="eastAsia" w:asciiTheme="majorEastAsia" w:hAnsiTheme="majorEastAsia" w:eastAsiaTheme="majorEastAsia" w:cstheme="majorEastAsia"/>
                <w:kern w:val="0"/>
                <w:sz w:val="20"/>
                <w:szCs w:val="20"/>
              </w:rPr>
              <w:t>建设低空管控平台、检验检测中心及低空试飞场。</w:t>
            </w:r>
          </w:p>
        </w:tc>
      </w:tr>
    </w:tbl>
    <w:p w14:paraId="15203F61">
      <w:pPr>
        <w:overflowPunct w:val="0"/>
        <w:spacing w:line="622" w:lineRule="exact"/>
        <w:ind w:firstLine="0" w:firstLineChars="0"/>
        <w:rPr>
          <w:rFonts w:eastAsia="楷体_GB2312" w:cs="Times New Roman"/>
          <w:b/>
        </w:rPr>
      </w:pPr>
      <w:bookmarkStart w:id="44" w:name="_Toc32695"/>
    </w:p>
    <w:p w14:paraId="5E9A92B4">
      <w:pPr>
        <w:overflowPunct w:val="0"/>
        <w:spacing w:line="622" w:lineRule="exact"/>
        <w:ind w:firstLine="0" w:firstLineChars="0"/>
        <w:jc w:val="center"/>
        <w:outlineLvl w:val="1"/>
        <w:rPr>
          <w:rFonts w:eastAsia="楷体_GB2312" w:cs="Times New Roman"/>
          <w:bCs/>
        </w:rPr>
      </w:pPr>
      <w:bookmarkStart w:id="45" w:name="_Toc8890"/>
    </w:p>
    <w:p w14:paraId="112C233D">
      <w:pPr>
        <w:overflowPunct w:val="0"/>
        <w:spacing w:line="622" w:lineRule="exact"/>
        <w:ind w:firstLine="0" w:firstLineChars="0"/>
        <w:jc w:val="center"/>
        <w:outlineLvl w:val="1"/>
        <w:rPr>
          <w:rFonts w:eastAsia="楷体_GB2312" w:cs="Times New Roman"/>
          <w:bCs/>
        </w:rPr>
      </w:pPr>
      <w:r>
        <w:rPr>
          <w:rFonts w:eastAsia="楷体_GB2312" w:cs="Times New Roman"/>
          <w:bCs/>
        </w:rPr>
        <w:t>第六节</w:t>
      </w:r>
      <w:r>
        <w:rPr>
          <w:rFonts w:hint="eastAsia" w:ascii="楷体_GB2312" w:hAnsi="楷体_GB2312" w:eastAsia="楷体_GB2312" w:cs="楷体_GB2312"/>
        </w:rPr>
        <w:t xml:space="preserve">  </w:t>
      </w:r>
      <w:r>
        <w:rPr>
          <w:rFonts w:eastAsia="楷体_GB2312" w:cs="Times New Roman"/>
          <w:bCs/>
        </w:rPr>
        <w:t>打造链镇区产业协同发展格局</w:t>
      </w:r>
      <w:bookmarkEnd w:id="44"/>
      <w:bookmarkEnd w:id="45"/>
    </w:p>
    <w:p w14:paraId="65509B12">
      <w:pPr>
        <w:overflowPunct w:val="0"/>
        <w:spacing w:line="622" w:lineRule="exact"/>
        <w:ind w:firstLine="640"/>
        <w:rPr>
          <w:rFonts w:cs="Times New Roman"/>
          <w:szCs w:val="32"/>
        </w:rPr>
      </w:pPr>
    </w:p>
    <w:p w14:paraId="38B7787A">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以产业链、专业镇、开发区为核心抓手，引导县域经济重点产业上下游配套企业集聚，推动产业集群式发展，加快构建“链镇群区”一体化协同发展格局。</w:t>
      </w:r>
    </w:p>
    <w:p w14:paraId="77A88BB4">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推进重点产业链提质增效。</w:t>
      </w:r>
      <w:r>
        <w:rPr>
          <w:rFonts w:hint="eastAsia" w:ascii="仿宋_GB2312" w:hAnsi="仿宋_GB2312" w:cs="仿宋_GB2312"/>
          <w:szCs w:val="32"/>
        </w:rPr>
        <w:t>有效统筹资源要素，突出优势领域，重点打造现代煤化工、煤层气综合利用、碳基复合材料、高端装备制造、低空经济等重点产业链，加速嵌入全省产业分工体系。用好产业链“链长制”，选优培强“链主”企业，支持链主企业带动链上企业协同发展，提升关联度和协作配套水平，实现“一企带一链、一链成一片”。鼓励产业链核心企业建设产业链协同创新平台，共享创新资源和信息，提升全产业链集成创新水平，突破一批行业关键共性技术，以创新引导上下游配套企业集聚，实现产业链集群式发展。到“十五五”末，新增培育2个以上核心链主企业、5个以上核心链上企业。</w:t>
      </w:r>
    </w:p>
    <w:p w14:paraId="18045E72">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实施专业镇壮大培优工程。</w:t>
      </w:r>
      <w:r>
        <w:rPr>
          <w:rFonts w:hint="eastAsia" w:ascii="仿宋_GB2312" w:hAnsi="仿宋_GB2312" w:cs="仿宋_GB2312"/>
          <w:szCs w:val="32"/>
        </w:rPr>
        <w:t>立足产业优势，建立健全专业镇梯次培育体系，发展壮大煤层气、蜂蜜、黑山羊、道地药材等专业镇，积极培育更多新兴专业镇。建设提升各类专业镇公共服务平台，优化专业镇投融资机制，实施一批蜂蜜、药材深加工等重大项目，不断推动专业镇主导产业扩规模、增效益。实施中小企业成长计划，建立后备企业培育库，鼓励企业升规纳统，重点培育专精特新企业和单项冠军企业。开展专业镇质量品牌提升行动，坚持质量引领、以质取胜，引导中小企业积极参与企业质量品牌建设公益培训，促进企业质量管理体系升级，打造更多“山西精品”。加强区域品牌建设，围绕专业镇优势特色产业，深挖产品价值，讲好品牌故事，积极开展区域品牌形象宣传推介，加</w:t>
      </w:r>
    </w:p>
    <w:p w14:paraId="7AA7FE2C">
      <w:pPr>
        <w:overflowPunct w:val="0"/>
        <w:spacing w:line="594" w:lineRule="exact"/>
        <w:ind w:firstLine="0" w:firstLineChars="0"/>
        <w:rPr>
          <w:rFonts w:hint="eastAsia" w:ascii="仿宋_GB2312" w:hAnsi="仿宋_GB2312" w:cs="仿宋_GB2312"/>
          <w:szCs w:val="32"/>
        </w:rPr>
      </w:pPr>
      <w:r>
        <w:rPr>
          <w:rFonts w:hint="eastAsia" w:ascii="仿宋_GB2312" w:hAnsi="仿宋_GB2312" w:cs="仿宋_GB2312"/>
          <w:szCs w:val="32"/>
        </w:rPr>
        <w:t>快构建区域品牌质量标准、认证和追溯体系，打造一批竞争力强、美誉度高的区域品牌。</w:t>
      </w:r>
    </w:p>
    <w:bookmarkEnd w:id="31"/>
    <w:p w14:paraId="49E4EC8C">
      <w:pPr>
        <w:overflowPunct w:val="0"/>
        <w:spacing w:line="594" w:lineRule="exact"/>
        <w:ind w:firstLine="643"/>
        <w:rPr>
          <w:rFonts w:hint="eastAsia" w:ascii="仿宋_GB2312" w:hAnsi="仿宋_GB2312" w:cs="仿宋_GB2312"/>
          <w:spacing w:val="-6"/>
          <w:szCs w:val="32"/>
        </w:rPr>
      </w:pPr>
      <w:r>
        <w:rPr>
          <w:rFonts w:hint="eastAsia" w:ascii="仿宋_GB2312" w:hAnsi="仿宋_GB2312" w:cs="仿宋_GB2312"/>
          <w:b/>
          <w:bCs/>
          <w:szCs w:val="32"/>
        </w:rPr>
        <w:t>提</w:t>
      </w:r>
      <w:r>
        <w:rPr>
          <w:rFonts w:hint="eastAsia" w:ascii="仿宋_GB2312" w:hAnsi="仿宋_GB2312" w:cs="仿宋_GB2312"/>
          <w:b/>
          <w:bCs/>
          <w:spacing w:val="-6"/>
          <w:szCs w:val="32"/>
        </w:rPr>
        <w:t>升开发区发展能级。</w:t>
      </w:r>
      <w:r>
        <w:rPr>
          <w:rFonts w:hint="eastAsia" w:ascii="仿宋_GB2312" w:hAnsi="仿宋_GB2312" w:cs="仿宋_GB2312"/>
          <w:spacing w:val="-6"/>
          <w:szCs w:val="32"/>
        </w:rPr>
        <w:t>对标全国、全省同类先进开发区，做大做强煤炭煤层气综合利用、碳基新材料、低空经济、航空航天、生物制造五大产业，促进要素集约、企业集聚、产业集群发展，完善激励、约束和退出机制，推动开发区土地亩均产出效益不断提升。优化投融资生态。打造“1+N”母子基金体系，提升“沁河碳谷”母基金运作水平，引进社会资本设置“天使基金”“创投基金”，重点投向硬科技和早期项目。打造产业技术支撑平台。深化产学研用协同。联合中国科学院</w:t>
      </w:r>
      <w:bookmarkStart w:id="171" w:name="_GoBack"/>
      <w:bookmarkEnd w:id="171"/>
      <w:r>
        <w:rPr>
          <w:rFonts w:hint="eastAsia" w:ascii="仿宋_GB2312" w:hAnsi="仿宋_GB2312" w:cs="仿宋_GB2312"/>
          <w:spacing w:val="-6"/>
          <w:szCs w:val="32"/>
        </w:rPr>
        <w:t>山西煤化所等组建碳基产业研究院，提供技术研发、检测、标准制定服务。创新招商模式，提升招商精准效能。实施招商引资攻坚行动，构建“党工委（管委会）+大公司”专业招商格局，建强法人化、机制化、专业化、市场化招商队伍，提升招商精准度和成功率。完善企业综合服务平台，营造一流营商环境。开发专属端口向企业推广政策，建立工业政策“免申即享”机制，确保红利直达。对重点工业企业实施“一企一策”，配备服务专员协调解决用地、用工、用能问题。健全培育服务链条。引进第三方专业服务机构，为企业提供从创立、运营到发展的“全生命周期”服务。</w:t>
      </w:r>
    </w:p>
    <w:p w14:paraId="2F45D3BC">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br w:type="page"/>
      </w:r>
    </w:p>
    <w:p w14:paraId="24D8AF29">
      <w:pPr>
        <w:overflowPunct w:val="0"/>
        <w:spacing w:line="622" w:lineRule="exact"/>
        <w:ind w:firstLine="0" w:firstLineChars="0"/>
        <w:rPr>
          <w:rFonts w:eastAsia="黑体" w:cs="Times New Roman"/>
          <w:kern w:val="44"/>
          <w:sz w:val="36"/>
        </w:rPr>
      </w:pPr>
      <w:bookmarkStart w:id="46" w:name="_Toc25917"/>
    </w:p>
    <w:p w14:paraId="27C485E6">
      <w:pPr>
        <w:numPr>
          <w:ilvl w:val="0"/>
          <w:numId w:val="3"/>
        </w:numPr>
        <w:overflowPunct w:val="0"/>
        <w:spacing w:line="622" w:lineRule="exact"/>
        <w:ind w:firstLine="0" w:firstLineChars="0"/>
        <w:jc w:val="center"/>
        <w:outlineLvl w:val="0"/>
        <w:rPr>
          <w:rFonts w:eastAsia="黑体" w:cs="Times New Roman"/>
          <w:kern w:val="44"/>
          <w:szCs w:val="32"/>
        </w:rPr>
      </w:pPr>
      <w:bookmarkStart w:id="47" w:name="_Toc18673"/>
      <w:r>
        <w:rPr>
          <w:rFonts w:eastAsia="黑体" w:cs="Times New Roman"/>
          <w:kern w:val="44"/>
          <w:szCs w:val="32"/>
        </w:rPr>
        <w:t>促进投资消费良性互动</w:t>
      </w:r>
      <w:r>
        <w:rPr>
          <w:rFonts w:hint="eastAsia" w:eastAsia="黑体" w:cs="Times New Roman"/>
          <w:kern w:val="44"/>
          <w:szCs w:val="32"/>
          <w:lang w:val="en-US" w:eastAsia="zh-CN"/>
        </w:rPr>
        <w:t xml:space="preserve"> </w:t>
      </w:r>
      <w:r>
        <w:rPr>
          <w:rFonts w:eastAsia="黑体" w:cs="Times New Roman"/>
          <w:kern w:val="44"/>
          <w:szCs w:val="32"/>
        </w:rPr>
        <w:t>主动融入全国统一大市场</w:t>
      </w:r>
      <w:bookmarkEnd w:id="46"/>
      <w:bookmarkEnd w:id="47"/>
    </w:p>
    <w:p w14:paraId="39517F67">
      <w:pPr>
        <w:overflowPunct w:val="0"/>
        <w:spacing w:line="622" w:lineRule="exact"/>
        <w:ind w:firstLine="640"/>
        <w:rPr>
          <w:rFonts w:cs="Times New Roman"/>
          <w:bCs/>
          <w:szCs w:val="32"/>
        </w:rPr>
      </w:pPr>
    </w:p>
    <w:p w14:paraId="06916AC3">
      <w:pPr>
        <w:overflowPunct w:val="0"/>
        <w:spacing w:line="622" w:lineRule="exact"/>
        <w:ind w:firstLine="640"/>
        <w:rPr>
          <w:rFonts w:cs="Times New Roman"/>
          <w:szCs w:val="32"/>
        </w:rPr>
      </w:pPr>
      <w:r>
        <w:rPr>
          <w:rFonts w:cs="Times New Roman"/>
          <w:bCs/>
          <w:szCs w:val="32"/>
        </w:rPr>
        <w:t>以扩大内需为战略基点，坚持惠民生与促消费、投资于物与投资于人紧密结合，激发内生增长动力，不断以新需求引领新供给、以新供给创造新需求。</w:t>
      </w:r>
    </w:p>
    <w:p w14:paraId="13B9743D">
      <w:pPr>
        <w:overflowPunct w:val="0"/>
        <w:spacing w:line="622" w:lineRule="exact"/>
        <w:ind w:firstLine="0" w:firstLineChars="0"/>
        <w:rPr>
          <w:rFonts w:eastAsia="楷体_GB2312" w:cs="Times New Roman"/>
          <w:b/>
        </w:rPr>
      </w:pPr>
      <w:bookmarkStart w:id="48" w:name="_Toc24893"/>
    </w:p>
    <w:p w14:paraId="4CAD00E1">
      <w:pPr>
        <w:overflowPunct w:val="0"/>
        <w:spacing w:line="622" w:lineRule="exact"/>
        <w:ind w:firstLine="0" w:firstLineChars="0"/>
        <w:jc w:val="center"/>
        <w:outlineLvl w:val="1"/>
        <w:rPr>
          <w:rFonts w:eastAsia="楷体_GB2312" w:cs="Times New Roman"/>
          <w:bCs/>
        </w:rPr>
      </w:pPr>
      <w:bookmarkStart w:id="49" w:name="_Toc30453"/>
      <w:r>
        <w:rPr>
          <w:rFonts w:eastAsia="楷体_GB2312" w:cs="Times New Roman"/>
          <w:bCs/>
        </w:rPr>
        <w:t>第一节</w:t>
      </w:r>
      <w:r>
        <w:rPr>
          <w:rFonts w:hint="eastAsia" w:ascii="楷体_GB2312" w:hAnsi="楷体_GB2312" w:eastAsia="楷体_GB2312" w:cs="楷体_GB2312"/>
        </w:rPr>
        <w:t xml:space="preserve">  </w:t>
      </w:r>
      <w:r>
        <w:rPr>
          <w:rFonts w:eastAsia="楷体_GB2312" w:cs="Times New Roman"/>
          <w:bCs/>
        </w:rPr>
        <w:t>激发消费市场活力</w:t>
      </w:r>
      <w:bookmarkEnd w:id="48"/>
      <w:bookmarkEnd w:id="49"/>
    </w:p>
    <w:p w14:paraId="2407A4D6">
      <w:pPr>
        <w:overflowPunct w:val="0"/>
        <w:spacing w:line="622" w:lineRule="exact"/>
        <w:ind w:firstLine="0" w:firstLineChars="0"/>
        <w:rPr>
          <w:rFonts w:eastAsia="楷体_GB2312" w:cs="Times New Roman"/>
          <w:b/>
        </w:rPr>
      </w:pPr>
    </w:p>
    <w:p w14:paraId="544B6B33">
      <w:pPr>
        <w:overflowPunct w:val="0"/>
        <w:spacing w:line="622" w:lineRule="exact"/>
        <w:ind w:firstLine="640"/>
        <w:rPr>
          <w:rFonts w:hint="eastAsia" w:ascii="仿宋_GB2312" w:hAnsi="仿宋_GB2312" w:cs="仿宋_GB2312"/>
          <w:bCs/>
          <w:szCs w:val="32"/>
        </w:rPr>
      </w:pPr>
      <w:r>
        <w:rPr>
          <w:rFonts w:hint="eastAsia" w:ascii="仿宋_GB2312" w:hAnsi="仿宋_GB2312" w:cs="仿宋_GB2312"/>
          <w:bCs/>
          <w:szCs w:val="32"/>
        </w:rPr>
        <w:t>把握居民消费转型升级新趋势，实施提振消费专项行动，积极培育消费新业态新模式新热点，打造高品质供给体系和消费载体，切实发挥消费对拉动经济增长的基础性作用，加速激活释放消费潜能。</w:t>
      </w:r>
    </w:p>
    <w:p w14:paraId="6C5C6BFA">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创新多元化消费场景。</w:t>
      </w:r>
      <w:r>
        <w:rPr>
          <w:rFonts w:hint="eastAsia" w:ascii="仿宋_GB2312" w:hAnsi="仿宋_GB2312" w:cs="仿宋_GB2312"/>
          <w:szCs w:val="32"/>
        </w:rPr>
        <w:t>依托古堡文化、生态资源和红色教育基地优势，发挥湘峪古堡、树理小镇等龙头景区带动作用，开发文化寻踪、非遗传承、民俗节庆等特色消费场景。促进文体旅深度融合，建设集体育赛事、农事体验、工业研学于一体的运动休闲综合体。提升文旅康养品牌影响力，开发精品康养旅游线路，培育避暑经济、银发经济等新增长点。推进消费场所适老化改造，鼓励商业设施设立老年消费专区，拓展银发消费市场。以“四季”为轴线，举办网络购物节、大宗商品促销会、美食节、年货节等线上线下促消费活动。规范发展夜市经济，提档升级夜间消费集聚区，持续完善配套保障、加强主体培育、丰富夜间品牌。积极引进品牌首店、首发资源，培育时尚化、主题化、智能化消费新场景。创新和丰富消费场景，深挖数字、绿色、智能等新型消费潜力，培育新型消费热点。</w:t>
      </w:r>
    </w:p>
    <w:p w14:paraId="30A7379A">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扩大服务消费供给。</w:t>
      </w:r>
      <w:r>
        <w:rPr>
          <w:rFonts w:hint="eastAsia" w:ascii="仿宋_GB2312" w:hAnsi="仿宋_GB2312" w:cs="仿宋_GB2312"/>
          <w:szCs w:val="32"/>
        </w:rPr>
        <w:t>统筹促就业、增收入、稳预期，合理提高公共服务支出占财政支出比重，不断扩大优质服务供给，增强居民消费能力。优化“一老一小”服务供给，探索多层建筑加装电梯、发展老年助餐、适老化改造消费场所，释放银发消费市场潜力，鼓励发展嵌入式托育、用人单位办托服务，完善养老托育价格形成机制。结合一刻钟便民生活圈，配齐购物、餐饮、家政、维修、养老、托育等基本保障类业态，实现“家门口的幸福”。创新“物业超市平台”机制，提升物业管理服务水平，实现专业物业管理全覆盖。构建“1+N”的“沁水精品”品牌矩阵，扩大沁水产品知名度和影响力，打造高品质特色消费目的地。</w:t>
      </w:r>
    </w:p>
    <w:p w14:paraId="1A0CEA6F">
      <w:pPr>
        <w:overflowPunct w:val="0"/>
        <w:spacing w:after="156" w:afterLines="50" w:line="622" w:lineRule="exact"/>
        <w:ind w:firstLine="0" w:firstLineChars="0"/>
        <w:jc w:val="center"/>
        <w:rPr>
          <w:rFonts w:hint="eastAsia" w:ascii="黑体" w:hAnsi="黑体" w:eastAsia="黑体" w:cs="黑体"/>
          <w:sz w:val="30"/>
          <w:szCs w:val="30"/>
        </w:rPr>
      </w:pPr>
      <w:r>
        <w:rPr>
          <w:rFonts w:hint="eastAsia" w:ascii="黑体" w:hAnsi="黑体" w:eastAsia="黑体" w:cs="黑体"/>
          <w:kern w:val="0"/>
          <w:sz w:val="30"/>
          <w:szCs w:val="30"/>
        </w:rPr>
        <w:t>专栏10  “一刻钟便民生活圈”建设工程</w:t>
      </w:r>
    </w:p>
    <w:tbl>
      <w:tblPr>
        <w:tblStyle w:val="21"/>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7"/>
      </w:tblGrid>
      <w:tr w14:paraId="0084B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8" w:hRule="atLeast"/>
          <w:jc w:val="center"/>
        </w:trPr>
        <w:tc>
          <w:tcPr>
            <w:tcW w:w="5000" w:type="pct"/>
            <w:vAlign w:val="center"/>
          </w:tcPr>
          <w:p w14:paraId="7C8A75D8">
            <w:pPr>
              <w:overflowPunct w:val="0"/>
              <w:spacing w:line="360" w:lineRule="exact"/>
              <w:ind w:firstLine="400"/>
              <w:rPr>
                <w:rFonts w:hint="eastAsia" w:asciiTheme="majorEastAsia" w:hAnsiTheme="majorEastAsia" w:eastAsiaTheme="majorEastAsia" w:cstheme="majorEastAsia"/>
                <w:kern w:val="0"/>
                <w:sz w:val="20"/>
                <w:szCs w:val="20"/>
              </w:rPr>
            </w:pPr>
            <w:r>
              <w:rPr>
                <w:rFonts w:hint="eastAsia" w:asciiTheme="majorEastAsia" w:hAnsiTheme="majorEastAsia" w:eastAsiaTheme="majorEastAsia" w:cstheme="majorEastAsia"/>
                <w:kern w:val="0"/>
                <w:sz w:val="20"/>
                <w:szCs w:val="20"/>
              </w:rPr>
              <w:t>以建成区生活圈为重点，优化社区商业网点布局，提升便利店、生鲜超市、智能快递柜等基础业态覆盖率。</w:t>
            </w:r>
          </w:p>
          <w:p w14:paraId="66D7D148">
            <w:pPr>
              <w:overflowPunct w:val="0"/>
              <w:spacing w:line="360" w:lineRule="exact"/>
              <w:ind w:firstLine="400"/>
              <w:rPr>
                <w:rFonts w:hint="eastAsia" w:asciiTheme="majorEastAsia" w:hAnsiTheme="majorEastAsia" w:eastAsiaTheme="majorEastAsia" w:cstheme="majorEastAsia"/>
                <w:kern w:val="0"/>
                <w:sz w:val="20"/>
                <w:szCs w:val="20"/>
              </w:rPr>
            </w:pPr>
            <w:r>
              <w:rPr>
                <w:rFonts w:hint="eastAsia" w:asciiTheme="majorEastAsia" w:hAnsiTheme="majorEastAsia" w:eastAsiaTheme="majorEastAsia" w:cstheme="majorEastAsia"/>
                <w:kern w:val="0"/>
                <w:sz w:val="20"/>
                <w:szCs w:val="20"/>
              </w:rPr>
              <w:t>重点发展以城隍庙商圈为核心打造“一核多极”商业格局，培育特色商贸综合体，升级改造特色商业街区，创新发展夜生活集聚区。如发展“一店一早”，补齐“一菜一修”，服务“一老一小”“一收一洗”等基本保障类业态，因地制宜发展品质提升类业态，营造多元化多层次消费场景。</w:t>
            </w:r>
          </w:p>
        </w:tc>
      </w:tr>
    </w:tbl>
    <w:p w14:paraId="7DFC9BC8">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升级更新大宗消费。</w:t>
      </w:r>
      <w:r>
        <w:rPr>
          <w:rFonts w:hint="eastAsia" w:ascii="仿宋_GB2312" w:hAnsi="仿宋_GB2312" w:cs="仿宋_GB2312"/>
          <w:szCs w:val="32"/>
        </w:rPr>
        <w:t>加大消费品以旧换新政策支持力度，推动汽车、家电、家装等大宗消费品绿色智能更新升级，规范电动车置换市场，扩大3C数码产品换购补贴范围。开展提振消费专项系列活动，创新消费券发放和使用方式，拓展消费补贴适用场景，形成波浪式消费热潮。完善大宗消费品下乡进社区服务网络，健全售后回收服务体系。探索清理汽车、住房等消费不合理限制性措施。坚持“房住不炒”定位，实施房地产市场平稳健康发展长效机制，更新改造城中村、规划配售配租型公租房、以“好房子”标准建设商品房。优化城乡充电网络布局，推广应用新能源汽车。延伸汽车消费链条，培育壮大二手车市场，拓展汽车改装、租赁、赛事及房车露营等汽车后市场消费。</w:t>
      </w:r>
    </w:p>
    <w:p w14:paraId="5EF13CEB">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优化县域商贸体系。</w:t>
      </w:r>
      <w:r>
        <w:rPr>
          <w:rFonts w:hint="eastAsia" w:ascii="仿宋_GB2312" w:hAnsi="仿宋_GB2312" w:cs="仿宋_GB2312"/>
          <w:szCs w:val="32"/>
        </w:rPr>
        <w:t>提升县城商业集聚辐射能力，以城隍庙商圈为核心打造“一核多极”商业圈，培育特色商贸综合体，打造“沁河烟火”特色商业街区，创新发展夜生活集聚区、一刻钟便民生活圈，改造生活性街道与广场，新建便民市场，打造西街商务区、南山及小岭社区商业等富有“烟火气”的商业节点。强化乡镇商业枢纽功能,推进乡镇商贸中心</w:t>
      </w:r>
      <w:r>
        <w:rPr>
          <w:rFonts w:hint="eastAsia" w:ascii="仿宋_GB2312" w:hAnsi="仿宋_GB2312" w:cs="仿宋_GB2312"/>
          <w:szCs w:val="32"/>
          <w:lang w:eastAsia="zh-CN"/>
        </w:rPr>
        <w:t>、</w:t>
      </w:r>
      <w:r>
        <w:rPr>
          <w:rFonts w:hint="eastAsia" w:ascii="仿宋_GB2312" w:hAnsi="仿宋_GB2312" w:cs="仿宋_GB2312"/>
          <w:szCs w:val="32"/>
        </w:rPr>
        <w:t>大中型超市和集贸市场提质升级</w:t>
      </w:r>
      <w:r>
        <w:rPr>
          <w:rFonts w:hint="eastAsia" w:ascii="仿宋_GB2312" w:hAnsi="仿宋_GB2312" w:cs="仿宋_GB2312"/>
          <w:szCs w:val="32"/>
          <w:lang w:eastAsia="zh-CN"/>
        </w:rPr>
        <w:t>，</w:t>
      </w:r>
      <w:r>
        <w:rPr>
          <w:rFonts w:hint="eastAsia" w:ascii="仿宋_GB2312" w:hAnsi="仿宋_GB2312" w:cs="仿宋_GB2312"/>
          <w:szCs w:val="32"/>
        </w:rPr>
        <w:t>丰富餐饮住宿、休闲娱乐等消费业态。在具备条件的</w:t>
      </w:r>
      <w:r>
        <w:rPr>
          <w:rFonts w:hint="eastAsia" w:ascii="仿宋_GB2312" w:hAnsi="仿宋_GB2312" w:cs="仿宋_GB2312"/>
          <w:szCs w:val="32"/>
          <w:lang w:eastAsia="zh-CN"/>
        </w:rPr>
        <w:t>乡</w:t>
      </w:r>
      <w:r>
        <w:rPr>
          <w:rFonts w:hint="eastAsia" w:ascii="仿宋_GB2312" w:hAnsi="仿宋_GB2312" w:cs="仿宋_GB2312"/>
          <w:szCs w:val="32"/>
        </w:rPr>
        <w:t>镇,依托现存网点开设“沁水农产品直供站”，搭建农特产品直供链条，布局中心镇商贸文旅康养综合体。健全村级商业服务网点，引导连锁化、品牌化商贸企业下沉农村，建设多功能农村新型便民商店，整合日用消费品、农资供应、邮政快递等服务功能，实现“一点多能、一网多用”。</w:t>
      </w:r>
    </w:p>
    <w:p w14:paraId="67BAF316">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持续优化消费环境。</w:t>
      </w:r>
      <w:r>
        <w:rPr>
          <w:rFonts w:hint="eastAsia" w:ascii="仿宋_GB2312" w:hAnsi="仿宋_GB2312" w:cs="仿宋_GB2312"/>
          <w:szCs w:val="32"/>
        </w:rPr>
        <w:t>依法落实带薪休假错峰休假，保障劳动者休息休假权益。建立健全适应消费新业态新模式新场景的管理办法，规范网络销售、直播带货。深化优化消费环境三年行动，加强消费者权益保护，聚焦食品、药品、旅游等重点领域，健全质量标准、信用监管、消费维权等制度体系，加大市场监管执法力度，严厉打击制假售假、虚假宣传、价格欺诈等违法行为。加快智慧商圈建设，部署AI导购屏、无人结算系统，升级购物消费体验。健全农特产品质量标准，建立产品溯源体系。</w:t>
      </w:r>
      <w:r>
        <w:rPr>
          <w:rFonts w:hint="eastAsia" w:ascii="仿宋_GB2312" w:hAnsi="仿宋_GB2312" w:eastAsia="仿宋_GB2312" w:cs="仿宋_GB2312"/>
          <w:sz w:val="32"/>
          <w:szCs w:val="40"/>
          <w:lang w:val="en-US" w:eastAsia="zh-CN"/>
        </w:rPr>
        <w:t>持续优化县域电商发展生态，</w:t>
      </w:r>
      <w:r>
        <w:rPr>
          <w:rFonts w:hint="eastAsia" w:ascii="仿宋_GB2312" w:hAnsi="仿宋_GB2312" w:cs="仿宋_GB2312"/>
          <w:szCs w:val="32"/>
        </w:rPr>
        <w:t>推动</w:t>
      </w:r>
      <w:r>
        <w:rPr>
          <w:rFonts w:hint="eastAsia" w:ascii="仿宋_GB2312" w:hAnsi="仿宋_GB2312" w:eastAsia="仿宋_GB2312" w:cs="仿宋_GB2312"/>
          <w:sz w:val="32"/>
          <w:szCs w:val="40"/>
          <w:lang w:val="en-US" w:eastAsia="zh-CN"/>
        </w:rPr>
        <w:t>县乡村e镇高质量发展</w:t>
      </w:r>
      <w:r>
        <w:rPr>
          <w:rFonts w:hint="eastAsia" w:ascii="仿宋_GB2312" w:hAnsi="仿宋_GB2312" w:cs="仿宋_GB2312"/>
          <w:sz w:val="32"/>
          <w:szCs w:val="40"/>
          <w:lang w:val="en-US" w:eastAsia="zh-CN"/>
        </w:rPr>
        <w:t>。</w:t>
      </w:r>
    </w:p>
    <w:p w14:paraId="0A0C8C88">
      <w:pPr>
        <w:overflowPunct w:val="0"/>
        <w:spacing w:line="622" w:lineRule="exact"/>
        <w:ind w:firstLine="0" w:firstLineChars="0"/>
        <w:rPr>
          <w:rFonts w:eastAsia="楷体_GB2312" w:cs="Times New Roman"/>
          <w:b/>
        </w:rPr>
      </w:pPr>
      <w:bookmarkStart w:id="50" w:name="_Toc5492"/>
    </w:p>
    <w:p w14:paraId="1E77E259">
      <w:pPr>
        <w:overflowPunct w:val="0"/>
        <w:spacing w:line="622" w:lineRule="exact"/>
        <w:ind w:firstLine="0" w:firstLineChars="0"/>
        <w:jc w:val="center"/>
        <w:outlineLvl w:val="1"/>
        <w:rPr>
          <w:rFonts w:eastAsia="楷体_GB2312" w:cs="Times New Roman"/>
          <w:bCs/>
        </w:rPr>
      </w:pPr>
      <w:bookmarkStart w:id="51" w:name="_Toc23711"/>
      <w:r>
        <w:rPr>
          <w:rFonts w:eastAsia="楷体_GB2312" w:cs="Times New Roman"/>
          <w:bCs/>
        </w:rPr>
        <w:t xml:space="preserve">第二节 </w:t>
      </w:r>
      <w:r>
        <w:rPr>
          <w:rFonts w:hint="eastAsia" w:eastAsia="楷体_GB2312" w:cs="Times New Roman"/>
          <w:bCs/>
        </w:rPr>
        <w:t xml:space="preserve"> </w:t>
      </w:r>
      <w:r>
        <w:rPr>
          <w:rFonts w:eastAsia="楷体_GB2312" w:cs="Times New Roman"/>
          <w:bCs/>
        </w:rPr>
        <w:t>提升投资质量效益</w:t>
      </w:r>
      <w:bookmarkEnd w:id="50"/>
      <w:bookmarkEnd w:id="51"/>
    </w:p>
    <w:p w14:paraId="783338DC">
      <w:pPr>
        <w:overflowPunct w:val="0"/>
        <w:spacing w:line="622" w:lineRule="exact"/>
        <w:ind w:firstLine="0" w:firstLineChars="0"/>
        <w:rPr>
          <w:rFonts w:eastAsia="楷体_GB2312" w:cs="Times New Roman"/>
          <w:b/>
        </w:rPr>
      </w:pPr>
    </w:p>
    <w:p w14:paraId="60194987">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聚焦能源转型、产业升级、基础设施、公共服务、安全保障等重点领域，保持投资合理增长，着力提高投资效益，不断增强投资对优化供给结构、促进产业升级的关键作用。</w:t>
      </w:r>
    </w:p>
    <w:p w14:paraId="4526B8C1">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拓展有效投资空间。</w:t>
      </w:r>
      <w:r>
        <w:rPr>
          <w:rFonts w:hint="eastAsia" w:ascii="仿宋_GB2312" w:hAnsi="仿宋_GB2312" w:cs="仿宋_GB2312"/>
          <w:szCs w:val="32"/>
        </w:rPr>
        <w:t>围绕国家重大战略实施和重点领域安全能力建设，加力支持“两重”项目建设。立足煤炭、煤层气产业基础，系统谋划能源产业提质增效重大项目。用好各级各类技改资金，推进传统产业改造升级和大规模设备更新。因地制宜扩大战略性新兴产业和未来产业投资，加快碳基新材料、航空航天、高端装备制造、</w:t>
      </w:r>
      <w:r>
        <w:rPr>
          <w:rFonts w:hint="eastAsia" w:ascii="仿宋_GB2312" w:hAnsi="仿宋_GB2312" w:cs="仿宋_GB2312"/>
          <w:bCs/>
          <w:szCs w:val="32"/>
        </w:rPr>
        <w:t>低空经济、数字经济、现代医药等领域项目建设。扎实推进新型能源体系建设，建设完善储能、风电、光伏、电网设备。以智算中心建设为牵引，加大智算中心基础设施建设，构建大数据产业生态。</w:t>
      </w:r>
      <w:r>
        <w:rPr>
          <w:rFonts w:hint="eastAsia" w:ascii="仿宋_GB2312" w:hAnsi="仿宋_GB2312" w:cs="仿宋_GB2312"/>
          <w:szCs w:val="32"/>
        </w:rPr>
        <w:t>优化路网结构布局、健全客货运输体系、强化统一管养服务，构建“东西升级、南北强化、区域循环、多维联动”的现代化交通运输体系。加大基础设施建设投入力度，扩能改建供热站、改造更新电网电路、扩大供水覆盖面、完善污水收集管网、开展城市排洪防涝和边坡治理，补齐县域建设短板。</w:t>
      </w:r>
    </w:p>
    <w:p w14:paraId="798A8F7D">
      <w:pPr>
        <w:overflowPunct w:val="0"/>
        <w:spacing w:line="622" w:lineRule="exact"/>
        <w:ind w:firstLine="643"/>
        <w:rPr>
          <w:rFonts w:hint="eastAsia" w:ascii="仿宋_GB2312" w:hAnsi="仿宋_GB2312" w:cs="仿宋_GB2312"/>
          <w:b/>
          <w:bCs/>
          <w:szCs w:val="32"/>
        </w:rPr>
      </w:pPr>
      <w:r>
        <w:rPr>
          <w:rFonts w:hint="eastAsia" w:ascii="仿宋_GB2312" w:hAnsi="仿宋_GB2312" w:cs="仿宋_GB2312"/>
          <w:b/>
          <w:bCs/>
          <w:szCs w:val="32"/>
        </w:rPr>
        <w:t>构建多元融资体系。</w:t>
      </w:r>
      <w:r>
        <w:rPr>
          <w:rFonts w:hint="eastAsia" w:ascii="仿宋_GB2312" w:hAnsi="仿宋_GB2312" w:cs="仿宋_GB2312"/>
          <w:szCs w:val="32"/>
        </w:rPr>
        <w:t>提升重大项目谋划质量和前期深度，积极争取中央预算内投资、超长期特别国债、地方政府专项债券等资金支持，保障重大项目建设需求。加强财政金融政策协同，发挥政府投资引导作用，用好“沁河碳谷”产业发展基金，精准支持主导产业和科技创新企业发展。按照“一项目一策”探索采用政府和社会合作EOD、PPP、BOT等模式，强化对社会资本参与政府投资项目投资、建设、运营的权益保护。建立风险补偿资金池，撬动银行推出“科技贷”“知识产权质押贷”等金融产品，降低信贷门槛。提升金融服务实体经济效能，常态化开展银企对接活动，引导金融机构在产业集聚区设立服务网点。完善民营企业参与重大项目建设长效机制，破除民间投资准入壁垒，激发民间投资活力、提高民间投资比重。对农村电商企业，开发“农产品预售订单贷”，设立村集体经济发展专项资金和农业产业发展基金，采取以奖代补、项目扶持等方式，支持乡村产业和民生项目建设。</w:t>
      </w:r>
    </w:p>
    <w:p w14:paraId="53AFA446">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促进投资消费良性互动。</w:t>
      </w:r>
      <w:r>
        <w:rPr>
          <w:rFonts w:hint="eastAsia" w:ascii="仿宋_GB2312" w:hAnsi="仿宋_GB2312" w:cs="仿宋_GB2312"/>
          <w:szCs w:val="32"/>
        </w:rPr>
        <w:t>统筹“投资于人”和“投资于物”，扩大消费基础设施、消费服务功能提升、消费新业态新模式的有效投资，推动实现投资创造消费条件、消费需求牵引投资方向、投资收益反哺消费升级的良性互促。建立消费需求动态研判机制，精准识别消费新趋势，引导资本向消费升级领域聚集。推动更多资金资源“投资于人”，加大育儿养老、教育发展、技能培训、医疗健康、扩大就业、城市更新等民生领域资金配置。加大城乡商业网络、物流体系、支付终端、数字基建等设施和服务投资，补齐消费基础设施短板。强化重大项目消费功能，同步配套商业服务设施，留足消费空间。支持企业加大科研投入、开展设备更新和工艺改造，增加智能化、绿色化、高端化产品供给，培育新消费增长点。激发数字消费投资活力，拓宽“沁水好物”线上销售渠道，建设智慧商店、智慧菜场，提升消费便捷度。</w:t>
      </w:r>
    </w:p>
    <w:p w14:paraId="143DE0A2">
      <w:pPr>
        <w:overflowPunct w:val="0"/>
        <w:spacing w:line="622" w:lineRule="exact"/>
        <w:ind w:firstLine="0" w:firstLineChars="0"/>
        <w:rPr>
          <w:rFonts w:eastAsia="楷体_GB2312" w:cs="Times New Roman"/>
          <w:b/>
        </w:rPr>
      </w:pPr>
      <w:bookmarkStart w:id="52" w:name="_Toc13911"/>
    </w:p>
    <w:p w14:paraId="24DF5A1B">
      <w:pPr>
        <w:overflowPunct w:val="0"/>
        <w:spacing w:line="622" w:lineRule="exact"/>
        <w:ind w:firstLine="0" w:firstLineChars="0"/>
        <w:jc w:val="center"/>
        <w:outlineLvl w:val="1"/>
        <w:rPr>
          <w:rFonts w:eastAsia="楷体_GB2312" w:cs="Times New Roman"/>
          <w:bCs/>
        </w:rPr>
      </w:pPr>
      <w:bookmarkStart w:id="53" w:name="_Toc10096"/>
      <w:r>
        <w:rPr>
          <w:rFonts w:eastAsia="楷体_GB2312" w:cs="Times New Roman"/>
          <w:bCs/>
        </w:rPr>
        <w:t xml:space="preserve">第三节 </w:t>
      </w:r>
      <w:r>
        <w:rPr>
          <w:rFonts w:hint="eastAsia" w:eastAsia="楷体_GB2312" w:cs="Times New Roman"/>
          <w:bCs/>
        </w:rPr>
        <w:t xml:space="preserve"> </w:t>
      </w:r>
      <w:r>
        <w:rPr>
          <w:rFonts w:eastAsia="楷体_GB2312" w:cs="Times New Roman"/>
          <w:bCs/>
        </w:rPr>
        <w:t>推进重大项目建设</w:t>
      </w:r>
      <w:bookmarkEnd w:id="52"/>
      <w:bookmarkEnd w:id="53"/>
    </w:p>
    <w:p w14:paraId="27907A94">
      <w:pPr>
        <w:overflowPunct w:val="0"/>
        <w:spacing w:line="622" w:lineRule="exact"/>
        <w:ind w:firstLine="0" w:firstLineChars="0"/>
        <w:rPr>
          <w:rFonts w:eastAsia="楷体_GB2312" w:cs="Times New Roman"/>
          <w:b/>
        </w:rPr>
      </w:pPr>
    </w:p>
    <w:p w14:paraId="6CBB3F27">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坚持“项目跟着规划走、资金要素跟着项目走”原则，强化项目前期谋划，建立重大项目库，加快重大牵引性工程建设，优化项目全周期服务，推动更多重大项目落地开工、投产达效。</w:t>
      </w:r>
    </w:p>
    <w:p w14:paraId="6672AEA1">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强化重大项目库建设。</w:t>
      </w:r>
      <w:r>
        <w:rPr>
          <w:rFonts w:hint="eastAsia" w:ascii="仿宋_GB2312" w:hAnsi="仿宋_GB2312" w:cs="仿宋_GB2312"/>
          <w:szCs w:val="32"/>
        </w:rPr>
        <w:t>加强项目谋划储备，坚持谋划、策划、规划“三划一体”，工作专班、专业机构、专项资金“三专结合”，持续提升项目谋划的数量、质量和体量。紧扣“两重”“两新”政策，围绕产业转型、城市更新、乡村振兴等领域动态储备一批打基础、利长远、惠民生的重大项目。建立分层级分领域项目谋划储备库和动态调整机制，实行动态管理、滚动递补，形成“谋划一批、签约一批、开工一批、投产一批、争资一批”的滚动发展格局和梯次推进格局。制定项目入库标准，从投资规模、产业契合度、经济效益、社会效益、生态效益等方面进行严格审核，严把项目入库质量。建立项目清单化管理机制，做实项目谋划清单、前期清单、建设清单、投产清单、服务清单“五张清单”。</w:t>
      </w:r>
    </w:p>
    <w:p w14:paraId="58A2533E">
      <w:pPr>
        <w:overflowPunct w:val="0"/>
        <w:spacing w:line="622" w:lineRule="exact"/>
        <w:ind w:firstLine="643"/>
        <w:rPr>
          <w:rFonts w:hint="eastAsia" w:ascii="仿宋_GB2312" w:hAnsi="仿宋_GB2312" w:cs="仿宋_GB2312"/>
        </w:rPr>
      </w:pPr>
      <w:r>
        <w:rPr>
          <w:rFonts w:hint="eastAsia" w:ascii="仿宋_GB2312" w:hAnsi="仿宋_GB2312" w:cs="仿宋_GB2312"/>
          <w:b/>
          <w:bCs/>
        </w:rPr>
        <w:t>推进重大牵引性工程建设。</w:t>
      </w:r>
      <w:r>
        <w:rPr>
          <w:rFonts w:hint="eastAsia" w:ascii="仿宋_GB2312" w:hAnsi="仿宋_GB2312" w:cs="仿宋_GB2312"/>
        </w:rPr>
        <w:t>深入推进太行一号文旅康养和乡村振兴融合发展示范带建设，一体推进“路、景、村、业”，全力推进项目实施，打造生态路、观光路、文化路、致富路。高标准抓好百里沁河生态经济带建设，统筹推进治山治水治气治城，加力推进项目建设，形成百里沁河上环境治、交通畅、文</w:t>
      </w:r>
      <w:r>
        <w:rPr>
          <w:rFonts w:hint="eastAsia" w:ascii="仿宋_GB2312" w:hAnsi="仿宋_GB2312" w:cs="仿宋_GB2312"/>
          <w:spacing w:val="6"/>
        </w:rPr>
        <w:t>化兴、布局优、产业旺、生态美的“生态走廊”和“经济动脉</w:t>
      </w:r>
      <w:r>
        <w:rPr>
          <w:rFonts w:hint="eastAsia" w:ascii="仿宋_GB2312" w:hAnsi="仿宋_GB2312" w:cs="仿宋_GB2312"/>
        </w:rPr>
        <w:t>”。</w:t>
      </w:r>
    </w:p>
    <w:p w14:paraId="66605BEB">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优化项目全周期服务。</w:t>
      </w:r>
      <w:r>
        <w:rPr>
          <w:rFonts w:hint="eastAsia" w:ascii="仿宋_GB2312" w:hAnsi="仿宋_GB2312" w:cs="仿宋_GB2312"/>
          <w:szCs w:val="32"/>
        </w:rPr>
        <w:t>着力提升招商质效，聚焦煤炭煤层气综合利用、碳基新材料、航空航天等重点产业链，精准开展链式招商，引进培育链主企业和配套企业。进一步完善招商图谱，灵活运用产业链招商、小分队招商、以商招商、平台招商、基金招商、飞地招商、大赛招商等招商模式，规范实施政府和社会资本合作新机制，发挥政府投资引导撬动作用，靶向招引一批优结构的“增长极”项目。深入推进项目审批“一件事”改革，实行工程建设领域高频事项集成办理，用好领导包联、督导帮扶、专班推进、协调调度等机制，深入开展“赛马”比拼，力促更多优质企业和项目落地开工、投产达效。建立重大项目督导考核机制，定期对项目建设进展情况进行督查调度和考核评估，将重大项目建设成效纳入绩效考核体系。</w:t>
      </w:r>
    </w:p>
    <w:p w14:paraId="19B343E1">
      <w:pPr>
        <w:overflowPunct w:val="0"/>
        <w:spacing w:line="622" w:lineRule="exact"/>
        <w:ind w:firstLine="0" w:firstLineChars="0"/>
        <w:rPr>
          <w:rFonts w:eastAsia="楷体_GB2312" w:cs="Times New Roman"/>
          <w:b/>
        </w:rPr>
      </w:pPr>
      <w:bookmarkStart w:id="54" w:name="_Toc14468"/>
    </w:p>
    <w:p w14:paraId="0D3FCBBC">
      <w:pPr>
        <w:overflowPunct w:val="0"/>
        <w:spacing w:line="622" w:lineRule="exact"/>
        <w:ind w:firstLine="0" w:firstLineChars="0"/>
        <w:jc w:val="center"/>
        <w:outlineLvl w:val="1"/>
        <w:rPr>
          <w:rFonts w:eastAsia="楷体_GB2312" w:cs="Times New Roman"/>
          <w:bCs/>
        </w:rPr>
      </w:pPr>
      <w:bookmarkStart w:id="55" w:name="_Toc12994"/>
      <w:r>
        <w:rPr>
          <w:rFonts w:eastAsia="楷体_GB2312" w:cs="Times New Roman"/>
          <w:bCs/>
        </w:rPr>
        <w:t>第四节</w:t>
      </w:r>
      <w:r>
        <w:rPr>
          <w:rFonts w:hint="eastAsia" w:eastAsia="楷体_GB2312" w:cs="Times New Roman"/>
          <w:bCs/>
        </w:rPr>
        <w:t xml:space="preserve"> </w:t>
      </w:r>
      <w:r>
        <w:rPr>
          <w:rFonts w:eastAsia="楷体_GB2312" w:cs="Times New Roman"/>
          <w:bCs/>
        </w:rPr>
        <w:t xml:space="preserve"> 主动服务和融入全国统一大市场</w:t>
      </w:r>
      <w:bookmarkEnd w:id="54"/>
      <w:bookmarkEnd w:id="55"/>
    </w:p>
    <w:p w14:paraId="6377993A">
      <w:pPr>
        <w:overflowPunct w:val="0"/>
        <w:spacing w:line="622" w:lineRule="exact"/>
        <w:ind w:firstLine="640"/>
        <w:rPr>
          <w:rFonts w:cs="Times New Roman"/>
          <w:szCs w:val="32"/>
        </w:rPr>
      </w:pPr>
    </w:p>
    <w:p w14:paraId="7E3E2D2B">
      <w:pPr>
        <w:overflowPunct w:val="0"/>
        <w:spacing w:line="622" w:lineRule="exact"/>
        <w:ind w:firstLine="640"/>
        <w:rPr>
          <w:rFonts w:hint="eastAsia" w:ascii="仿宋_GB2312" w:hAnsi="仿宋_GB2312" w:cs="仿宋_GB2312"/>
          <w:szCs w:val="32"/>
        </w:rPr>
      </w:pPr>
      <w:r>
        <w:rPr>
          <w:rFonts w:hint="eastAsia" w:ascii="仿宋_GB2312" w:eastAsia="仿宋_GB2312"/>
          <w:b/>
          <w:spacing w:val="4"/>
          <w:sz w:val="31"/>
          <w:szCs w:val="31"/>
        </w:rPr>
        <w:t>加强高标准市场体系建设。</w:t>
      </w:r>
      <w:r>
        <w:rPr>
          <w:rFonts w:hint="eastAsia" w:ascii="仿宋_GB2312" w:hAnsi="仿宋_GB2312" w:cs="仿宋_GB2312"/>
          <w:szCs w:val="32"/>
        </w:rPr>
        <w:t>落实建设全国统一大市场要求，强化市场基础制度规则统一，全面实施市场准入负面清单制度。认真落实公平竞争审查制度，消除要素获取、资质认定、招标投标、政府采购等方面壁垒，规范招商引资制度，破除地方保护和市场分割。完善信息披露、兼并重组、市场退出等制度。大力推进政务诚信建设，加强企业信用修复服务，着力构建高质量社会信用体系。综合整治“内卷式”竞争，加强质量监管，规范涉企监管执法，形成优质优价、良性竞争的市场秩序。高标准联通市场设施，降低全社会物流成本。积极落实有利于统一大市场建设的统计、财税、考核制度。</w:t>
      </w:r>
    </w:p>
    <w:p w14:paraId="128CDED0">
      <w:pPr>
        <w:topLinePunct/>
        <w:spacing w:line="586" w:lineRule="exact"/>
        <w:ind w:firstLine="638" w:firstLineChars="200"/>
        <w:rPr>
          <w:rFonts w:hint="eastAsia" w:ascii="仿宋_GB2312" w:eastAsia="仿宋_GB2312"/>
          <w:color w:val="auto"/>
          <w:spacing w:val="4"/>
          <w:sz w:val="31"/>
          <w:szCs w:val="31"/>
        </w:rPr>
      </w:pPr>
      <w:r>
        <w:rPr>
          <w:rFonts w:hint="eastAsia" w:ascii="仿宋_GB2312" w:eastAsia="仿宋_GB2312"/>
          <w:b/>
          <w:color w:val="auto"/>
          <w:spacing w:val="4"/>
          <w:sz w:val="31"/>
          <w:szCs w:val="31"/>
        </w:rPr>
        <w:t>优化市场监管执法。</w:t>
      </w:r>
      <w:r>
        <w:rPr>
          <w:rFonts w:hint="eastAsia" w:ascii="仿宋_GB2312" w:eastAsia="仿宋_GB2312"/>
          <w:color w:val="auto"/>
          <w:spacing w:val="4"/>
          <w:sz w:val="31"/>
          <w:szCs w:val="31"/>
        </w:rPr>
        <w:t>加强市场监管标准化、规范化建设。优化“双随机、一公开”监管，推进“互联网＋监管”；完善行政裁量权基准制度，确保执法公平公正；综合整治“内卷式”竞争，加强质量监管，形成优质优价、良性竞争的市场秩序。严格执行公平竞争审查制度，废除妨碍公平竞争的规定；加强反垄断和反不正当竞争执法，维护统一市场竞争秩序。优化法律服务与争议化解，开通涉企复议“绿色通道”，提升涉企纠纷处理效率；推广公共法律服务进园区、进商圈，探索建立法律服务集聚区。全面推进柔性执法，实施事前风险提示，事中整改指导和事后跟踪回访闭环管理。对符合国家和省政策导向的新业态新模式企业，探索设立合理的执法观察期。创新“企业安静期”制度，规范涉企监管执法，减少对企业正常经营的干扰。</w:t>
      </w:r>
    </w:p>
    <w:p w14:paraId="4062E78D">
      <w:pPr>
        <w:pStyle w:val="2"/>
        <w:rPr>
          <w:rFonts w:hint="eastAsia"/>
          <w:color w:val="EE822F" w:themeColor="accent2"/>
          <w14:textFill>
            <w14:solidFill>
              <w14:schemeClr w14:val="accent2"/>
            </w14:solidFill>
          </w14:textFill>
        </w:rPr>
      </w:pPr>
    </w:p>
    <w:bookmarkEnd w:id="32"/>
    <w:p w14:paraId="3257C86D">
      <w:pPr>
        <w:overflowPunct w:val="0"/>
        <w:spacing w:line="622" w:lineRule="exact"/>
        <w:ind w:firstLine="640"/>
        <w:rPr>
          <w:rFonts w:ascii="Times New Roman" w:hAnsi="Times New Roman" w:cs="Times New Roman"/>
        </w:rPr>
      </w:pPr>
      <w:r>
        <w:rPr>
          <w:rFonts w:ascii="Times New Roman" w:hAnsi="Times New Roman" w:cs="Times New Roman"/>
        </w:rPr>
        <w:br w:type="page"/>
      </w:r>
    </w:p>
    <w:p w14:paraId="6CB0D689">
      <w:pPr>
        <w:overflowPunct w:val="0"/>
        <w:spacing w:line="622" w:lineRule="exact"/>
        <w:ind w:firstLine="640"/>
        <w:rPr>
          <w:rFonts w:ascii="Times New Roman" w:hAnsi="Times New Roman" w:cs="Times New Roman"/>
          <w:szCs w:val="32"/>
        </w:rPr>
      </w:pPr>
      <w:bookmarkStart w:id="56" w:name="_Toc27435"/>
    </w:p>
    <w:p w14:paraId="572336E9">
      <w:pPr>
        <w:overflowPunct w:val="0"/>
        <w:spacing w:line="622" w:lineRule="exact"/>
        <w:ind w:firstLine="0" w:firstLineChars="0"/>
        <w:jc w:val="center"/>
        <w:outlineLvl w:val="0"/>
        <w:rPr>
          <w:rFonts w:hint="eastAsia" w:ascii="黑体" w:hAnsi="黑体" w:eastAsia="黑体" w:cs="黑体"/>
          <w:szCs w:val="32"/>
        </w:rPr>
      </w:pPr>
      <w:bookmarkStart w:id="57" w:name="_Toc28649"/>
      <w:r>
        <w:rPr>
          <w:rFonts w:hint="eastAsia" w:ascii="黑体" w:hAnsi="黑体" w:eastAsia="黑体" w:cs="黑体"/>
          <w:szCs w:val="32"/>
        </w:rPr>
        <w:t>第六章</w:t>
      </w:r>
      <w:r>
        <w:rPr>
          <w:rFonts w:hint="eastAsia" w:ascii="黑体" w:hAnsi="黑体" w:eastAsia="黑体" w:cs="黑体"/>
          <w:szCs w:val="32"/>
          <w:lang w:val="en-US" w:eastAsia="zh-CN"/>
        </w:rPr>
        <w:t xml:space="preserve"> </w:t>
      </w:r>
      <w:r>
        <w:rPr>
          <w:rFonts w:hint="eastAsia" w:ascii="黑体" w:hAnsi="黑体" w:eastAsia="黑体" w:cs="黑体"/>
          <w:szCs w:val="32"/>
        </w:rPr>
        <w:t>全面深化改革创新</w:t>
      </w:r>
      <w:r>
        <w:rPr>
          <w:rFonts w:hint="eastAsia" w:ascii="黑体" w:hAnsi="黑体" w:eastAsia="黑体" w:cs="黑体"/>
          <w:szCs w:val="32"/>
          <w:lang w:val="en-US" w:eastAsia="zh-CN"/>
        </w:rPr>
        <w:t xml:space="preserve"> </w:t>
      </w:r>
      <w:r>
        <w:rPr>
          <w:rFonts w:hint="eastAsia" w:ascii="黑体" w:hAnsi="黑体" w:eastAsia="黑体" w:cs="黑体"/>
          <w:szCs w:val="32"/>
        </w:rPr>
        <w:t>激发沁水高质量发展动力活力</w:t>
      </w:r>
      <w:bookmarkEnd w:id="56"/>
      <w:bookmarkEnd w:id="57"/>
    </w:p>
    <w:p w14:paraId="7CFE6D45">
      <w:pPr>
        <w:overflowPunct w:val="0"/>
        <w:spacing w:line="622" w:lineRule="exact"/>
        <w:ind w:firstLine="640"/>
        <w:rPr>
          <w:rFonts w:ascii="Times New Roman" w:hAnsi="Times New Roman" w:cs="Times New Roman"/>
          <w:szCs w:val="32"/>
        </w:rPr>
      </w:pPr>
    </w:p>
    <w:p w14:paraId="47B2EE18">
      <w:pPr>
        <w:overflowPunct w:val="0"/>
        <w:spacing w:line="622" w:lineRule="exact"/>
        <w:ind w:firstLine="640"/>
        <w:rPr>
          <w:rFonts w:ascii="Times New Roman" w:hAnsi="Times New Roman" w:cs="Times New Roman"/>
          <w:szCs w:val="32"/>
        </w:rPr>
      </w:pPr>
      <w:r>
        <w:rPr>
          <w:rFonts w:ascii="Times New Roman" w:hAnsi="Times New Roman" w:cs="Times New Roman"/>
          <w:szCs w:val="32"/>
        </w:rPr>
        <w:t>坚持进一步全面深化改革，深入实施科教兴县、人才强县、创新驱动发展战略，持续优化营商环境，不断提升开放型经济水平，为全县经济社会发展注入新动力、增添新活力。</w:t>
      </w:r>
    </w:p>
    <w:p w14:paraId="3664FCA4">
      <w:pPr>
        <w:overflowPunct w:val="0"/>
        <w:spacing w:line="622" w:lineRule="exact"/>
        <w:ind w:firstLine="640"/>
        <w:rPr>
          <w:rFonts w:ascii="Times New Roman" w:hAnsi="Times New Roman" w:cs="Times New Roman"/>
        </w:rPr>
      </w:pPr>
      <w:bookmarkStart w:id="58" w:name="_Toc12447"/>
      <w:bookmarkStart w:id="59" w:name="_Toc21869"/>
    </w:p>
    <w:p w14:paraId="5B3CE4F6">
      <w:pPr>
        <w:overflowPunct w:val="0"/>
        <w:spacing w:line="622" w:lineRule="exact"/>
        <w:ind w:firstLine="0" w:firstLineChars="0"/>
        <w:jc w:val="center"/>
        <w:outlineLvl w:val="1"/>
        <w:rPr>
          <w:rFonts w:hint="eastAsia" w:ascii="楷体_GB2312" w:hAnsi="楷体_GB2312" w:eastAsia="楷体_GB2312" w:cs="楷体_GB2312"/>
        </w:rPr>
      </w:pPr>
      <w:bookmarkStart w:id="60" w:name="_Toc29641"/>
      <w:r>
        <w:rPr>
          <w:rFonts w:hint="eastAsia" w:ascii="楷体_GB2312" w:hAnsi="楷体_GB2312" w:eastAsia="楷体_GB2312" w:cs="楷体_GB2312"/>
        </w:rPr>
        <w:t>第一节  深化重点领域改革</w:t>
      </w:r>
      <w:bookmarkEnd w:id="58"/>
      <w:bookmarkEnd w:id="60"/>
    </w:p>
    <w:p w14:paraId="4A2892D9">
      <w:pPr>
        <w:spacing w:line="622" w:lineRule="exact"/>
        <w:ind w:firstLine="640"/>
      </w:pPr>
    </w:p>
    <w:p w14:paraId="250606F2">
      <w:pPr>
        <w:overflowPunct w:val="0"/>
        <w:spacing w:line="622" w:lineRule="exact"/>
        <w:ind w:firstLine="640"/>
        <w:rPr>
          <w:rFonts w:hint="eastAsia" w:ascii="仿宋_GB2312" w:hAnsi="仿宋_GB2312" w:cs="仿宋_GB2312"/>
        </w:rPr>
      </w:pPr>
      <w:r>
        <w:rPr>
          <w:rFonts w:hint="eastAsia" w:ascii="仿宋_GB2312" w:hAnsi="仿宋_GB2312" w:cs="仿宋_GB2312"/>
        </w:rPr>
        <w:t>以经济体制改革为牵引，</w:t>
      </w:r>
      <w:r>
        <w:rPr>
          <w:rFonts w:hint="eastAsia" w:ascii="仿宋_GB2312" w:hAnsi="仿宋_GB2312" w:cs="仿宋_GB2312"/>
          <w:szCs w:val="32"/>
        </w:rPr>
        <w:t>坚持和落实“两个毫不动摇”，促进各种所有制经济优势互补、共同发展。</w:t>
      </w:r>
      <w:r>
        <w:rPr>
          <w:rFonts w:hint="eastAsia" w:ascii="仿宋_GB2312" w:hAnsi="仿宋_GB2312" w:cs="仿宋_GB2312"/>
        </w:rPr>
        <w:t>全面深化国资国企改革，激发民营经济发展活力，加大完善要素市场化配置改革力度，统筹推进各领域各方面改革集成。</w:t>
      </w:r>
    </w:p>
    <w:p w14:paraId="73453F16">
      <w:pPr>
        <w:overflowPunct w:val="0"/>
        <w:spacing w:line="622" w:lineRule="exact"/>
        <w:ind w:firstLine="643"/>
        <w:rPr>
          <w:rFonts w:hint="eastAsia" w:ascii="仿宋_GB2312" w:hAnsi="仿宋_GB2312" w:cs="仿宋_GB2312"/>
          <w:bCs/>
          <w:szCs w:val="32"/>
        </w:rPr>
      </w:pPr>
      <w:r>
        <w:rPr>
          <w:rFonts w:hint="eastAsia" w:ascii="仿宋_GB2312" w:hAnsi="仿宋_GB2312" w:cs="仿宋_GB2312"/>
          <w:b/>
          <w:bCs/>
        </w:rPr>
        <w:t>全面深化国资国企改革。</w:t>
      </w:r>
      <w:r>
        <w:rPr>
          <w:rFonts w:hint="eastAsia" w:ascii="仿宋_GB2312" w:hAnsi="仿宋_GB2312" w:cs="仿宋_GB2312"/>
          <w:szCs w:val="32"/>
        </w:rPr>
        <w:t>持续深化国有企业改革，健全以管资本为主的国资监管体制，完善国有企业分类考核评价体系，推动县属企业成为转型发展主力军和领头雁。推动国有资本</w:t>
      </w:r>
      <w:r>
        <w:rPr>
          <w:rFonts w:hint="eastAsia" w:ascii="仿宋_GB2312" w:hAnsi="仿宋_GB2312" w:cs="仿宋_GB2312"/>
          <w:szCs w:val="32"/>
          <w:lang w:eastAsia="zh-CN"/>
        </w:rPr>
        <w:t>“</w:t>
      </w:r>
      <w:r>
        <w:rPr>
          <w:rFonts w:hint="eastAsia" w:ascii="仿宋_GB2312" w:hAnsi="仿宋_GB2312" w:cs="仿宋_GB2312"/>
          <w:szCs w:val="32"/>
        </w:rPr>
        <w:t>三个集中</w:t>
      </w:r>
      <w:r>
        <w:rPr>
          <w:rFonts w:hint="eastAsia" w:ascii="仿宋_GB2312" w:hAnsi="仿宋_GB2312" w:cs="仿宋_GB2312"/>
          <w:szCs w:val="32"/>
          <w:lang w:eastAsia="zh-CN"/>
        </w:rPr>
        <w:t>”</w:t>
      </w:r>
      <w:r>
        <w:rPr>
          <w:rFonts w:hint="eastAsia" w:ascii="仿宋_GB2312" w:hAnsi="仿宋_GB2312" w:cs="仿宋_GB2312"/>
          <w:szCs w:val="32"/>
        </w:rPr>
        <w:t>,引导企业围绕主责主业优化资源配置，加快非主业、非优势业务“两非”剥离，抓好无效资产、低效资产“两资”处置，支持县属国有平台企业做大做强。统筹推进县属国企战略性重组和专业化整合，对功能相近、关联度高、效益不佳的企业采取兼并重组、清算注销等方式优化整合。加强国企债务管理，严格落实一揽子化债政策，遏制增量，化解存量，督促各企业实行投资事项备案制度，确保债务风险可控、投资风险可控</w:t>
      </w:r>
      <w:r>
        <w:rPr>
          <w:rFonts w:hint="eastAsia" w:ascii="仿宋_GB2312" w:hAnsi="仿宋_GB2312" w:cs="仿宋_GB2312"/>
          <w:bCs/>
          <w:szCs w:val="32"/>
        </w:rPr>
        <w:t>。</w:t>
      </w:r>
    </w:p>
    <w:p w14:paraId="7ED05050">
      <w:pPr>
        <w:overflowPunct w:val="0"/>
        <w:spacing w:line="622" w:lineRule="exact"/>
        <w:ind w:firstLine="643"/>
        <w:rPr>
          <w:rFonts w:hint="eastAsia" w:ascii="仿宋_GB2312" w:hAnsi="仿宋_GB2312" w:cs="仿宋_GB2312"/>
          <w:kern w:val="0"/>
          <w:szCs w:val="32"/>
        </w:rPr>
      </w:pPr>
      <w:r>
        <w:rPr>
          <w:rFonts w:hint="eastAsia" w:ascii="仿宋_GB2312" w:hAnsi="仿宋_GB2312" w:cs="仿宋_GB2312"/>
          <w:b/>
          <w:bCs/>
        </w:rPr>
        <w:t>激发民营经济发展活力。</w:t>
      </w:r>
      <w:r>
        <w:rPr>
          <w:rFonts w:hint="eastAsia" w:ascii="仿宋_GB2312" w:hAnsi="仿宋_GB2312" w:cs="仿宋_GB2312"/>
        </w:rPr>
        <w:t>坚持和落实“两个毫不动摇”，促进各种所有制经济优势互补、共同发展。落实民营经济促进法，持续优化民营经济发展环境，构建更加完善的政策体系。</w:t>
      </w:r>
      <w:r>
        <w:rPr>
          <w:rFonts w:hint="eastAsia" w:ascii="仿宋_GB2312" w:hAnsi="仿宋_GB2312" w:cs="仿宋_GB2312"/>
          <w:bCs/>
          <w:szCs w:val="32"/>
        </w:rPr>
        <w:t>强化创新型中小企业选育赋能，</w:t>
      </w:r>
      <w:r>
        <w:rPr>
          <w:rFonts w:hint="eastAsia" w:ascii="仿宋_GB2312" w:hAnsi="仿宋_GB2312" w:cs="仿宋_GB2312"/>
          <w:kern w:val="0"/>
          <w:szCs w:val="32"/>
          <w:shd w:val="clear" w:color="auto" w:fill="FFFFFF"/>
          <w:lang w:bidi="ar"/>
        </w:rPr>
        <w:t>做好“专精特新”企业培育工作，精准筛选出具有高成长性和发展潜力的小微企业，</w:t>
      </w:r>
      <w:r>
        <w:rPr>
          <w:rFonts w:hint="eastAsia" w:ascii="仿宋_GB2312" w:hAnsi="仿宋_GB2312" w:cs="仿宋_GB2312"/>
          <w:bCs/>
          <w:szCs w:val="32"/>
        </w:rPr>
        <w:t>构建全生命周期梯次培育体系，推动中小企业规范化股份制改造，带动民营经济扩规增量。</w:t>
      </w:r>
      <w:r>
        <w:rPr>
          <w:rFonts w:hint="eastAsia" w:ascii="仿宋_GB2312" w:hAnsi="仿宋_GB2312" w:cs="仿宋_GB2312"/>
        </w:rPr>
        <w:t>完善向民间资本推介项目长效机制，</w:t>
      </w:r>
      <w:r>
        <w:rPr>
          <w:rFonts w:hint="eastAsia" w:ascii="仿宋_GB2312" w:hAnsi="仿宋_GB2312" w:cs="仿宋_GB2312"/>
          <w:bCs/>
          <w:szCs w:val="32"/>
        </w:rPr>
        <w:t>动态完善项目推介库，鼓励民间资本参与重大项目建设，持续扩大民间投资。</w:t>
      </w:r>
      <w:r>
        <w:rPr>
          <w:rFonts w:hint="eastAsia" w:ascii="仿宋_GB2312" w:hAnsi="仿宋_GB2312" w:cs="仿宋_GB2312"/>
        </w:rPr>
        <w:t>常态化开展入企帮扶，平等保护民营企业和企业家合法权益。</w:t>
      </w:r>
      <w:r>
        <w:rPr>
          <w:rFonts w:hint="eastAsia" w:ascii="仿宋_GB2312" w:hAnsi="仿宋_GB2312" w:cs="仿宋_GB2312"/>
          <w:bCs/>
          <w:szCs w:val="32"/>
        </w:rPr>
        <w:t>健全小微企业融资协调机制，进一步拓宽民营企业融资渠道。每年</w:t>
      </w:r>
      <w:r>
        <w:rPr>
          <w:rFonts w:hint="eastAsia" w:ascii="仿宋_GB2312" w:hAnsi="仿宋_GB2312" w:cs="仿宋_GB2312"/>
          <w:kern w:val="0"/>
          <w:szCs w:val="32"/>
        </w:rPr>
        <w:t>选拔1—2批优秀民营企业家、中小微企业优秀经营者等到国内高等学校或经济发达地区进行培训教育。</w:t>
      </w:r>
      <w:r>
        <w:rPr>
          <w:rFonts w:hint="eastAsia" w:ascii="仿宋_GB2312" w:hAnsi="仿宋_GB2312" w:cs="仿宋_GB2312"/>
          <w:bCs/>
          <w:szCs w:val="32"/>
        </w:rPr>
        <w:t>构建亲清政商关系，建立健全民营企业参与涉企政策制定、民营企业诉求维权等机制，全方位畅通政企沟通。健全依法甄别纠正涉企冤错案件机制，规范涉民营企业行政检查。</w:t>
      </w:r>
      <w:r>
        <w:rPr>
          <w:rFonts w:hint="eastAsia" w:ascii="仿宋_GB2312" w:hAnsi="仿宋_GB2312" w:cs="仿宋_GB2312"/>
          <w:kern w:val="0"/>
          <w:szCs w:val="32"/>
        </w:rPr>
        <w:t>力争</w:t>
      </w:r>
      <w:r>
        <w:rPr>
          <w:rFonts w:hint="eastAsia" w:ascii="仿宋_GB2312" w:hAnsi="仿宋_GB2312" w:cs="仿宋_GB2312"/>
          <w:bCs/>
          <w:szCs w:val="32"/>
        </w:rPr>
        <w:t>到“十五五”末，</w:t>
      </w:r>
      <w:r>
        <w:rPr>
          <w:rFonts w:hint="eastAsia" w:ascii="仿宋_GB2312" w:hAnsi="仿宋_GB2312" w:cs="仿宋_GB2312"/>
          <w:kern w:val="0"/>
          <w:szCs w:val="32"/>
        </w:rPr>
        <w:t>民营经济占全县经济总量比重提高到30％以上。</w:t>
      </w:r>
    </w:p>
    <w:p w14:paraId="18A6179C">
      <w:pPr>
        <w:overflowPunct w:val="0"/>
        <w:spacing w:line="622" w:lineRule="exact"/>
        <w:ind w:firstLine="643"/>
        <w:rPr>
          <w:rFonts w:hint="eastAsia" w:ascii="仿宋_GB2312" w:hAnsi="仿宋_GB2312" w:cs="仿宋_GB2312"/>
          <w:szCs w:val="32"/>
          <w:lang w:bidi="ar"/>
        </w:rPr>
      </w:pPr>
      <w:r>
        <w:rPr>
          <w:rFonts w:hint="eastAsia" w:ascii="仿宋_GB2312" w:hAnsi="仿宋_GB2312" w:cs="仿宋_GB2312"/>
          <w:b/>
          <w:bCs/>
          <w:szCs w:val="32"/>
          <w:lang w:bidi="ar"/>
        </w:rPr>
        <w:t>加快完善要素市场化配置体制机制。</w:t>
      </w:r>
      <w:r>
        <w:rPr>
          <w:rFonts w:hint="eastAsia" w:ascii="仿宋_GB2312" w:hAnsi="仿宋_GB2312" w:cs="仿宋_GB2312"/>
          <w:szCs w:val="32"/>
          <w:lang w:bidi="ar"/>
        </w:rPr>
        <w:t>深化土地、劳动力、资本、技术、数据等要素市场化配置改革，建立健全城乡统一的建设用地市场、功能完善的资本市场、流动顺畅的劳动力市场、转化高效的技术市场，推动生产要素畅通流动。盘活用好低效用地、闲置房产、存量基础设施，依法稳妥推进工商业用地使用权续期工作。推进人力资源服务业发展，畅通人力资源要素自由有序流动。完善数据基础制度体系，健全数据产权合规登记、公共数据开发利用、公共数据授权运营、数据流通交易、数据收益分配等管理制度。健全资源环境要素市场化配置体系，推进碳排放权、用水权、排污权等市场化交易。</w:t>
      </w:r>
    </w:p>
    <w:p w14:paraId="36E4699B">
      <w:pPr>
        <w:overflowPunct w:val="0"/>
        <w:spacing w:line="622" w:lineRule="exact"/>
        <w:ind w:firstLine="643"/>
        <w:rPr>
          <w:rFonts w:hint="eastAsia" w:ascii="仿宋_GB2312" w:hAnsi="仿宋_GB2312" w:cs="仿宋_GB2312"/>
          <w:szCs w:val="32"/>
          <w:lang w:bidi="ar"/>
        </w:rPr>
      </w:pPr>
      <w:r>
        <w:rPr>
          <w:rFonts w:hint="eastAsia" w:ascii="仿宋_GB2312" w:hAnsi="仿宋_GB2312" w:cs="仿宋_GB2312"/>
          <w:b/>
          <w:bCs/>
          <w:szCs w:val="32"/>
          <w:lang w:bidi="ar"/>
        </w:rPr>
        <w:t>深化财税金融体制改革。</w:t>
      </w:r>
      <w:r>
        <w:rPr>
          <w:rFonts w:hint="eastAsia" w:ascii="仿宋_GB2312" w:hAnsi="仿宋_GB2312" w:cs="仿宋_GB2312"/>
          <w:szCs w:val="32"/>
          <w:lang w:bidi="ar"/>
        </w:rPr>
        <w:t>落实国家积极财政政策，增强财政可持续性。加强财政科学管理，健全预算制度，加强财政资源和预算统筹，强化重大战略任务和基本民生财力保障。深化零基预算改革，统一预算分配权，优化财政支出结构，创新投入方式，加强预算绩效管理。加强政府债务风险管控，加快构建同高质量发展相适应的政府债务管理长效机制。提高金融支持转型发展质效，大力发展科技金融、绿色金融、普惠金融、养老金融、数字金融。壮大耐心资本，优化政府投资基金管理。提高金融监管有效性，构建风险防范化解体系，保障金融稳健运行。</w:t>
      </w:r>
    </w:p>
    <w:p w14:paraId="73B4200B">
      <w:pPr>
        <w:overflowPunct w:val="0"/>
        <w:spacing w:line="622" w:lineRule="exact"/>
        <w:ind w:firstLine="640"/>
        <w:rPr>
          <w:rFonts w:ascii="Times New Roman" w:hAnsi="Times New Roman" w:cs="Times New Roman"/>
        </w:rPr>
      </w:pPr>
      <w:bookmarkStart w:id="61" w:name="_Toc27962"/>
    </w:p>
    <w:p w14:paraId="603E43CD">
      <w:pPr>
        <w:overflowPunct w:val="0"/>
        <w:spacing w:line="622" w:lineRule="exact"/>
        <w:ind w:firstLine="0" w:firstLineChars="0"/>
        <w:jc w:val="center"/>
        <w:outlineLvl w:val="1"/>
        <w:rPr>
          <w:rFonts w:hint="eastAsia" w:ascii="楷体_GB2312" w:hAnsi="楷体_GB2312" w:eastAsia="楷体_GB2312" w:cs="楷体_GB2312"/>
        </w:rPr>
      </w:pPr>
      <w:bookmarkStart w:id="62" w:name="_Toc27675"/>
      <w:r>
        <w:rPr>
          <w:rFonts w:hint="eastAsia" w:ascii="楷体_GB2312" w:hAnsi="楷体_GB2312" w:eastAsia="楷体_GB2312" w:cs="楷体_GB2312"/>
        </w:rPr>
        <w:t>第二节  持续优化营商环境</w:t>
      </w:r>
      <w:bookmarkEnd w:id="61"/>
      <w:bookmarkEnd w:id="62"/>
    </w:p>
    <w:p w14:paraId="4FBBE869">
      <w:pPr>
        <w:overflowPunct w:val="0"/>
        <w:spacing w:line="622" w:lineRule="exact"/>
        <w:ind w:firstLine="640"/>
        <w:rPr>
          <w:rFonts w:ascii="Times New Roman" w:hAnsi="Times New Roman" w:cs="Times New Roman"/>
        </w:rPr>
      </w:pPr>
    </w:p>
    <w:p w14:paraId="76CFF549">
      <w:pPr>
        <w:overflowPunct w:val="0"/>
        <w:spacing w:line="622" w:lineRule="exact"/>
        <w:ind w:firstLine="640"/>
        <w:rPr>
          <w:rFonts w:hint="eastAsia" w:ascii="仿宋_GB2312" w:hAnsi="仿宋_GB2312" w:cs="仿宋_GB2312"/>
        </w:rPr>
      </w:pPr>
      <w:r>
        <w:rPr>
          <w:rFonts w:hint="eastAsia" w:ascii="仿宋_GB2312" w:hAnsi="仿宋_GB2312" w:cs="仿宋_GB2312"/>
        </w:rPr>
        <w:t>对标“全市先进、全省最优、全国一流”，全力打造优质的服务环境、公平竞争的市场环境、良好有序的法治环境，推动营商环境各项指标走在全市前列，打造全省县域营商环境标杆县。</w:t>
      </w:r>
    </w:p>
    <w:p w14:paraId="2301D600">
      <w:pPr>
        <w:overflowPunct w:val="0"/>
        <w:spacing w:line="622" w:lineRule="exact"/>
        <w:ind w:firstLine="643"/>
        <w:rPr>
          <w:rFonts w:hint="eastAsia" w:ascii="仿宋_GB2312" w:hAnsi="仿宋_GB2312" w:cs="仿宋_GB2312"/>
        </w:rPr>
      </w:pPr>
      <w:r>
        <w:rPr>
          <w:rFonts w:hint="eastAsia" w:ascii="仿宋_GB2312" w:hAnsi="仿宋_GB2312" w:cs="仿宋_GB2312"/>
          <w:b/>
          <w:bCs/>
          <w:szCs w:val="32"/>
          <w:lang w:bidi="ar"/>
        </w:rPr>
        <w:t>提升政务服务品质。</w:t>
      </w:r>
      <w:r>
        <w:rPr>
          <w:rFonts w:hint="eastAsia" w:ascii="仿宋_GB2312" w:hAnsi="仿宋_GB2312" w:cs="仿宋_GB2312"/>
        </w:rPr>
        <w:t>构建“全周期、全要素、全链条”政务服务体系，深化政务服务改革，推进政务服务标准化、规范化、便利化，持续增强人民群众满意度。</w:t>
      </w:r>
      <w:r>
        <w:rPr>
          <w:rFonts w:hint="eastAsia" w:ascii="仿宋_GB2312" w:hAnsi="仿宋_GB2312" w:cs="仿宋_GB2312"/>
          <w:szCs w:val="32"/>
        </w:rPr>
        <w:t>加强政务服务事项规范化管理，梳理公布依申请类事项及公共服务清单，动态调整行政许可事项清单。深入推进“高效办成一件事”改革，全面落实中央、省、市高效办成一件事套餐清单，创新推出县级特色套餐，逐步实现从高效办成“一件事”到高效办成“一类事”的升级。持续提升“一网通办”水平，力争行政审批事项网上可办率达到95%以上。强化土地、信贷、用工等要素保障，帮助企业降本增效、开拓市场。</w:t>
      </w:r>
      <w:r>
        <w:rPr>
          <w:rFonts w:hint="eastAsia" w:ascii="仿宋_GB2312" w:hAnsi="仿宋_GB2312" w:cs="仿宋_GB2312"/>
        </w:rPr>
        <w:t>常态化开展“我陪群众走流程”活动，持续擦亮“沁心办”政务服务品牌，</w:t>
      </w:r>
      <w:r>
        <w:rPr>
          <w:rFonts w:hint="eastAsia" w:ascii="仿宋_GB2312" w:hAnsi="仿宋_GB2312" w:cs="仿宋_GB2312"/>
          <w:szCs w:val="32"/>
        </w:rPr>
        <w:t>设立涉企服务中心，整合人才、政策、金融、法治、审批等协同服务模块，在县政务服务大厅建设企业综合服务中心，提供一站式咨询指引服务。全面推行电子证照应用，拓展应用场景，确保自2026年起电子证照应用率逐年提升20%。深化投资项目极简审批，扩大告知承诺制事项范围，提升容缺受理容忍度，推行用地清单制、桩基先行、无证明城市建设等措施，全面提升审批效率。实行工程建设领域高频事项集成办理，用好领导包联、督促帮扶、专班推进、调度协调等机制，促进更多优质企业和项目落地开工、投产达效。</w:t>
      </w:r>
    </w:p>
    <w:p w14:paraId="007ABBE6">
      <w:pPr>
        <w:pStyle w:val="10"/>
        <w:overflowPunct w:val="0"/>
        <w:spacing w:after="0" w:line="622" w:lineRule="exact"/>
        <w:ind w:firstLine="643"/>
        <w:rPr>
          <w:rFonts w:hint="eastAsia" w:ascii="仿宋_GB2312" w:hAnsi="仿宋_GB2312" w:cs="仿宋_GB2312"/>
        </w:rPr>
      </w:pPr>
      <w:r>
        <w:rPr>
          <w:rFonts w:hint="eastAsia" w:ascii="仿宋_GB2312" w:hAnsi="仿宋_GB2312" w:cs="仿宋_GB2312"/>
          <w:b/>
          <w:bCs/>
        </w:rPr>
        <w:t>加快打造公平竞争的市场环境。</w:t>
      </w:r>
      <w:r>
        <w:rPr>
          <w:rFonts w:hint="eastAsia" w:ascii="仿宋_GB2312" w:hAnsi="仿宋_GB2312" w:cs="仿宋_GB2312"/>
        </w:rPr>
        <w:t>以实施高标准市场体系建设行动为牵引，着力构建统一开放、竞争有序、制度完备、治理完善的市场体系。增强公平竞争审查制度刚性约束，制定落实强化竞争政策实施意见，清理违反公平、开放、透明市场规则的政策文件。健全以公平为原则的产权保护制度，依法保护国有、民营、外资等各种所有制企业产权和自主经营权。深化“标准地+承诺制+一窗服务”改革，实行全县范围工业用地100%“标准地”出让。试点工业用地弹性年期出让、租赁、租赁和出让结合、先租赁后出让等方式供地。</w:t>
      </w:r>
    </w:p>
    <w:p w14:paraId="278D1389">
      <w:pPr>
        <w:overflowPunct w:val="0"/>
        <w:spacing w:line="622" w:lineRule="exact"/>
        <w:ind w:firstLine="643"/>
        <w:rPr>
          <w:rFonts w:hint="eastAsia" w:ascii="仿宋_GB2312" w:hAnsi="仿宋_GB2312" w:cs="仿宋_GB2312"/>
          <w:b/>
          <w:bCs/>
        </w:rPr>
      </w:pPr>
      <w:bookmarkStart w:id="63" w:name="_Toc24814"/>
      <w:r>
        <w:rPr>
          <w:rFonts w:hint="eastAsia" w:ascii="仿宋_GB2312" w:hAnsi="仿宋_GB2312" w:cs="仿宋_GB2312"/>
          <w:b/>
          <w:bCs/>
        </w:rPr>
        <w:t>健全新型监管机制。</w:t>
      </w:r>
      <w:r>
        <w:rPr>
          <w:rFonts w:hint="eastAsia" w:ascii="仿宋_GB2312" w:hAnsi="仿宋_GB2312" w:cs="仿宋_GB2312"/>
        </w:rPr>
        <w:t>健全以“双随机、一公开”监管为基本手段、以重点监管为补充、以信用监管为基础的新型监管机制。</w:t>
      </w:r>
      <w:r>
        <w:rPr>
          <w:rFonts w:hint="eastAsia" w:ascii="仿宋_GB2312" w:hAnsi="仿宋_GB2312" w:cs="仿宋_GB2312"/>
          <w:szCs w:val="32"/>
        </w:rPr>
        <w:t>持续加强反垄断和反不正当竞争执法，适时开展公平竞争审查第三方评估，持续开展滥用行政权力排除、限制竞争线索排查，打破行业垄断和地方保护。</w:t>
      </w:r>
      <w:r>
        <w:rPr>
          <w:rFonts w:hint="eastAsia" w:ascii="仿宋_GB2312" w:hAnsi="仿宋_GB2312" w:cs="仿宋_GB2312"/>
        </w:rPr>
        <w:t>深入推进“两不一欠”专项整治，持续纠治审批领域“难、慢、繁”问题，坚决整治吃拿卡要、阻工扰工等行为，打击插手工程、围标串标等行为。</w:t>
      </w:r>
      <w:r>
        <w:rPr>
          <w:rFonts w:hint="eastAsia" w:ascii="仿宋_GB2312" w:hAnsi="仿宋_GB2312" w:cs="仿宋_GB2312"/>
          <w:kern w:val="0"/>
          <w:szCs w:val="32"/>
          <w:lang w:bidi="ar"/>
        </w:rPr>
        <w:t>归集公示涉企信用信息，深入推进企业信用风险分类管理。</w:t>
      </w:r>
      <w:r>
        <w:rPr>
          <w:rFonts w:hint="eastAsia" w:ascii="仿宋_GB2312" w:hAnsi="仿宋_GB2312" w:cs="仿宋_GB2312"/>
          <w:szCs w:val="32"/>
        </w:rPr>
        <w:t>持续加强食品、药品、特种设备、重要工业产品等重点领域的安全监管，加大执法检查力度，严厉打击各类违法违规行为。深入开展各类专项整治行动，</w:t>
      </w:r>
      <w:r>
        <w:rPr>
          <w:rFonts w:hint="eastAsia" w:ascii="仿宋_GB2312" w:hAnsi="仿宋_GB2312" w:cs="仿宋_GB2312"/>
          <w:kern w:val="0"/>
          <w:szCs w:val="32"/>
          <w:lang w:bidi="ar"/>
        </w:rPr>
        <w:t>加强消费者权益保护，</w:t>
      </w:r>
      <w:r>
        <w:rPr>
          <w:rFonts w:hint="eastAsia" w:ascii="仿宋_GB2312" w:hAnsi="仿宋_GB2312" w:cs="仿宋_GB2312"/>
          <w:szCs w:val="32"/>
        </w:rPr>
        <w:t>针对民生领域群众反映强烈的突出问题，加大执法力度，严厉打击制售假冒伪劣商品、虚假宣传、价格欺诈等违法行为，维护公平竞争的市场秩序。积极推进基层综合执法标准化规范化建设，创新监管方式，充分运用信息化手段，提高监管效能。</w:t>
      </w:r>
    </w:p>
    <w:p w14:paraId="1B84FB15">
      <w:pPr>
        <w:overflowPunct w:val="0"/>
        <w:spacing w:line="622" w:lineRule="exact"/>
        <w:ind w:firstLine="640"/>
        <w:rPr>
          <w:rFonts w:ascii="Times New Roman" w:hAnsi="Times New Roman" w:cs="Times New Roman"/>
        </w:rPr>
      </w:pPr>
    </w:p>
    <w:p w14:paraId="57A11F68">
      <w:pPr>
        <w:overflowPunct w:val="0"/>
        <w:spacing w:line="622" w:lineRule="exact"/>
        <w:ind w:firstLine="0" w:firstLineChars="0"/>
        <w:jc w:val="center"/>
        <w:outlineLvl w:val="1"/>
        <w:rPr>
          <w:rFonts w:hint="eastAsia" w:ascii="楷体_GB2312" w:hAnsi="楷体_GB2312" w:eastAsia="楷体_GB2312" w:cs="楷体_GB2312"/>
        </w:rPr>
      </w:pPr>
      <w:bookmarkStart w:id="64" w:name="_Toc5503"/>
      <w:r>
        <w:rPr>
          <w:rFonts w:hint="eastAsia" w:ascii="楷体_GB2312" w:hAnsi="楷体_GB2312" w:eastAsia="楷体_GB2312" w:cs="楷体_GB2312"/>
        </w:rPr>
        <w:t>第三节  构建良好科技创新生态</w:t>
      </w:r>
      <w:bookmarkEnd w:id="63"/>
      <w:bookmarkEnd w:id="64"/>
    </w:p>
    <w:bookmarkEnd w:id="59"/>
    <w:p w14:paraId="5B3EBD42">
      <w:pPr>
        <w:overflowPunct w:val="0"/>
        <w:spacing w:line="622" w:lineRule="exact"/>
        <w:ind w:firstLine="640"/>
        <w:rPr>
          <w:rFonts w:ascii="Times New Roman" w:hAnsi="Times New Roman" w:cs="Times New Roman"/>
          <w:szCs w:val="40"/>
        </w:rPr>
      </w:pPr>
      <w:bookmarkStart w:id="65" w:name="_Toc6557"/>
      <w:bookmarkStart w:id="66" w:name="_Toc4990"/>
    </w:p>
    <w:p w14:paraId="10EF7D13">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依托煤炭煤层气资源和产业优势，聚焦能源转型、产业升级、适度多元发展，推动科技创新与产业创新深度融合，因地制宜发展新质生产力。</w:t>
      </w:r>
    </w:p>
    <w:p w14:paraId="741D64B1">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推进高水平科技创新。</w:t>
      </w:r>
      <w:r>
        <w:rPr>
          <w:rFonts w:hint="eastAsia" w:ascii="仿宋_GB2312" w:hAnsi="仿宋_GB2312" w:cs="仿宋_GB2312"/>
          <w:szCs w:val="32"/>
        </w:rPr>
        <w:t>建设各类技术研发转化平台，</w:t>
      </w:r>
      <w:r>
        <w:rPr>
          <w:rFonts w:hint="eastAsia" w:ascii="仿宋_GB2312" w:hAnsi="仿宋_GB2312" w:cs="仿宋_GB2312"/>
          <w:szCs w:val="32"/>
          <w:shd w:val="clear" w:color="auto" w:fill="FFFFFF"/>
        </w:rPr>
        <w:t>建立和完善科技成果转移转化体系和机制，提高科技成果转化率，加强知识产权保护应用，促进科技与经济紧密结合。依托中国科学院煤化所、中南大学国家技术转移中心分中心、钠离子电池研发实验室、中国航空工业集团山西产业基地，推动更多科技成果在沁水转化落地。完善“智慧煤层气指挥调度平台”建设，提升平台数字化、智能化水平，提升对煤层气行业监管的科学性与准确性。推动煤层气“产学研用”深度融合，不断提升创新体系整体效能，建设各类技术研发转化平台，培育新产业新业态，推动创新链、产业链、资金链、人才链深度融合。</w:t>
      </w:r>
    </w:p>
    <w:p w14:paraId="26ACDC87">
      <w:pPr>
        <w:overflowPunct w:val="0"/>
        <w:spacing w:line="622" w:lineRule="exact"/>
        <w:ind w:firstLine="643"/>
        <w:rPr>
          <w:rFonts w:hint="eastAsia" w:ascii="仿宋_GB2312" w:hAnsi="仿宋_GB2312" w:cs="仿宋_GB2312"/>
          <w:b/>
          <w:bCs/>
          <w:szCs w:val="32"/>
          <w:shd w:val="clear" w:color="auto" w:fill="FFFFFF"/>
        </w:rPr>
      </w:pPr>
      <w:r>
        <w:rPr>
          <w:rFonts w:hint="eastAsia" w:ascii="仿宋_GB2312" w:hAnsi="仿宋_GB2312" w:cs="仿宋_GB2312"/>
          <w:b/>
          <w:bCs/>
          <w:szCs w:val="32"/>
          <w:shd w:val="clear" w:color="auto" w:fill="FFFFFF"/>
        </w:rPr>
        <w:t>加大能源原材料科技创新力度。</w:t>
      </w:r>
      <w:r>
        <w:rPr>
          <w:rFonts w:hint="eastAsia" w:ascii="仿宋_GB2312" w:hAnsi="仿宋_GB2312" w:cs="仿宋_GB2312"/>
          <w:szCs w:val="32"/>
          <w:shd w:val="clear" w:color="auto" w:fill="FFFFFF"/>
        </w:rPr>
        <w:t>围绕县域内市级技术创新中心、新型研发机构等创新平台，推进深部煤层气勘探开发、低浓度瓦斯利用等关键核心技术利用攻关。面向能源转型主战场，重点针对“特殊煤层开发技术”“煤矿智能导航定位”“地质探测设备融合应用”等重大课题，寻求能源领域创新技术突破，</w:t>
      </w:r>
      <w:r>
        <w:rPr>
          <w:rFonts w:hint="eastAsia" w:ascii="仿宋_GB2312" w:hAnsi="仿宋_GB2312" w:cs="仿宋_GB2312"/>
          <w:szCs w:val="32"/>
        </w:rPr>
        <w:t>打造全国煤层气人才培育和技术研发高地。</w:t>
      </w:r>
      <w:r>
        <w:rPr>
          <w:rFonts w:hint="eastAsia" w:ascii="仿宋_GB2312" w:hAnsi="仿宋_GB2312" w:cs="仿宋_GB2312"/>
          <w:szCs w:val="32"/>
          <w:shd w:val="clear" w:color="auto" w:fill="FFFFFF"/>
        </w:rPr>
        <w:t>持续发挥煤炭煤层气资源优势，在“沁河碳谷”碳基新材料产业的基础上，加速构建涵盖研发、生产、服务、检测、标准化制定全过程的碳基新材料创新示范基地。</w:t>
      </w:r>
    </w:p>
    <w:p w14:paraId="10F991E8">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shd w:val="clear" w:color="auto" w:fill="FFFFFF"/>
        </w:rPr>
        <w:t>实施创新主体培育工程。</w:t>
      </w:r>
      <w:r>
        <w:rPr>
          <w:rFonts w:hint="eastAsia" w:ascii="仿宋_GB2312" w:hAnsi="仿宋_GB2312" w:cs="仿宋_GB2312"/>
          <w:szCs w:val="32"/>
          <w:shd w:val="clear" w:color="auto" w:fill="FFFFFF"/>
        </w:rPr>
        <w:t>以开发区为载体，完善创新创业服务平台体系，鼓励创新创业孵化体系建设，支持新型创业服务机构发展。推进开发区“沁河碳谷”建设，积极创建科技型产业园区。探索培育高科技领军企业，在煤层气、碳基新材料、特色养殖等重点行业培养领军企业，造就一批创新型企业家。将学历教育与非学历教育、企业内部培育与企业外部培训结合起来，通过校校联合、校企合作，鼓励企业家和在校学生开展创新性实验和创业实践，搭建创新平台。</w:t>
      </w:r>
    </w:p>
    <w:p w14:paraId="515F32EB">
      <w:pPr>
        <w:overflowPunct w:val="0"/>
        <w:spacing w:line="622" w:lineRule="exact"/>
        <w:ind w:firstLine="643"/>
        <w:rPr>
          <w:rFonts w:hint="eastAsia" w:ascii="仿宋_GB2312" w:hAnsi="仿宋_GB2312" w:cs="仿宋_GB2312"/>
          <w:kern w:val="0"/>
          <w:szCs w:val="32"/>
          <w:lang w:bidi="ar"/>
        </w:rPr>
      </w:pPr>
      <w:r>
        <w:rPr>
          <w:rFonts w:hint="eastAsia" w:ascii="仿宋_GB2312" w:hAnsi="仿宋_GB2312" w:cs="仿宋_GB2312"/>
          <w:b/>
          <w:bCs/>
          <w:kern w:val="0"/>
          <w:szCs w:val="32"/>
          <w:lang w:bidi="ar"/>
        </w:rPr>
        <w:t>推进校地合作共赢。</w:t>
      </w:r>
      <w:r>
        <w:rPr>
          <w:rFonts w:hint="eastAsia" w:ascii="仿宋_GB2312" w:hAnsi="仿宋_GB2312" w:cs="仿宋_GB2312"/>
          <w:kern w:val="0"/>
          <w:szCs w:val="32"/>
          <w:lang w:bidi="ar"/>
        </w:rPr>
        <w:t>加强与中国石油大学（北京）、中国矿业大学（北京）等高校深度合作，依托全省唯一的全产业链研发中心和煤层气产业综合实训基地，吸引能源领域专业学生来沁实习实训。在矿山智能化建设、煤层气装备制造、新能源储备等领域，推动高校科研成果与企业生产需求对接、落地转化。定期举办煤层气高端学术交流会，支持企业与高校共建研发中心，推动校企联合开展技术攻关，全力打造集研发、中试、转化为一体的创新基地。试点建立“订单式”人才培养模式，为煤矿自动化、煤层气深加工等领域储备专业技术人才。深化与山西医科大学合作，引进医疗专业人才，推进沁水大医院建设。联合山西大学等科研机构组建生物中医药大健康研究院，为沁水县培育中医药产业领军人才和后备力量。</w:t>
      </w:r>
    </w:p>
    <w:p w14:paraId="4C313FB5">
      <w:pPr>
        <w:overflowPunct w:val="0"/>
        <w:spacing w:line="622" w:lineRule="exact"/>
        <w:ind w:firstLine="643"/>
        <w:rPr>
          <w:rFonts w:hint="eastAsia" w:ascii="仿宋_GB2312" w:hAnsi="仿宋_GB2312" w:cs="仿宋_GB2312"/>
          <w:b/>
          <w:bCs/>
          <w:kern w:val="0"/>
          <w:szCs w:val="32"/>
          <w:lang w:bidi="ar"/>
        </w:rPr>
      </w:pPr>
      <w:r>
        <w:rPr>
          <w:rFonts w:hint="eastAsia" w:ascii="仿宋_GB2312" w:hAnsi="仿宋_GB2312" w:cs="仿宋_GB2312"/>
          <w:b/>
          <w:bCs/>
          <w:kern w:val="0"/>
          <w:szCs w:val="32"/>
          <w:lang w:bidi="ar"/>
        </w:rPr>
        <w:t>创优人才发展体制机制。</w:t>
      </w:r>
      <w:r>
        <w:rPr>
          <w:rFonts w:hint="eastAsia" w:ascii="仿宋_GB2312" w:hAnsi="仿宋_GB2312" w:cs="仿宋_GB2312"/>
          <w:kern w:val="0"/>
          <w:szCs w:val="32"/>
          <w:lang w:bidi="ar"/>
        </w:rPr>
        <w:t>打造人才集聚平台，加强科技创新、乡村振兴、医疗卫生等领域人才队伍建设。依托“引凤兴晋”引才品牌，系统引进一批医疗专家。深入实施科教兴县、人才强县、创新驱动发展战略，加快产教融合步伐，优化沁水职高师资力量，着力提升职业教育服务沁水经济社会发展能力。聚焦发展新质生产力的人才需求，围绕煤炭、煤层气、文旅康养等重点产业与现实需求，通过“引育用留服”全链条改革，实施“柔性引才+本土培育”双轮驱动，构建多层次人才支撑体系，形成“政策牵引+平台支撑+生态赋能”的人才发展格局。实施本土人才培养计划，</w:t>
      </w:r>
      <w:r>
        <w:rPr>
          <w:rFonts w:hint="eastAsia" w:ascii="仿宋_GB2312" w:hAnsi="仿宋_GB2312" w:cs="仿宋_GB2312"/>
          <w:szCs w:val="32"/>
        </w:rPr>
        <w:t>分层分类精准开展人才培训，注重实践平台作用，引导人才服务高质量发展。</w:t>
      </w:r>
      <w:r>
        <w:rPr>
          <w:rFonts w:hint="eastAsia" w:ascii="仿宋_GB2312" w:hAnsi="仿宋_GB2312" w:cs="仿宋_GB2312"/>
          <w:kern w:val="0"/>
          <w:szCs w:val="32"/>
          <w:lang w:bidi="ar"/>
        </w:rPr>
        <w:t>做好产业工人队伍建设。大力推行终身职业技能培训制度，激励企业加大对高技能人才的培训力度，努力造就一大批高技能人才，提升人力资本质量和劳动者就业创业能力。坚持青年优先发展理念，满足青年多样化、多层次发展需求。全面落实“1+N”人才政策体系、“人才新政20条”，开展人才服务活动，推动政策应知尽知、应享尽享，全力打造“政策最优、服务最好、办事最快”的一流人才服务环境。</w:t>
      </w:r>
    </w:p>
    <w:bookmarkEnd w:id="65"/>
    <w:p w14:paraId="1865D088">
      <w:pPr>
        <w:overflowPunct w:val="0"/>
        <w:spacing w:line="622" w:lineRule="exact"/>
        <w:ind w:firstLine="640"/>
        <w:rPr>
          <w:rFonts w:ascii="Times New Roman" w:hAnsi="Times New Roman" w:cs="Times New Roman"/>
        </w:rPr>
      </w:pPr>
      <w:bookmarkStart w:id="67" w:name="_Toc22520"/>
    </w:p>
    <w:p w14:paraId="14FDB9B7">
      <w:pPr>
        <w:overflowPunct w:val="0"/>
        <w:spacing w:line="622" w:lineRule="exact"/>
        <w:ind w:firstLine="0" w:firstLineChars="0"/>
        <w:jc w:val="center"/>
        <w:outlineLvl w:val="1"/>
        <w:rPr>
          <w:rFonts w:hint="eastAsia" w:ascii="楷体_GB2312" w:hAnsi="楷体_GB2312" w:eastAsia="楷体_GB2312" w:cs="楷体_GB2312"/>
        </w:rPr>
      </w:pPr>
      <w:bookmarkStart w:id="68" w:name="_Toc18356"/>
      <w:r>
        <w:rPr>
          <w:rFonts w:hint="eastAsia" w:ascii="楷体_GB2312" w:hAnsi="楷体_GB2312" w:eastAsia="楷体_GB2312" w:cs="楷体_GB2312"/>
        </w:rPr>
        <w:t>第四节  扩大高水平对外开放</w:t>
      </w:r>
      <w:bookmarkEnd w:id="66"/>
      <w:bookmarkEnd w:id="67"/>
      <w:bookmarkEnd w:id="68"/>
    </w:p>
    <w:p w14:paraId="64CA5FD2">
      <w:pPr>
        <w:overflowPunct w:val="0"/>
        <w:spacing w:line="622" w:lineRule="exact"/>
        <w:ind w:firstLine="640"/>
        <w:rPr>
          <w:rFonts w:ascii="Times New Roman" w:hAnsi="Times New Roman" w:cs="Times New Roman"/>
        </w:rPr>
      </w:pPr>
    </w:p>
    <w:p w14:paraId="42CAD9EC">
      <w:pPr>
        <w:overflowPunct w:val="0"/>
        <w:spacing w:line="622" w:lineRule="exact"/>
        <w:ind w:firstLine="640"/>
        <w:rPr>
          <w:rFonts w:hint="eastAsia" w:ascii="仿宋_GB2312" w:hAnsi="仿宋_GB2312" w:cs="仿宋_GB2312"/>
        </w:rPr>
      </w:pPr>
      <w:r>
        <w:rPr>
          <w:rFonts w:hint="eastAsia" w:ascii="仿宋_GB2312" w:hAnsi="仿宋_GB2312" w:cs="仿宋_GB2312"/>
        </w:rPr>
        <w:t>主动融入中部地区崛起等国家重大区域发展战略，加强与中原城市群、京津冀地区的沟通对接，积极承接发达地区产业梯度转移，努力以高水平开放促进全方位转型和高质量发展。</w:t>
      </w:r>
    </w:p>
    <w:p w14:paraId="7B171C61">
      <w:pPr>
        <w:pStyle w:val="10"/>
        <w:overflowPunct w:val="0"/>
        <w:spacing w:after="0" w:line="622" w:lineRule="exact"/>
        <w:ind w:firstLine="643"/>
        <w:rPr>
          <w:rFonts w:hint="eastAsia" w:ascii="仿宋_GB2312" w:hAnsi="仿宋_GB2312" w:cs="仿宋_GB2312"/>
        </w:rPr>
      </w:pPr>
      <w:r>
        <w:rPr>
          <w:rFonts w:hint="eastAsia" w:ascii="仿宋_GB2312" w:hAnsi="仿宋_GB2312" w:cs="仿宋_GB2312"/>
          <w:b/>
          <w:bCs/>
        </w:rPr>
        <w:t>融入国家重大区域发展战略。</w:t>
      </w:r>
      <w:r>
        <w:rPr>
          <w:rFonts w:hint="eastAsia" w:ascii="仿宋_GB2312" w:hAnsi="仿宋_GB2312" w:cs="仿宋_GB2312"/>
        </w:rPr>
        <w:t>主动承接中原城市群、京津冀、长三角等重点区域产业转移，着力拓展进出口贸易、产业协作、技术交流与合作，加快构建更高水平对外开放经济格局。推动开发区积极对接长三角等地先进示范园区，共同推进合作园区建设，打造项目承接、产能对接、资源和技术共享的承载平台。</w:t>
      </w:r>
      <w:r>
        <w:rPr>
          <w:rFonts w:hint="eastAsia" w:ascii="仿宋_GB2312" w:hAnsi="仿宋_GB2312" w:cs="仿宋_GB2312"/>
          <w:szCs w:val="32"/>
        </w:rPr>
        <w:t>加快构建现代化综合交通体系，积极推进干线公路网、农村公路网、旅游公路网三网建设，加快形成安全、便捷、高效、绿色、经济的现代化综合交通体系。</w:t>
      </w:r>
      <w:r>
        <w:rPr>
          <w:rFonts w:hint="eastAsia" w:ascii="仿宋_GB2312" w:hAnsi="仿宋_GB2312" w:cs="仿宋_GB2312"/>
        </w:rPr>
        <w:t>围绕生产要素自由流动、基础设施互联互通、公共服务设施共建共享、生态环境联防联控等重点环节，主动融入“一带一路”和黄河流域生态保护和高质量发展战略，深度融入中原城市群发展，加强区域政策机制协同联动，不断提高对外开放水平。</w:t>
      </w:r>
    </w:p>
    <w:p w14:paraId="40A8B9C9">
      <w:pPr>
        <w:overflowPunct w:val="0"/>
        <w:spacing w:line="622" w:lineRule="exact"/>
        <w:ind w:firstLine="643"/>
        <w:rPr>
          <w:rFonts w:hint="eastAsia" w:ascii="仿宋_GB2312" w:hAnsi="仿宋_GB2312" w:cs="仿宋_GB2312"/>
        </w:rPr>
      </w:pPr>
      <w:r>
        <w:rPr>
          <w:rFonts w:hint="eastAsia" w:ascii="仿宋_GB2312" w:hAnsi="仿宋_GB2312" w:cs="仿宋_GB2312"/>
          <w:b/>
          <w:bCs/>
          <w:szCs w:val="32"/>
          <w:lang w:bidi="ar"/>
        </w:rPr>
        <w:t>建设开放合作平台。</w:t>
      </w:r>
      <w:r>
        <w:rPr>
          <w:rFonts w:hint="eastAsia" w:ascii="仿宋_GB2312" w:hAnsi="仿宋_GB2312" w:cs="仿宋_GB2312"/>
        </w:rPr>
        <w:t>支持企业“借船出海”，与沿海自贸区共建“飞地产业园”，培育跨境电商业态，促进跨境电商交易额不断增长。通过落实促进外贸稳定增长措施，加快内外贸一体化改革，推动内外贸在产业链、供应链、价值链上的深度融合，优化贸易结构，扩大产品出口规模。加强与RCEP</w:t>
      </w:r>
      <w:r>
        <w:rPr>
          <w:rFonts w:hint="eastAsia" w:ascii="仿宋_GB2312" w:hAnsi="仿宋_GB2312" w:cs="仿宋_GB2312"/>
          <w:lang w:val="en-US" w:eastAsia="zh-CN"/>
        </w:rPr>
        <w:t>加成员国</w:t>
      </w:r>
      <w:r>
        <w:rPr>
          <w:rFonts w:hint="eastAsia" w:ascii="仿宋_GB2312" w:hAnsi="仿宋_GB2312" w:cs="仿宋_GB2312"/>
        </w:rPr>
        <w:t>、“一带一路”沿线国家贸易往来，支持跨境电商直接出口和海外仓模式。多维度、多层次、多领域建设开放合作平台，推动资源整合、产业升级与区域协同发展，形成具有地方特色的开放格局。</w:t>
      </w:r>
    </w:p>
    <w:p w14:paraId="3D24FAAE">
      <w:pPr>
        <w:overflowPunct w:val="0"/>
        <w:spacing w:line="622" w:lineRule="exact"/>
        <w:ind w:firstLine="643"/>
        <w:rPr>
          <w:rFonts w:ascii="Times New Roman" w:hAnsi="Times New Roman" w:cs="Times New Roman"/>
          <w:strike/>
          <w:spacing w:val="-6"/>
          <w:highlight w:val="yellow"/>
        </w:rPr>
      </w:pPr>
      <w:bookmarkStart w:id="69" w:name="_Toc20573"/>
      <w:r>
        <w:rPr>
          <w:rFonts w:hint="eastAsia" w:ascii="仿宋_GB2312" w:hAnsi="仿宋_GB2312" w:cs="仿宋_GB2312"/>
          <w:b/>
          <w:bCs/>
          <w:szCs w:val="32"/>
          <w:lang w:bidi="ar"/>
        </w:rPr>
        <w:t>拓</w:t>
      </w:r>
      <w:r>
        <w:rPr>
          <w:rFonts w:hint="eastAsia" w:ascii="仿宋_GB2312" w:hAnsi="仿宋_GB2312" w:cs="仿宋_GB2312"/>
          <w:b/>
          <w:bCs/>
          <w:spacing w:val="-6"/>
          <w:szCs w:val="32"/>
          <w:lang w:bidi="ar"/>
        </w:rPr>
        <w:t>展招商引资新空间。</w:t>
      </w:r>
      <w:r>
        <w:rPr>
          <w:rFonts w:hint="eastAsia" w:ascii="仿宋_GB2312" w:hAnsi="仿宋_GB2312" w:cs="仿宋_GB2312"/>
          <w:spacing w:val="-6"/>
        </w:rPr>
        <w:t>加强与周边地区的经济合作与产业联动，通过共建产业园区、共享资源要素、协同推进重大项目等方式，开展精准对接招引。顺应统一大市场趋势，依法依规治理企业无序竞争，推动市场竞争秩序持续优化。推行“政府+链主+园区”招商模式，围绕优势产业和资源禀赋，完善招商图谱，靶向招引一批优结构的“增长极”项目。聚焦开发区主阵地，围绕碳基复合材料产业链大力发展制造业招引。围绕经济转型和产业升级，做好文旅康养产业提质增效招引、特色农业延链强链补链招引。用足用好产业链招商、小分队招商等方式，提升招商引资实效。积极参与广交会、进博会等会展活动，强化贸易政策和财税、金融、产业政策协同，办好招商引资对外推介活动。</w:t>
      </w:r>
    </w:p>
    <w:p w14:paraId="38854D20">
      <w:pPr>
        <w:overflowPunct w:val="0"/>
        <w:spacing w:line="622" w:lineRule="exact"/>
        <w:ind w:firstLine="640"/>
        <w:rPr>
          <w:rFonts w:ascii="Times New Roman" w:hAnsi="Times New Roman" w:cs="Times New Roman"/>
        </w:rPr>
      </w:pPr>
      <w:r>
        <w:rPr>
          <w:rFonts w:ascii="Times New Roman" w:hAnsi="Times New Roman" w:cs="Times New Roman"/>
        </w:rPr>
        <w:br w:type="page"/>
      </w:r>
    </w:p>
    <w:p w14:paraId="7774ED5A">
      <w:pPr>
        <w:overflowPunct w:val="0"/>
        <w:spacing w:line="622" w:lineRule="exact"/>
        <w:ind w:firstLine="640"/>
        <w:rPr>
          <w:rFonts w:ascii="Times New Roman" w:hAnsi="Times New Roman" w:cs="Times New Roman"/>
        </w:rPr>
      </w:pPr>
    </w:p>
    <w:p w14:paraId="4D6E028E">
      <w:pPr>
        <w:numPr>
          <w:ilvl w:val="0"/>
          <w:numId w:val="4"/>
        </w:numPr>
        <w:overflowPunct w:val="0"/>
        <w:spacing w:line="622" w:lineRule="exact"/>
        <w:ind w:firstLine="0" w:firstLineChars="0"/>
        <w:jc w:val="center"/>
        <w:outlineLvl w:val="0"/>
        <w:rPr>
          <w:rFonts w:hint="eastAsia" w:ascii="黑体" w:hAnsi="黑体" w:eastAsia="黑体" w:cs="黑体"/>
          <w:szCs w:val="32"/>
        </w:rPr>
      </w:pPr>
      <w:bookmarkStart w:id="70" w:name="_Toc13734"/>
      <w:r>
        <w:rPr>
          <w:rFonts w:hint="eastAsia" w:ascii="黑体" w:hAnsi="黑体" w:eastAsia="黑体" w:cs="黑体"/>
          <w:szCs w:val="32"/>
          <w:lang w:val="en-US" w:eastAsia="zh-CN"/>
        </w:rPr>
        <w:t xml:space="preserve"> </w:t>
      </w:r>
      <w:r>
        <w:rPr>
          <w:rFonts w:hint="eastAsia" w:ascii="黑体" w:hAnsi="黑体" w:eastAsia="黑体" w:cs="黑体"/>
          <w:szCs w:val="32"/>
        </w:rPr>
        <w:t>推进以人为本新型城镇化</w:t>
      </w:r>
      <w:r>
        <w:rPr>
          <w:rFonts w:hint="eastAsia" w:ascii="黑体" w:hAnsi="黑体" w:eastAsia="黑体" w:cs="黑体"/>
          <w:szCs w:val="32"/>
          <w:lang w:val="en-US" w:eastAsia="zh-CN"/>
        </w:rPr>
        <w:t xml:space="preserve"> </w:t>
      </w:r>
      <w:r>
        <w:rPr>
          <w:rFonts w:hint="eastAsia" w:ascii="黑体" w:hAnsi="黑体" w:eastAsia="黑体" w:cs="黑体"/>
          <w:szCs w:val="32"/>
        </w:rPr>
        <w:t>构建城乡融合发展新格局</w:t>
      </w:r>
      <w:bookmarkEnd w:id="69"/>
      <w:bookmarkEnd w:id="70"/>
    </w:p>
    <w:p w14:paraId="1064EAB7">
      <w:pPr>
        <w:overflowPunct w:val="0"/>
        <w:spacing w:line="622" w:lineRule="exact"/>
        <w:ind w:firstLine="640"/>
        <w:rPr>
          <w:rFonts w:ascii="Times New Roman" w:hAnsi="Times New Roman" w:cs="Times New Roman"/>
          <w:szCs w:val="32"/>
        </w:rPr>
      </w:pPr>
    </w:p>
    <w:p w14:paraId="0A8D1BE4">
      <w:pPr>
        <w:overflowPunct w:val="0"/>
        <w:spacing w:line="622" w:lineRule="exact"/>
        <w:ind w:firstLine="640"/>
        <w:rPr>
          <w:rFonts w:ascii="Times New Roman" w:hAnsi="Times New Roman" w:cs="Times New Roman"/>
          <w:szCs w:val="32"/>
        </w:rPr>
      </w:pPr>
      <w:r>
        <w:rPr>
          <w:rFonts w:ascii="Times New Roman" w:hAnsi="Times New Roman" w:cs="Times New Roman"/>
          <w:szCs w:val="32"/>
        </w:rPr>
        <w:t>推进以县城为</w:t>
      </w:r>
      <w:r>
        <w:rPr>
          <w:rFonts w:hint="eastAsia" w:ascii="Times New Roman" w:hAnsi="Times New Roman" w:cs="Times New Roman"/>
          <w:szCs w:val="32"/>
        </w:rPr>
        <w:t>重要</w:t>
      </w:r>
      <w:r>
        <w:rPr>
          <w:rFonts w:ascii="Times New Roman" w:hAnsi="Times New Roman" w:cs="Times New Roman"/>
          <w:szCs w:val="32"/>
        </w:rPr>
        <w:t>载体的新型城镇化建设，促进人口集聚、产业协同、功能完善和治理升级，有效提升县域综合承载能力和辐射带动能力，推动城镇化从外延扩张向内涵提升转变，打造和谐宜居、特色鲜明、富有活力的现代化新沁水。</w:t>
      </w:r>
    </w:p>
    <w:p w14:paraId="6273B026">
      <w:pPr>
        <w:overflowPunct w:val="0"/>
        <w:spacing w:line="622" w:lineRule="exact"/>
        <w:ind w:firstLine="0" w:firstLineChars="0"/>
        <w:rPr>
          <w:rFonts w:eastAsia="楷体_GB2312" w:cs="Times New Roman"/>
          <w:b/>
        </w:rPr>
      </w:pPr>
      <w:bookmarkStart w:id="71" w:name="_Toc17619"/>
      <w:bookmarkStart w:id="72" w:name="_Toc1144"/>
      <w:bookmarkStart w:id="73" w:name="_Toc4820"/>
    </w:p>
    <w:p w14:paraId="0B399619">
      <w:pPr>
        <w:overflowPunct w:val="0"/>
        <w:spacing w:line="622" w:lineRule="exact"/>
        <w:ind w:firstLine="0" w:firstLineChars="0"/>
        <w:jc w:val="center"/>
        <w:outlineLvl w:val="1"/>
        <w:rPr>
          <w:rFonts w:eastAsia="楷体_GB2312" w:cs="Times New Roman"/>
          <w:bCs/>
        </w:rPr>
      </w:pPr>
      <w:bookmarkStart w:id="74" w:name="_Toc28434"/>
      <w:r>
        <w:rPr>
          <w:rFonts w:eastAsia="楷体_GB2312" w:cs="Times New Roman"/>
          <w:bCs/>
        </w:rPr>
        <w:t>第一节</w:t>
      </w:r>
      <w:r>
        <w:rPr>
          <w:rFonts w:hint="eastAsia" w:eastAsia="楷体_GB2312" w:cs="Times New Roman"/>
          <w:bCs/>
        </w:rPr>
        <w:t xml:space="preserve"> </w:t>
      </w:r>
      <w:r>
        <w:rPr>
          <w:rFonts w:eastAsia="楷体_GB2312" w:cs="Times New Roman"/>
          <w:bCs/>
        </w:rPr>
        <w:t xml:space="preserve"> 优化县域空间布局</w:t>
      </w:r>
      <w:bookmarkEnd w:id="71"/>
      <w:bookmarkEnd w:id="72"/>
      <w:bookmarkEnd w:id="73"/>
      <w:bookmarkEnd w:id="74"/>
    </w:p>
    <w:p w14:paraId="3B3FECF6">
      <w:pPr>
        <w:overflowPunct w:val="0"/>
        <w:spacing w:line="622" w:lineRule="exact"/>
        <w:ind w:firstLine="640"/>
        <w:rPr>
          <w:rFonts w:ascii="Times New Roman" w:hAnsi="Times New Roman" w:cs="Times New Roman"/>
          <w:szCs w:val="32"/>
        </w:rPr>
      </w:pPr>
    </w:p>
    <w:p w14:paraId="1E7275D5">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践行人民城市理念，系统谋划县域发展，坚守生态本色，强化国土管控，优化空间结构，引导人口和产业合理布局，走集约高效的新型城镇化道路。</w:t>
      </w:r>
    </w:p>
    <w:p w14:paraId="281F2567">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构建国土空间开发保护总格局。</w:t>
      </w:r>
      <w:r>
        <w:rPr>
          <w:rFonts w:hint="eastAsia" w:ascii="仿宋_GB2312" w:hAnsi="仿宋_GB2312" w:cs="仿宋_GB2312"/>
          <w:szCs w:val="32"/>
        </w:rPr>
        <w:t>严格落实国家主体功能区战略，构建“一屏两核双轴”的国土空间开发保护总体格局。“一屏”为太岳山—中条山生态屏障，</w:t>
      </w:r>
      <w:r>
        <w:rPr>
          <w:rFonts w:hint="eastAsia" w:ascii="仿宋_GB2312" w:hAnsi="仿宋_GB2312" w:cs="仿宋_GB2312"/>
          <w:bCs/>
          <w:szCs w:val="32"/>
        </w:rPr>
        <w:t>重点</w:t>
      </w:r>
      <w:r>
        <w:rPr>
          <w:rFonts w:hint="eastAsia" w:ascii="仿宋_GB2312" w:hAnsi="仿宋_GB2312" w:cs="仿宋_GB2312"/>
          <w:szCs w:val="32"/>
        </w:rPr>
        <w:t>强化水源涵养与生物多样性保护功能，筑牢县域生态安全根基；“两核”指中心城区—郑庄与端氏—嘉峰—郑村两大发展核心，承担公共服务与人口集聚、能源转型与产业升级功能。“双轴”即沁河城镇发展轴与东向优化发展轴，依托沁河流域资源与交通优势，促进生产要素高效集聚。深入实施“多规合一”的国土空间规划，严守耕地和永久基本农田、生态保护红线、城镇开发边界等控制线，分区分类实施差别化、精细化用途管制，加快形成功能清晰、结构优化、协调有序的国土空间体系。</w:t>
      </w:r>
    </w:p>
    <w:p w14:paraId="4DEA9CA9">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构筑东西联动全域协同发展格局。</w:t>
      </w:r>
      <w:r>
        <w:rPr>
          <w:rFonts w:hint="eastAsia" w:ascii="仿宋_GB2312" w:hAnsi="仿宋_GB2312" w:cs="仿宋_GB2312"/>
          <w:szCs w:val="32"/>
        </w:rPr>
        <w:t>积极探索西部以县城为中心、东部以“端氏—嘉峰”片区为牵引的县域东西并进发展路径。西部片区聚焦大县城建设，进一步完善基础设施配套，优化教育、医疗、文化等公共服务供给，布局劳动密集型产业，着力提升综合承载能力，更好发挥促进城乡融合的区域枢纽作用；东部依托端氏、嘉峰的“旱码头”优势，充分激活人口资源、工业基础、商业传统等要素，坚持集中连片发展，有效盘活闲置国有资产，完善基础设施建设，提升辐射带动周边村镇发展的能力。加快推进以乡镇政府所在地为主的城镇化建设，充分发挥乡镇主动性，发展特色产业，推进乡村建设。促进基础设施互联互通、公共服务共建共享、要素资源自由流动，实现全域协同的良好局面。</w:t>
      </w:r>
    </w:p>
    <w:p w14:paraId="3C88DABC">
      <w:pPr>
        <w:overflowPunct w:val="0"/>
        <w:spacing w:line="622" w:lineRule="exact"/>
        <w:ind w:firstLine="643"/>
        <w:rPr>
          <w:rFonts w:hint="eastAsia" w:ascii="仿宋_GB2312" w:hAnsi="仿宋_GB2312" w:cs="仿宋_GB2312"/>
          <w:b/>
          <w:bCs/>
          <w:szCs w:val="32"/>
        </w:rPr>
      </w:pPr>
      <w:r>
        <w:rPr>
          <w:rFonts w:hint="eastAsia" w:ascii="仿宋_GB2312" w:hAnsi="仿宋_GB2312" w:cs="仿宋_GB2312"/>
          <w:b/>
          <w:bCs/>
          <w:szCs w:val="32"/>
        </w:rPr>
        <w:t>健全县域城镇发展体系。</w:t>
      </w:r>
      <w:r>
        <w:rPr>
          <w:rFonts w:hint="eastAsia" w:ascii="仿宋_GB2312" w:hAnsi="仿宋_GB2312" w:cs="仿宋_GB2312"/>
          <w:szCs w:val="32"/>
        </w:rPr>
        <w:t>立足资源禀赋和“三生”空间格局，构建“中心城区—重点镇—一般镇—中心村”四级城镇体系。中心城区是全域的政治、经济、文化中心，承担着引领县域发展的核心职能；重点镇是县域经济转型升级的关键支点，推动产业集聚与转型升级，强化区域支撑功能；一般乡镇是城乡融合的重要节点，着力补齐基础设施与公共服务短板，提升对镇域村庄的基本服务保障能力；中心村是乡村综合服务的重要载体，通过增强设施配套引导适当人口集中，并服务于周边多个村庄。强化各级协同发展机制，形成布局合理、功能互补的城镇发展网络。</w:t>
      </w:r>
    </w:p>
    <w:p w14:paraId="693C21E1">
      <w:pPr>
        <w:pStyle w:val="11"/>
        <w:overflowPunct w:val="0"/>
        <w:spacing w:after="156" w:afterLines="50" w:line="622" w:lineRule="exact"/>
        <w:ind w:left="0" w:leftChars="0" w:firstLine="0" w:firstLineChars="0"/>
        <w:jc w:val="center"/>
        <w:rPr>
          <w:rFonts w:ascii="黑体" w:hAnsi="黑体" w:eastAsia="黑体" w:cs="黑体"/>
          <w:sz w:val="28"/>
          <w:szCs w:val="28"/>
        </w:rPr>
      </w:pPr>
      <w:r>
        <w:rPr>
          <w:rFonts w:ascii="黑体" w:hAnsi="黑体" w:eastAsia="黑体" w:cs="黑体"/>
          <w:sz w:val="28"/>
          <w:szCs w:val="28"/>
        </w:rPr>
        <w:t>专栏11  城镇布局体系</w:t>
      </w:r>
    </w:p>
    <w:tbl>
      <w:tblPr>
        <w:tblStyle w:val="21"/>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9060"/>
      </w:tblGrid>
      <w:tr w14:paraId="0F7C0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48" w:hRule="atLeast"/>
          <w:jc w:val="center"/>
        </w:trPr>
        <w:tc>
          <w:tcPr>
            <w:tcW w:w="5000" w:type="pct"/>
            <w:tcBorders>
              <w:tl2br w:val="nil"/>
              <w:tr2bl w:val="nil"/>
            </w:tcBorders>
            <w:vAlign w:val="center"/>
          </w:tcPr>
          <w:p w14:paraId="42ECAECC">
            <w:pPr>
              <w:overflowPunct w:val="0"/>
              <w:spacing w:line="36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中心城区：</w:t>
            </w:r>
            <w:r>
              <w:rPr>
                <w:rFonts w:hint="eastAsia" w:asciiTheme="majorEastAsia" w:hAnsiTheme="majorEastAsia" w:eastAsiaTheme="majorEastAsia" w:cstheme="majorEastAsia"/>
                <w:sz w:val="20"/>
                <w:szCs w:val="20"/>
              </w:rPr>
              <w:t>1个，龙港镇。</w:t>
            </w:r>
          </w:p>
          <w:p w14:paraId="0CFA9DD5">
            <w:pPr>
              <w:overflowPunct w:val="0"/>
              <w:spacing w:line="36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重点镇：</w:t>
            </w:r>
            <w:r>
              <w:rPr>
                <w:rFonts w:hint="eastAsia" w:asciiTheme="majorEastAsia" w:hAnsiTheme="majorEastAsia" w:eastAsiaTheme="majorEastAsia" w:cstheme="majorEastAsia"/>
                <w:sz w:val="20"/>
                <w:szCs w:val="20"/>
              </w:rPr>
              <w:t>3个，端氏镇、嘉峰镇、郑庄镇。</w:t>
            </w:r>
          </w:p>
          <w:p w14:paraId="0585A011">
            <w:pPr>
              <w:overflowPunct w:val="0"/>
              <w:spacing w:line="36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一般乡镇：</w:t>
            </w:r>
            <w:r>
              <w:rPr>
                <w:rFonts w:hint="eastAsia" w:asciiTheme="majorEastAsia" w:hAnsiTheme="majorEastAsia" w:eastAsiaTheme="majorEastAsia" w:cstheme="majorEastAsia"/>
                <w:sz w:val="20"/>
                <w:szCs w:val="20"/>
              </w:rPr>
              <w:t>8个，郑村镇、中村镇、柿庄镇、胡底乡、固县乡、土沃乡、张村乡、十里乡。</w:t>
            </w:r>
          </w:p>
          <w:p w14:paraId="725A5BAD">
            <w:pPr>
              <w:overflowPunct w:val="0"/>
              <w:spacing w:line="36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中心村：</w:t>
            </w:r>
            <w:r>
              <w:rPr>
                <w:rFonts w:hint="eastAsia" w:asciiTheme="majorEastAsia" w:hAnsiTheme="majorEastAsia" w:eastAsiaTheme="majorEastAsia" w:cstheme="majorEastAsia"/>
                <w:sz w:val="20"/>
                <w:szCs w:val="20"/>
              </w:rPr>
              <w:t>3</w:t>
            </w:r>
            <w:r>
              <w:rPr>
                <w:rFonts w:hint="eastAsia" w:asciiTheme="majorEastAsia" w:hAnsiTheme="majorEastAsia" w:eastAsiaTheme="majorEastAsia" w:cstheme="majorEastAsia"/>
                <w:sz w:val="20"/>
                <w:szCs w:val="20"/>
                <w:lang w:val="en-US" w:eastAsia="zh-CN"/>
              </w:rPr>
              <w:t>7</w:t>
            </w:r>
            <w:r>
              <w:rPr>
                <w:rFonts w:hint="eastAsia" w:asciiTheme="majorEastAsia" w:hAnsiTheme="majorEastAsia" w:eastAsiaTheme="majorEastAsia" w:cstheme="majorEastAsia"/>
                <w:sz w:val="20"/>
                <w:szCs w:val="20"/>
              </w:rPr>
              <w:t>个，尧都村、马邑村、王寨村、樊村村；端氏村、韩王村、必底村；嘉峰村、窦庄村、殷庄村；郑庄村、东大村、河头村、苏庄村；肖庄村、湘峪村、后河村；中村村、张马村、东沟村；柿庄村、应郭村；胡底村、贾寨村、玉溪村；固县村、高村村、司庄村；土沃村、南阳村、杏则村；张村村、张河村、冯村村；上泊村、十里村、东峪村。</w:t>
            </w:r>
          </w:p>
        </w:tc>
      </w:tr>
    </w:tbl>
    <w:p w14:paraId="236D05DE">
      <w:pPr>
        <w:overflowPunct w:val="0"/>
        <w:spacing w:line="622" w:lineRule="exact"/>
        <w:ind w:firstLine="0" w:firstLineChars="0"/>
        <w:rPr>
          <w:rFonts w:eastAsia="楷体_GB2312" w:cs="Times New Roman"/>
          <w:b/>
        </w:rPr>
      </w:pPr>
      <w:bookmarkStart w:id="75" w:name="_Toc15341"/>
      <w:bookmarkStart w:id="76" w:name="_Toc28795"/>
      <w:bookmarkStart w:id="77" w:name="_Toc27424"/>
    </w:p>
    <w:p w14:paraId="2886D6FD">
      <w:pPr>
        <w:overflowPunct w:val="0"/>
        <w:spacing w:line="622" w:lineRule="exact"/>
        <w:ind w:firstLine="0" w:firstLineChars="0"/>
        <w:jc w:val="center"/>
        <w:outlineLvl w:val="1"/>
        <w:rPr>
          <w:rFonts w:eastAsia="楷体_GB2312" w:cs="Times New Roman"/>
          <w:bCs/>
        </w:rPr>
      </w:pPr>
      <w:bookmarkStart w:id="78" w:name="_Toc17978"/>
      <w:r>
        <w:rPr>
          <w:rFonts w:eastAsia="楷体_GB2312" w:cs="Times New Roman"/>
          <w:bCs/>
        </w:rPr>
        <w:t>第二节</w:t>
      </w:r>
      <w:r>
        <w:rPr>
          <w:rFonts w:hint="eastAsia" w:eastAsia="楷体_GB2312" w:cs="Times New Roman"/>
          <w:bCs/>
        </w:rPr>
        <w:t xml:space="preserve"> </w:t>
      </w:r>
      <w:r>
        <w:rPr>
          <w:rFonts w:eastAsia="楷体_GB2312" w:cs="Times New Roman"/>
          <w:bCs/>
        </w:rPr>
        <w:t xml:space="preserve"> 提升县城功能品质</w:t>
      </w:r>
      <w:bookmarkEnd w:id="75"/>
      <w:bookmarkEnd w:id="76"/>
      <w:bookmarkEnd w:id="77"/>
      <w:bookmarkEnd w:id="78"/>
    </w:p>
    <w:p w14:paraId="57F26A5F">
      <w:pPr>
        <w:overflowPunct w:val="0"/>
        <w:spacing w:line="622" w:lineRule="exact"/>
        <w:ind w:firstLine="640"/>
        <w:rPr>
          <w:rFonts w:ascii="Times New Roman" w:hAnsi="Times New Roman" w:cs="Times New Roman"/>
          <w:szCs w:val="32"/>
        </w:rPr>
      </w:pPr>
    </w:p>
    <w:p w14:paraId="09E79CC6">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立足沁水“山城+水城+文化城”的自然人文禀赋，聚焦“建设高品质宜居县城”目标，按照“南太行山水生态康养慢城”发展定位，统筹推进城市更新与功能提升。重点打造南太行精致生活样板区、沁河流域文旅休闲目的地和专业功能型生态宜居小城，构建创新、宜居、美丽、韧性、文明、智慧的现代化人民城市，全面建成大县城品质生活示范区。</w:t>
      </w:r>
    </w:p>
    <w:p w14:paraId="15761EBD">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优化县城空间结构。</w:t>
      </w:r>
      <w:r>
        <w:rPr>
          <w:rFonts w:hint="eastAsia" w:ascii="仿宋_GB2312" w:hAnsi="仿宋_GB2312" w:cs="仿宋_GB2312"/>
          <w:szCs w:val="32"/>
        </w:rPr>
        <w:t>遵循“一城山水半城园”的特色定位，构建“一体两翼，两轴十组团”空间结构，通过轴线联动与组团协同，推动中心城区与生态两翼融合发展，实现十大功能组团互补互促与特色发展。积极推进组团新区“公园+”建设，按照“因地制宜、生态优先、以人为本、全龄友好、就近进入、可赏可感”的原则，优化县城公园绿地空间布局。到2030年，全县常住人口城镇化率达到60%，建成区面积达到10平方公里以上，常住人口达到10万人，基本形成产城融合、功能复合的城市网络体系，城市能级稳步提升。</w:t>
      </w:r>
    </w:p>
    <w:p w14:paraId="6F860516">
      <w:pPr>
        <w:pStyle w:val="11"/>
        <w:overflowPunct w:val="0"/>
        <w:spacing w:after="156" w:afterLines="50" w:line="622" w:lineRule="exact"/>
        <w:ind w:left="0" w:leftChars="0" w:firstLine="0" w:firstLineChars="0"/>
        <w:jc w:val="center"/>
        <w:rPr>
          <w:rFonts w:ascii="黑体" w:hAnsi="黑体" w:eastAsia="黑体" w:cs="黑体"/>
          <w:szCs w:val="30"/>
        </w:rPr>
      </w:pPr>
      <w:r>
        <w:rPr>
          <w:rFonts w:ascii="黑体" w:hAnsi="黑体" w:eastAsia="黑体" w:cs="黑体"/>
          <w:szCs w:val="30"/>
        </w:rPr>
        <w:t>专栏12</w:t>
      </w:r>
      <w:r>
        <w:rPr>
          <w:rFonts w:hint="eastAsia" w:ascii="黑体" w:hAnsi="黑体" w:eastAsia="黑体" w:cs="黑体"/>
          <w:szCs w:val="30"/>
          <w:lang w:val="en-US" w:eastAsia="zh-CN"/>
        </w:rPr>
        <w:t xml:space="preserve">  </w:t>
      </w:r>
      <w:r>
        <w:rPr>
          <w:rFonts w:ascii="黑体" w:hAnsi="黑体" w:eastAsia="黑体" w:cs="黑体"/>
          <w:szCs w:val="30"/>
        </w:rPr>
        <w:t>“一体两翼，两轴十组团”县城空间结构</w:t>
      </w:r>
    </w:p>
    <w:tbl>
      <w:tblPr>
        <w:tblStyle w:val="21"/>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9060"/>
      </w:tblGrid>
      <w:tr w14:paraId="08DC9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86" w:hRule="atLeast"/>
          <w:jc w:val="center"/>
        </w:trPr>
        <w:tc>
          <w:tcPr>
            <w:tcW w:w="5000" w:type="pct"/>
            <w:tcBorders>
              <w:tl2br w:val="nil"/>
              <w:tr2bl w:val="nil"/>
            </w:tcBorders>
            <w:vAlign w:val="center"/>
          </w:tcPr>
          <w:p w14:paraId="037E0153">
            <w:pPr>
              <w:overflowPunct w:val="0"/>
              <w:spacing w:line="360" w:lineRule="exact"/>
              <w:ind w:firstLine="400"/>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一体：指沿杏河—县河、梅河呈带状布局的中心城区，集中承载县域综合服务功能。</w:t>
            </w:r>
          </w:p>
          <w:p w14:paraId="14058906">
            <w:pPr>
              <w:overflowPunct w:val="0"/>
              <w:spacing w:line="360" w:lineRule="exact"/>
              <w:ind w:firstLine="400"/>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两翼：指南北两翼。北翼依托太行洪谷国家级森林自然公园、碧峰山等资源，南翼以石楼山为主体，构筑城市生态屏障。</w:t>
            </w:r>
          </w:p>
          <w:p w14:paraId="336663AD">
            <w:pPr>
              <w:overflowPunct w:val="0"/>
              <w:spacing w:line="360" w:lineRule="exact"/>
              <w:ind w:firstLine="400"/>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两轴：指沿杏河—县河的城镇发展主轴和沿梅河形成城镇发展次轴，主轴依托新建西街—东街公共服务轴带，布局综合展馆、全民健身中心等设施，全面提升公共服务能级，次轴通过优化交通与用地功能，促进产业、居住片区等联动，引导建设用地集约布局。</w:t>
            </w:r>
          </w:p>
          <w:p w14:paraId="7A0ABC09">
            <w:pPr>
              <w:overflowPunct w:val="0"/>
              <w:spacing w:line="360" w:lineRule="exact"/>
              <w:ind w:firstLine="400"/>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sz w:val="20"/>
                <w:szCs w:val="20"/>
              </w:rPr>
              <w:t>十组团：包括杏河组团，以行政办公为核心，提升老城区服务能级；梅河组团，突出居住主导功能，系统完善商业、文化等公共服务设施配套；东安组团，围绕居住功能提升，优化道路网络与公共服务设施；景家沟组团和新城组团，完善居住用地及相关公共服务配套功能；定都组团，重点增加公共服务设施供给，拓展公共开放空间；石堂组团，提升居住环境品质，优化基本公共服务功能；韩山组团，优先完善道路系统，推进居住及配套公共服务设施建设；南山组团，增加体育活动空间与公园绿地，完善居住及公共服务设施配套；小岭组团，依托综合医院建设，发展康养、疗养功能，提升区域医疗服务水平。</w:t>
            </w:r>
          </w:p>
        </w:tc>
      </w:tr>
    </w:tbl>
    <w:p w14:paraId="12915278">
      <w:pPr>
        <w:overflowPunct w:val="0"/>
        <w:spacing w:line="622" w:lineRule="exact"/>
        <w:ind w:firstLine="643"/>
        <w:rPr>
          <w:rFonts w:hint="eastAsia" w:ascii="仿宋_GB2312" w:hAnsi="仿宋_GB2312" w:cs="仿宋_GB2312"/>
          <w:bCs/>
          <w:szCs w:val="32"/>
        </w:rPr>
      </w:pPr>
      <w:r>
        <w:rPr>
          <w:rFonts w:hint="eastAsia" w:ascii="仿宋_GB2312" w:hAnsi="仿宋_GB2312" w:cs="仿宋_GB2312"/>
          <w:b/>
          <w:bCs/>
          <w:szCs w:val="32"/>
          <w:lang w:eastAsia="zh-CN"/>
        </w:rPr>
        <w:t>全面推进城市更新行动。</w:t>
      </w:r>
      <w:r>
        <w:rPr>
          <w:rFonts w:hint="eastAsia" w:ascii="仿宋_GB2312" w:hAnsi="仿宋_GB2312" w:cs="仿宋_GB2312"/>
          <w:szCs w:val="32"/>
        </w:rPr>
        <w:t>深入实施城市更新三年行动，聚焦好房子、好小区、好社区、好城区“四好”建设，重点推进“三区一村”改造，补齐城市发展短板。结合城市更新专项规划，有序开展永宁、西街片区改造，实施老旧管网更新提升改造工程。实施配租配售型公租房项目，打造梅苑、柳庄、杏园等“好房子”标杆，全面推广安全、舒适、绿色、智慧的住房标准。围绕</w:t>
      </w:r>
      <w:r>
        <w:rPr>
          <w:rFonts w:hint="eastAsia" w:ascii="仿宋_GB2312" w:hAnsi="仿宋_GB2312" w:cs="仿宋_GB2312"/>
          <w:b w:val="0"/>
          <w:bCs w:val="0"/>
          <w:szCs w:val="32"/>
        </w:rPr>
        <w:t>“15分钟设施提档便民服务圈”</w:t>
      </w:r>
      <w:r>
        <w:rPr>
          <w:rFonts w:hint="eastAsia" w:ascii="仿宋_GB2312" w:hAnsi="仿宋_GB2312" w:cs="仿宋_GB2312"/>
          <w:szCs w:val="32"/>
        </w:rPr>
        <w:t>，推进城市公共空间适老化适幼化改造，合理布局养老、托育设施，增设充电桩等便民设施，建设一批社区“微服务站”。加快推进桃园小区等停车场建设，有效增加停车设施供给。优化县城主次干道、社区街巷照明设施，提升市政设施服务水平。到2030年，完成13个老旧小区改造，街巷改造32个，新增住房3000套，增加停车位1000个，构建设施完善、服务优质、管理有序的完整社区环境。</w:t>
      </w:r>
    </w:p>
    <w:p w14:paraId="6C158B93">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lang w:eastAsia="zh-CN"/>
        </w:rPr>
        <w:t>加快</w:t>
      </w:r>
      <w:r>
        <w:rPr>
          <w:rFonts w:hint="eastAsia" w:ascii="仿宋_GB2312" w:hAnsi="仿宋_GB2312" w:cs="仿宋_GB2312"/>
          <w:b/>
          <w:bCs/>
          <w:szCs w:val="32"/>
        </w:rPr>
        <w:t>推进基础升级。</w:t>
      </w:r>
      <w:r>
        <w:rPr>
          <w:rFonts w:hint="eastAsia" w:ascii="仿宋_GB2312" w:hAnsi="仿宋_GB2312" w:cs="仿宋_GB2312"/>
          <w:szCs w:val="32"/>
        </w:rPr>
        <w:t>坚持统筹布局、适度超前，实施市政配套扩容，推系统推进水网、新型电网、算力网、新一代通信网、城市地下管网、物流网等六网规划建设。完善城市路网，深入谋划县城周边快速通道和城区道路新改建项目，疏通城市交通“主动脉”，强化城市边缘与中心区域的联系。加快推进文苑路东延、瑞志桥、里必桥等项目建设，实施小岭村、马坪坟、王庄入口等节点改造，开展桃园小区人行休闲步道、背街小巷改造提升，力争2030年建成区道路密度达到15公里/平方公里以上，提升城市交通便捷性与连通性，确保群众出行便利。完善地下管网建设，逐步对超过设计使用年限、材质落后、功能失效的老旧管道进行更新替换。加强城市应急水源建设，实施供水基础设施升级、张峰水库浮船泵站搭建、第三水厂改造以及小区二次供水提升等工程，确保城市供水普及率达到100%。启动实施县城供热站新建及扩能改建项目，积极争取县城电网更新改造项目，持续推进燃气管网系统建设，适度超前建设新型基础设施，推动传统基础设施更新和数智化改造，不断增强城市综合承载能力。</w:t>
      </w:r>
    </w:p>
    <w:p w14:paraId="11987945">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lang w:eastAsia="zh-CN"/>
        </w:rPr>
        <w:t>积极</w:t>
      </w:r>
      <w:r>
        <w:rPr>
          <w:rFonts w:hint="eastAsia" w:ascii="仿宋_GB2312" w:hAnsi="仿宋_GB2312" w:cs="仿宋_GB2312"/>
          <w:b/>
          <w:bCs/>
          <w:szCs w:val="32"/>
        </w:rPr>
        <w:t>推动公共服务提标扩面。</w:t>
      </w:r>
      <w:r>
        <w:rPr>
          <w:rFonts w:hint="eastAsia" w:ascii="仿宋_GB2312" w:hAnsi="仿宋_GB2312" w:cs="仿宋_GB2312"/>
          <w:szCs w:val="32"/>
        </w:rPr>
        <w:t>完善“县级—社区级”两级公共服务网络。实施县级医院提质工程，推动大医院周边配套项目建设。优化教育设施布局，新建杏园幼儿园，推进新优质初中建设和义务教育优质均衡建设，提升改造沁水中学生活区等。推进图书馆、文化馆提质改造，改造滨河南路多功能运动场，利用闲置空间增设体育设施，提升全民健身中心、梅杏剧院等公共服务设施利用效率，重新布局烈士陵园、革命史展览馆等红色教育基地。到2030年，确保教育、医疗、文化、体育等公共服务设施全面达到或超过全市平均水平，实现公共服务优质均衡发展。</w:t>
      </w:r>
    </w:p>
    <w:p w14:paraId="21711114">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lang w:eastAsia="zh-CN"/>
        </w:rPr>
        <w:t>持续</w:t>
      </w:r>
      <w:r>
        <w:rPr>
          <w:rFonts w:hint="eastAsia" w:ascii="仿宋_GB2312" w:hAnsi="仿宋_GB2312" w:cs="仿宋_GB2312"/>
          <w:b/>
          <w:bCs/>
          <w:szCs w:val="32"/>
        </w:rPr>
        <w:t>促进城市绿色低碳转型。</w:t>
      </w:r>
      <w:r>
        <w:rPr>
          <w:rFonts w:hint="eastAsia" w:ascii="仿宋_GB2312" w:hAnsi="仿宋_GB2312" w:cs="仿宋_GB2312"/>
          <w:szCs w:val="32"/>
        </w:rPr>
        <w:t>坚持生态优先，深入打好蓝天、碧水、净土保卫战。全面推进“无废城市”建设，健全垃圾综合治理体系，完善污水收集管网系统，推进雨污分流改造，提升环境基础设施承载能力。巩固提升国家园林城市创建成果，着力构建</w:t>
      </w:r>
      <w:r>
        <w:rPr>
          <w:rFonts w:hint="eastAsia" w:ascii="仿宋_GB2312" w:hAnsi="仿宋_GB2312" w:cs="仿宋_GB2312"/>
          <w:szCs w:val="32"/>
          <w:lang w:val="en-US" w:eastAsia="zh-CN"/>
        </w:rPr>
        <w:t>构建“连山环城、顺水内循、互通互联”的绿道系统，完善“郊野公园—城市公园—社区绿地”的公园体系。</w:t>
      </w:r>
      <w:r>
        <w:rPr>
          <w:rFonts w:hint="eastAsia" w:ascii="仿宋_GB2312" w:hAnsi="仿宋_GB2312" w:cs="仿宋_GB2312"/>
          <w:szCs w:val="32"/>
        </w:rPr>
        <w:t>有序推进县城公园绿地更新改造，完善服务功能，促进各类绿地共享空间提质增效，形成“一核两带、三山四园、多点分布”的城市绿地布局结构。推广绿色建筑、装配式建筑和节能环保产业，完善电动汽车基础设施，推动公共交通、市政环卫等车辆电动化，促进形成集约高效、低碳宜居的城市发展模式。</w:t>
      </w:r>
    </w:p>
    <w:p w14:paraId="09A8EAE9">
      <w:pPr>
        <w:pStyle w:val="11"/>
        <w:overflowPunct w:val="0"/>
        <w:spacing w:after="156" w:afterLines="50" w:line="622" w:lineRule="exact"/>
        <w:ind w:left="0" w:leftChars="0" w:firstLine="0" w:firstLineChars="0"/>
        <w:jc w:val="center"/>
        <w:rPr>
          <w:rFonts w:ascii="黑体" w:hAnsi="黑体" w:eastAsia="黑体" w:cs="黑体"/>
          <w:szCs w:val="30"/>
        </w:rPr>
      </w:pPr>
      <w:r>
        <w:rPr>
          <w:rFonts w:ascii="黑体" w:hAnsi="黑体" w:eastAsia="黑体" w:cs="黑体"/>
          <w:szCs w:val="30"/>
        </w:rPr>
        <w:t>专栏13  开展美丽家园建设行动</w:t>
      </w:r>
    </w:p>
    <w:tbl>
      <w:tblPr>
        <w:tblStyle w:val="21"/>
        <w:tblW w:w="89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957"/>
      </w:tblGrid>
      <w:tr w14:paraId="42421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257" w:hRule="atLeast"/>
          <w:jc w:val="center"/>
        </w:trPr>
        <w:tc>
          <w:tcPr>
            <w:tcW w:w="5000" w:type="pct"/>
            <w:tcBorders>
              <w:tl2br w:val="nil"/>
              <w:tr2bl w:val="nil"/>
            </w:tcBorders>
            <w:vAlign w:val="center"/>
          </w:tcPr>
          <w:p w14:paraId="30489A6D">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开展垃圾综合治理：</w:t>
            </w:r>
            <w:r>
              <w:rPr>
                <w:rFonts w:hint="eastAsia" w:asciiTheme="majorEastAsia" w:hAnsiTheme="majorEastAsia" w:eastAsiaTheme="majorEastAsia" w:cstheme="majorEastAsia"/>
                <w:sz w:val="20"/>
                <w:szCs w:val="20"/>
              </w:rPr>
              <w:t>推进减量化、无害化与资源化，通过规范处置建筑、生活及餐厨垃圾，实施建筑垃圾综合利用、璟盛全资源化升级改造等项目，实现城市垃圾100%无害化处理，彻底告别垃圾填埋历史。</w:t>
            </w:r>
          </w:p>
          <w:p w14:paraId="6C5920C3">
            <w:pPr>
              <w:overflowPunct w:val="0"/>
              <w:spacing w:line="400" w:lineRule="exact"/>
              <w:ind w:firstLine="402"/>
              <w:rPr>
                <w:rFonts w:hint="eastAsia" w:asciiTheme="majorEastAsia" w:hAnsiTheme="majorEastAsia" w:eastAsiaTheme="majorEastAsia" w:cstheme="majorEastAsia"/>
                <w:b/>
                <w:bCs/>
                <w:sz w:val="20"/>
                <w:szCs w:val="20"/>
              </w:rPr>
            </w:pPr>
            <w:r>
              <w:rPr>
                <w:rFonts w:hint="eastAsia" w:asciiTheme="majorEastAsia" w:hAnsiTheme="majorEastAsia" w:eastAsiaTheme="majorEastAsia" w:cstheme="majorEastAsia"/>
                <w:b/>
                <w:bCs/>
                <w:sz w:val="20"/>
                <w:szCs w:val="20"/>
              </w:rPr>
              <w:t>推进污水高效处理：</w:t>
            </w:r>
            <w:r>
              <w:rPr>
                <w:rFonts w:hint="eastAsia" w:asciiTheme="majorEastAsia" w:hAnsiTheme="majorEastAsia" w:eastAsiaTheme="majorEastAsia" w:cstheme="majorEastAsia"/>
                <w:sz w:val="20"/>
                <w:szCs w:val="20"/>
              </w:rPr>
              <w:t>开展污水处理设施攻坚行动，保障第一、第二污水处理厂安全运行。通过完善重点区域污水收集管网，更新修复混错接、漏接、老旧破损管网，推进雨污分流改造，污水收集率达到74%，处理率达到100%。</w:t>
            </w:r>
          </w:p>
          <w:p w14:paraId="324AB886">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开展清洁能源供暖：</w:t>
            </w:r>
            <w:r>
              <w:rPr>
                <w:rFonts w:hint="eastAsia" w:asciiTheme="majorEastAsia" w:hAnsiTheme="majorEastAsia" w:eastAsiaTheme="majorEastAsia" w:cstheme="majorEastAsia"/>
                <w:sz w:val="20"/>
                <w:szCs w:val="20"/>
              </w:rPr>
              <w:t>加大供气供暖延伸辐射力度，实施蜜蜂小镇、东汉、南坡、东石堂村、韩山片区供热项目，通过新建4个供热站和改造3个供热站，建设8座换热站，实施县城供热站新建及扩能改建项目，实现城市集中供气全覆盖，集中供暖普及率95%以上。</w:t>
            </w:r>
          </w:p>
          <w:p w14:paraId="7795C4DE">
            <w:pPr>
              <w:overflowPunct w:val="0"/>
              <w:spacing w:line="400" w:lineRule="exact"/>
              <w:ind w:firstLine="402"/>
              <w:rPr>
                <w:rFonts w:hint="eastAsia" w:asciiTheme="majorEastAsia" w:hAnsiTheme="majorEastAsia" w:eastAsiaTheme="majorEastAsia" w:cstheme="majorEastAsia"/>
                <w:b/>
                <w:bCs/>
                <w:sz w:val="20"/>
                <w:szCs w:val="20"/>
              </w:rPr>
            </w:pPr>
            <w:r>
              <w:rPr>
                <w:rFonts w:hint="eastAsia" w:asciiTheme="majorEastAsia" w:hAnsiTheme="majorEastAsia" w:eastAsiaTheme="majorEastAsia" w:cstheme="majorEastAsia"/>
                <w:b/>
                <w:bCs/>
                <w:sz w:val="20"/>
                <w:szCs w:val="20"/>
              </w:rPr>
              <w:t>进行建筑节能改造：</w:t>
            </w:r>
            <w:r>
              <w:rPr>
                <w:rFonts w:hint="eastAsia" w:asciiTheme="majorEastAsia" w:hAnsiTheme="majorEastAsia" w:eastAsiaTheme="majorEastAsia" w:cstheme="majorEastAsia"/>
                <w:sz w:val="20"/>
                <w:szCs w:val="20"/>
              </w:rPr>
              <w:t>与老旧小区改造项目相结合，实施既有建筑节能改造、绿色建筑创建等行动。到2030年，绿色建筑占城镇新建建筑面积的比例达到100%。</w:t>
            </w:r>
          </w:p>
          <w:p w14:paraId="47AE70D5">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扩大再生水利用：</w:t>
            </w:r>
            <w:r>
              <w:rPr>
                <w:rFonts w:hint="eastAsia" w:asciiTheme="majorEastAsia" w:hAnsiTheme="majorEastAsia" w:eastAsiaTheme="majorEastAsia" w:cstheme="majorEastAsia"/>
                <w:sz w:val="20"/>
                <w:szCs w:val="20"/>
              </w:rPr>
              <w:t>配套建设南山蓄水、再生水取水点等项目，结合防洪排水提升改造项目，在河道景观、城市绿化、道路湿扫、公共厕所等领域大规模推广使用再生水，使其利用率达到40%以上。</w:t>
            </w:r>
          </w:p>
          <w:p w14:paraId="0A2B82B5">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加快公园城市建设：</w:t>
            </w:r>
            <w:r>
              <w:rPr>
                <w:rFonts w:hint="eastAsia" w:asciiTheme="majorEastAsia" w:hAnsiTheme="majorEastAsia" w:eastAsiaTheme="majorEastAsia" w:cstheme="majorEastAsia"/>
                <w:sz w:val="20"/>
                <w:szCs w:val="20"/>
              </w:rPr>
              <w:t>实施小微绿地及口袋公园建设、龙脖公园二期项目、沁水县主题公园建设、老旧公园绿地更新改造等项目。到2030年，建成区绿化覆盖率达到45.36%，新建小微绿地和口袋公园3—5个，人均公园绿地面积达到18.45平方米。</w:t>
            </w:r>
          </w:p>
        </w:tc>
      </w:tr>
    </w:tbl>
    <w:p w14:paraId="7DC86229">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增强城市安全韧性。</w:t>
      </w:r>
      <w:r>
        <w:rPr>
          <w:rFonts w:hint="eastAsia" w:ascii="仿宋_GB2312" w:hAnsi="仿宋_GB2312" w:cs="仿宋_GB2312"/>
          <w:szCs w:val="32"/>
        </w:rPr>
        <w:t>融入韧性理念，提升城市有效应对自然灾害与公共安全事件的能力。健全灾害区域综合风险普查机制，提升地质灾害防治能力，开展龙港等地的地质灾害治理。推进海绵城市建设，构建“排、清、修”三位一体的排洪防涝体系，通过整治易涝点、疏浚排洪渠，开展县河、梅河、杏河县城段河道治理、防洪排水提升等工程以及韩山、桃园等23条排洪渠整治工程，全面提升城市应对汛期的韧性。加强社会治安整体防控，完善疾病预防控制与公共卫生监测预警体系，推进中心城区第三消防站建设，加强救援力量，强化体育场馆、医院、学校等公共建筑的应急避难功能，全方位保障城市安全运行。</w:t>
      </w:r>
    </w:p>
    <w:p w14:paraId="0B6AAA32">
      <w:pPr>
        <w:overflowPunct w:val="0"/>
        <w:spacing w:line="622" w:lineRule="exact"/>
        <w:ind w:firstLine="643"/>
        <w:rPr>
          <w:rFonts w:hint="eastAsia" w:ascii="仿宋_GB2312" w:hAnsi="仿宋_GB2312" w:cs="仿宋_GB2312"/>
          <w:szCs w:val="32"/>
        </w:rPr>
      </w:pPr>
      <w:r>
        <w:rPr>
          <w:rFonts w:hint="eastAsia" w:ascii="仿宋_GB2312" w:hAnsi="仿宋_GB2312" w:cs="仿宋_GB2312"/>
          <w:b/>
          <w:szCs w:val="32"/>
        </w:rPr>
        <w:t>守好城市文脉赓续</w:t>
      </w:r>
      <w:r>
        <w:rPr>
          <w:rFonts w:hint="eastAsia" w:ascii="仿宋_GB2312" w:hAnsi="仿宋_GB2312" w:cs="仿宋_GB2312"/>
          <w:b/>
          <w:bCs/>
          <w:szCs w:val="32"/>
        </w:rPr>
        <w:t>。</w:t>
      </w:r>
      <w:r>
        <w:rPr>
          <w:rFonts w:hint="eastAsia" w:ascii="仿宋_GB2312" w:hAnsi="仿宋_GB2312" w:cs="仿宋_GB2312"/>
          <w:szCs w:val="32"/>
        </w:rPr>
        <w:t>深挖“千年古县”文化底蕴，推动历史遗存保护与城镇建设有机融合，坚持保护优先原则，建立历史文化遗产提前介入机制，严格管控拆除行为，实施历史建筑“唤醒计划”。做好历史文脉传承，健全历史文化保护传承体系，将农耕文化、红色文化等特色元素融入城市公共空间，讲好“沁水故事”。遵循“适用、经济、绿色、美观”的原则，加强对自然生态区域和景观敏感区域的建筑风貌管控。增加教育、医疗、文化等优质资源供给，建设“沁河流域文化数字博物馆”，推进“社区博物馆”与“记忆档案”项目，打造“树理文化”“荆浩画派”等，加强城市文化品牌宣传推广，提升文</w:t>
      </w:r>
      <w:r>
        <w:rPr>
          <w:rFonts w:hint="eastAsia" w:ascii="仿宋_GB2312" w:hAnsi="仿宋_GB2312" w:cs="仿宋_GB2312"/>
          <w:spacing w:val="-6"/>
          <w:szCs w:val="32"/>
        </w:rPr>
        <w:t>化软实力，打造历史文化底蕴厚重、时代特色鲜明的人文城市</w:t>
      </w:r>
      <w:r>
        <w:rPr>
          <w:rFonts w:hint="eastAsia" w:ascii="仿宋_GB2312" w:hAnsi="仿宋_GB2312" w:cs="仿宋_GB2312"/>
          <w:szCs w:val="32"/>
        </w:rPr>
        <w:t>。</w:t>
      </w:r>
    </w:p>
    <w:p w14:paraId="160FF7D7">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强化城市产业支撑。</w:t>
      </w:r>
      <w:r>
        <w:rPr>
          <w:rFonts w:hint="eastAsia" w:ascii="仿宋_GB2312" w:hAnsi="仿宋_GB2312" w:cs="仿宋_GB2312"/>
          <w:szCs w:val="32"/>
        </w:rPr>
        <w:t>重点发展劳动密集型服务业，在县城周边布局物流、仓储、配送等生产性服务业项目，在主要商业街布局特色小吃、手工体验、文化创意、休闲娱乐以及夜间消费等生活性服务业。通过打造“沁河烟火”特色商业街区，建设“文化+”产业集聚区与“青年创业社区”，增强就业吸引力和商业活力。通过设计“沁水慢游”线路、开发“沁水有礼”文创产品，推动文化资源向旅游消费转化。引入街头“微演艺”，举办四季主题节庆及升级夜间消费场景，推动城市要素高效聚合，拓展多元化产业支撑。</w:t>
      </w:r>
    </w:p>
    <w:p w14:paraId="7DA3A501">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提高治理现代化水平。</w:t>
      </w:r>
      <w:r>
        <w:rPr>
          <w:rFonts w:hint="eastAsia" w:ascii="仿宋_GB2312" w:hAnsi="仿宋_GB2312" w:cs="仿宋_GB2312"/>
          <w:szCs w:val="32"/>
        </w:rPr>
        <w:t>加强城市治理，严格执行城市规划建设管理各项制度，巩固拆违治乱、市容环境整治成果，全面完成背街小巷改造提升。建设便捷高效的智慧城市，夯实数字基础设施，推进5G网络、千兆光网等县城全覆盖。以物联网赋能市政建设，结合供水、供气等改造项目，部署智能电表、智能水表等感知终端，推进智慧停车等便民应用。构建“数字沁水”城市管理智慧平台，推行“非接触式”执法。推进城市生命线工程建设，集成道路、桥梁、管网等设施数据，建立监测预警体系，实现城市运行“一网统管”。拓展“四网融合”示范应用，在社区、校园等场景推广智能识别、远程值守等，创新公共安全管理机制。依托市民服务热线高效响应群众诉求，推动城市管理向科学化、精细化、智能化转型，构建共建共享的现代治理新格局。</w:t>
      </w:r>
    </w:p>
    <w:p w14:paraId="09FE1685">
      <w:pPr>
        <w:overflowPunct w:val="0"/>
        <w:spacing w:line="594" w:lineRule="exact"/>
        <w:ind w:firstLine="0" w:firstLineChars="0"/>
        <w:rPr>
          <w:rFonts w:hint="eastAsia" w:ascii="仿宋_GB2312" w:hAnsi="仿宋_GB2312" w:cs="仿宋_GB2312"/>
          <w:b/>
          <w:szCs w:val="32"/>
        </w:rPr>
      </w:pPr>
      <w:bookmarkStart w:id="79" w:name="_Toc21720"/>
      <w:bookmarkStart w:id="80" w:name="_Toc19438"/>
      <w:bookmarkStart w:id="81" w:name="_Toc7566"/>
    </w:p>
    <w:p w14:paraId="73B2A93B">
      <w:pPr>
        <w:overflowPunct w:val="0"/>
        <w:spacing w:line="594" w:lineRule="exact"/>
        <w:ind w:firstLine="0" w:firstLineChars="0"/>
        <w:jc w:val="center"/>
        <w:outlineLvl w:val="1"/>
        <w:rPr>
          <w:rFonts w:hint="eastAsia" w:ascii="楷体_GB2312" w:hAnsi="楷体_GB2312" w:eastAsia="楷体_GB2312" w:cs="楷体_GB2312"/>
          <w:bCs/>
          <w:szCs w:val="32"/>
        </w:rPr>
      </w:pPr>
      <w:bookmarkStart w:id="82" w:name="_Toc20208"/>
      <w:r>
        <w:rPr>
          <w:rFonts w:hint="eastAsia" w:ascii="楷体_GB2312" w:hAnsi="楷体_GB2312" w:eastAsia="楷体_GB2312" w:cs="楷体_GB2312"/>
          <w:bCs/>
          <w:szCs w:val="32"/>
        </w:rPr>
        <w:t>第三节  强化特色镇和中心村建设</w:t>
      </w:r>
      <w:bookmarkEnd w:id="79"/>
      <w:bookmarkEnd w:id="80"/>
      <w:bookmarkEnd w:id="81"/>
      <w:bookmarkEnd w:id="82"/>
    </w:p>
    <w:p w14:paraId="28133020">
      <w:pPr>
        <w:overflowPunct w:val="0"/>
        <w:spacing w:line="594" w:lineRule="exact"/>
        <w:ind w:firstLine="640"/>
        <w:rPr>
          <w:rFonts w:hint="eastAsia" w:ascii="仿宋_GB2312" w:hAnsi="仿宋_GB2312" w:cs="仿宋_GB2312"/>
          <w:szCs w:val="32"/>
        </w:rPr>
      </w:pPr>
    </w:p>
    <w:p w14:paraId="032A007D">
      <w:pPr>
        <w:overflowPunct w:val="0"/>
        <w:spacing w:line="594" w:lineRule="exact"/>
        <w:ind w:firstLine="640"/>
        <w:rPr>
          <w:rFonts w:hint="eastAsia" w:ascii="仿宋_GB2312" w:hAnsi="仿宋_GB2312" w:cs="仿宋_GB2312"/>
          <w:spacing w:val="-6"/>
          <w:szCs w:val="32"/>
        </w:rPr>
      </w:pPr>
      <w:r>
        <w:rPr>
          <w:rFonts w:hint="eastAsia" w:ascii="仿宋_GB2312" w:hAnsi="仿宋_GB2312" w:cs="仿宋_GB2312"/>
          <w:szCs w:val="32"/>
        </w:rPr>
        <w:t>立</w:t>
      </w:r>
      <w:r>
        <w:rPr>
          <w:rFonts w:hint="eastAsia" w:ascii="仿宋_GB2312" w:hAnsi="仿宋_GB2312" w:cs="仿宋_GB2312"/>
          <w:spacing w:val="-6"/>
          <w:szCs w:val="32"/>
        </w:rPr>
        <w:t>足县域空间布局，持续强化特色城镇和中心村建设，明确定位、强化联动、优化配置，全面筑牢沁水高质量发展的重要支点。</w:t>
      </w:r>
    </w:p>
    <w:p w14:paraId="7D616C1C">
      <w:pPr>
        <w:overflowPunct w:val="0"/>
        <w:spacing w:line="594" w:lineRule="exact"/>
        <w:ind w:firstLine="643"/>
        <w:rPr>
          <w:rFonts w:hint="eastAsia" w:ascii="仿宋_GB2312" w:hAnsi="仿宋_GB2312" w:cs="仿宋_GB2312"/>
          <w:b/>
          <w:bCs/>
          <w:szCs w:val="32"/>
        </w:rPr>
      </w:pPr>
      <w:r>
        <w:rPr>
          <w:rFonts w:hint="eastAsia" w:ascii="仿宋_GB2312" w:hAnsi="仿宋_GB2312" w:cs="仿宋_GB2312"/>
          <w:b/>
          <w:bCs/>
          <w:szCs w:val="32"/>
        </w:rPr>
        <w:t>大力推进特色镇发展。</w:t>
      </w:r>
      <w:r>
        <w:rPr>
          <w:rFonts w:hint="eastAsia" w:ascii="仿宋_GB2312" w:hAnsi="仿宋_GB2312" w:cs="仿宋_GB2312"/>
          <w:szCs w:val="32"/>
        </w:rPr>
        <w:t>分类推进综合型、旅游型、工矿型、农业型四类特色城镇建设，明确产业定位与功能分工，提升特色镇发展能级。综合型乡镇以龙港镇、端氏镇、嘉峰镇、郑庄镇为核心，打造产城融合示范区。龙港镇重点发展能源、化工、医药及配套生产性服务业，增强产业集聚和区域综合服务能力；端氏镇主动融入“沁河碳谷”建设，重点发展能源、新材料以及商务消费服务业等；嘉峰镇依托开发区发展煤层气精深加工、高端装备、技术服务业等；郑庄镇聚焦煤炭煤层气、红色康养与生态畜牧，促进工农旅深度融合。旅游型乡镇以中村、郑村为代表，依托历山－太行洪谷、湘峪古堡等资源，打造文旅康养名镇，做优东方古堡示范廊带，培育生态康养、古堡民宿、农耕体验、文创产业等，推动文旅康养融合发展。胡底乡发挥工矿型乡镇优势，重点发展工矿服务、绿色工贸等，精准承接开发区配套服务，构建区域产业链协作体系。柿庄、固县、十里、土沃、张村等农业型乡镇，依托现代农业产业园区，推动梨果、生姜、香菇、连翘、肉鸡、生猪等特色优势农产品规模化、标准化、品牌化发展，打造“生产基地+精深加工+品牌营销”的全产业链条体系。</w:t>
      </w:r>
    </w:p>
    <w:p w14:paraId="1D7D70ED">
      <w:pPr>
        <w:overflowPunct w:val="0"/>
        <w:spacing w:after="156" w:afterLines="50" w:line="622" w:lineRule="exact"/>
        <w:ind w:firstLine="0" w:firstLineChars="0"/>
        <w:jc w:val="center"/>
        <w:rPr>
          <w:rFonts w:hint="eastAsia" w:ascii="黑体" w:hAnsi="黑体" w:eastAsia="黑体" w:cs="黑体"/>
          <w:sz w:val="30"/>
          <w:szCs w:val="30"/>
        </w:rPr>
      </w:pPr>
      <w:r>
        <w:rPr>
          <w:rFonts w:hint="eastAsia" w:ascii="黑体" w:hAnsi="黑体" w:eastAsia="黑体" w:cs="黑体"/>
          <w:sz w:val="30"/>
          <w:szCs w:val="30"/>
        </w:rPr>
        <w:t>专栏14  特色镇功能定位</w:t>
      </w:r>
    </w:p>
    <w:tbl>
      <w:tblPr>
        <w:tblStyle w:val="21"/>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9060"/>
      </w:tblGrid>
      <w:tr w14:paraId="41C68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90" w:hRule="atLeast"/>
          <w:jc w:val="center"/>
        </w:trPr>
        <w:tc>
          <w:tcPr>
            <w:tcW w:w="5000" w:type="pct"/>
            <w:tcBorders>
              <w:tl2br w:val="nil"/>
              <w:tr2bl w:val="nil"/>
            </w:tcBorders>
            <w:vAlign w:val="center"/>
          </w:tcPr>
          <w:p w14:paraId="7061FD26">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龙港镇：</w:t>
            </w:r>
            <w:r>
              <w:rPr>
                <w:rFonts w:hint="eastAsia" w:asciiTheme="majorEastAsia" w:hAnsiTheme="majorEastAsia" w:eastAsiaTheme="majorEastAsia" w:cstheme="majorEastAsia"/>
                <w:sz w:val="20"/>
                <w:szCs w:val="20"/>
              </w:rPr>
              <w:t>城市建设引领区、城乡融合发展示范区</w:t>
            </w:r>
          </w:p>
          <w:p w14:paraId="7A399ED3">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端氏镇：</w:t>
            </w:r>
            <w:r>
              <w:rPr>
                <w:rFonts w:hint="eastAsia" w:asciiTheme="majorEastAsia" w:hAnsiTheme="majorEastAsia" w:eastAsiaTheme="majorEastAsia" w:cstheme="majorEastAsia"/>
                <w:sz w:val="20"/>
                <w:szCs w:val="20"/>
              </w:rPr>
              <w:t>资源型经济转型核心示范区、沁水东部宜居城镇新标杆、国家中药材基地、沁水红色文化教育基地</w:t>
            </w:r>
          </w:p>
          <w:p w14:paraId="0F8F06F5">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嘉峰镇：</w:t>
            </w:r>
            <w:r>
              <w:rPr>
                <w:rFonts w:hint="eastAsia" w:asciiTheme="majorEastAsia" w:hAnsiTheme="majorEastAsia" w:eastAsiaTheme="majorEastAsia" w:cstheme="majorEastAsia"/>
                <w:sz w:val="20"/>
                <w:szCs w:val="20"/>
              </w:rPr>
              <w:t>能源转型与产业升级的核心承载区、“千万工程”经验的样板先行区、城乡融合与新型城镇化的示范窗口</w:t>
            </w:r>
          </w:p>
          <w:p w14:paraId="7D0A93AE">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郑庄镇：</w:t>
            </w:r>
            <w:r>
              <w:rPr>
                <w:rFonts w:hint="eastAsia" w:asciiTheme="majorEastAsia" w:hAnsiTheme="majorEastAsia" w:eastAsiaTheme="majorEastAsia" w:cstheme="majorEastAsia"/>
                <w:sz w:val="20"/>
                <w:szCs w:val="20"/>
              </w:rPr>
              <w:t>沁水县粮食生产与特色农业双强镇、农文旅融合引领区</w:t>
            </w:r>
          </w:p>
          <w:p w14:paraId="19D080A3">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中村镇：</w:t>
            </w:r>
            <w:r>
              <w:rPr>
                <w:rFonts w:hint="eastAsia" w:asciiTheme="majorEastAsia" w:hAnsiTheme="majorEastAsia" w:eastAsiaTheme="majorEastAsia" w:cstheme="majorEastAsia"/>
                <w:sz w:val="20"/>
                <w:szCs w:val="20"/>
              </w:rPr>
              <w:t>沁水绿色生态示范区、沁水西部康养度假区</w:t>
            </w:r>
          </w:p>
          <w:p w14:paraId="6EE39B98">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郑村镇：</w:t>
            </w:r>
            <w:r>
              <w:rPr>
                <w:rFonts w:hint="eastAsia" w:asciiTheme="majorEastAsia" w:hAnsiTheme="majorEastAsia" w:eastAsiaTheme="majorEastAsia" w:cstheme="majorEastAsia"/>
                <w:sz w:val="20"/>
                <w:szCs w:val="20"/>
              </w:rPr>
              <w:t>百里沁河经济带共同富裕先行区、乡村旅游集聚区</w:t>
            </w:r>
          </w:p>
          <w:p w14:paraId="2CD500C5">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胡底乡：</w:t>
            </w:r>
            <w:r>
              <w:rPr>
                <w:rFonts w:hint="eastAsia" w:asciiTheme="majorEastAsia" w:hAnsiTheme="majorEastAsia" w:eastAsiaTheme="majorEastAsia" w:cstheme="majorEastAsia"/>
                <w:sz w:val="20"/>
                <w:szCs w:val="20"/>
              </w:rPr>
              <w:t>资源型经济新兴工业区、沁水东部工贸型城镇</w:t>
            </w:r>
          </w:p>
          <w:p w14:paraId="028B446F">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土沃乡：</w:t>
            </w:r>
            <w:r>
              <w:rPr>
                <w:rFonts w:hint="eastAsia" w:asciiTheme="majorEastAsia" w:hAnsiTheme="majorEastAsia" w:eastAsiaTheme="majorEastAsia" w:cstheme="majorEastAsia"/>
                <w:sz w:val="20"/>
                <w:szCs w:val="20"/>
              </w:rPr>
              <w:t>晋城文旅康养后花园、乡村振兴特色样板区</w:t>
            </w:r>
          </w:p>
          <w:p w14:paraId="33CD1903">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十里乡：</w:t>
            </w:r>
            <w:r>
              <w:rPr>
                <w:rFonts w:hint="eastAsia" w:asciiTheme="majorEastAsia" w:hAnsiTheme="majorEastAsia" w:eastAsiaTheme="majorEastAsia" w:cstheme="majorEastAsia"/>
                <w:sz w:val="20"/>
                <w:szCs w:val="20"/>
              </w:rPr>
              <w:t>沁水县特色生态农业示范区、红色康养旅游目的地</w:t>
            </w:r>
          </w:p>
          <w:p w14:paraId="5E4554E4">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柿庄镇：</w:t>
            </w:r>
            <w:r>
              <w:rPr>
                <w:rFonts w:hint="eastAsia" w:asciiTheme="majorEastAsia" w:hAnsiTheme="majorEastAsia" w:eastAsiaTheme="majorEastAsia" w:cstheme="majorEastAsia"/>
                <w:sz w:val="20"/>
                <w:szCs w:val="20"/>
              </w:rPr>
              <w:t>沁水县乡村振兴样板区、县域东北部生态屏障</w:t>
            </w:r>
          </w:p>
          <w:p w14:paraId="24D6A6A4">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固县乡：</w:t>
            </w:r>
            <w:r>
              <w:rPr>
                <w:rFonts w:hint="eastAsia" w:asciiTheme="majorEastAsia" w:hAnsiTheme="majorEastAsia" w:eastAsiaTheme="majorEastAsia" w:cstheme="majorEastAsia"/>
                <w:sz w:val="20"/>
                <w:szCs w:val="20"/>
              </w:rPr>
              <w:t>沁水县粮食安全与特色农业并进示范区、宜居宜业和美乡村建设样板区、治理有效与共同富裕协同推进先行区</w:t>
            </w:r>
          </w:p>
          <w:p w14:paraId="59C3A610">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张村乡：</w:t>
            </w:r>
            <w:r>
              <w:rPr>
                <w:rFonts w:hint="eastAsia" w:asciiTheme="majorEastAsia" w:hAnsiTheme="majorEastAsia" w:eastAsiaTheme="majorEastAsia" w:cstheme="majorEastAsia"/>
                <w:sz w:val="20"/>
                <w:szCs w:val="20"/>
              </w:rPr>
              <w:t>晋城知名森林康养旅游目的地、沁水县现代化农牧产业示范基地</w:t>
            </w:r>
          </w:p>
        </w:tc>
      </w:tr>
    </w:tbl>
    <w:p w14:paraId="7951D00B">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强化城镇间产业协同联动。</w:t>
      </w:r>
      <w:r>
        <w:rPr>
          <w:rFonts w:hint="eastAsia" w:ascii="仿宋_GB2312" w:hAnsi="仿宋_GB2312" w:cs="仿宋_GB2312"/>
          <w:szCs w:val="32"/>
        </w:rPr>
        <w:t>依托百里沁河生态经济带、太行一号线等主要廊道，促进要素有序流动，以产业协作为纽带，推动城镇间优势互补、错位发展。综合型乡镇作为区域增长极，重点提供技术研发、人才培育、商贸物流与综合服务平台；旅游型乡镇深度依托核心景区与生态文化资源，与综合型乡镇联动共建旅游服务体系，共享品牌与客源市场；工矿型乡镇着力推动产业转型升级，延伸产业链条，为综合型乡镇和开发区提供生产性服务与专业化配套；农业型乡镇聚焦发展绿色生态农业与高附加值农产品加工，保障区域优质农产品供给。加快形成特色鲜明、协同有力的城镇集群，强化镇域发展支撑，鼓励引导金融资本、社会资本参与镇域建设，促进各类优质资源要素向镇域集聚，增强镇域经济辐射带动能力和综合竞争力。</w:t>
      </w:r>
    </w:p>
    <w:p w14:paraId="52A732E7">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发挥中心村的辐射带动效应。</w:t>
      </w:r>
      <w:r>
        <w:rPr>
          <w:rFonts w:hint="eastAsia" w:ascii="仿宋_GB2312" w:hAnsi="仿宋_GB2312" w:cs="仿宋_GB2312"/>
          <w:szCs w:val="32"/>
        </w:rPr>
        <w:t>以38个中心村为重点，强化“微中心”服务功能，增强对周边村庄的辐射带动能力。按照规模适度、功能复合的要求，优化居民点布局，统筹提升水、电、路、气、讯等基础设施，合理配置教育、医疗、养老等公共服务资源，提高农村基础设施完备度、公共服务便利度、人居环境舒适度。结合乡村资源禀赋，培育特色产业，改善人居环境，构建宜居宜业、服务便捷的乡村生活圈，为农村居民创造乡村优质生活空间，让农村居民不离乡土即可享受优质服务。</w:t>
      </w:r>
    </w:p>
    <w:p w14:paraId="735899F6">
      <w:pPr>
        <w:overflowPunct w:val="0"/>
        <w:spacing w:line="622" w:lineRule="exact"/>
        <w:ind w:firstLine="0" w:firstLineChars="0"/>
        <w:rPr>
          <w:rFonts w:eastAsia="楷体_GB2312" w:cs="Times New Roman"/>
          <w:b/>
        </w:rPr>
      </w:pPr>
      <w:bookmarkStart w:id="83" w:name="_Toc3504"/>
      <w:bookmarkStart w:id="84" w:name="_Toc23650"/>
      <w:bookmarkStart w:id="85" w:name="_Toc25935"/>
    </w:p>
    <w:p w14:paraId="29176E9A">
      <w:pPr>
        <w:overflowPunct w:val="0"/>
        <w:spacing w:line="622" w:lineRule="exact"/>
        <w:ind w:firstLine="0" w:firstLineChars="0"/>
        <w:jc w:val="center"/>
        <w:outlineLvl w:val="1"/>
        <w:rPr>
          <w:rFonts w:eastAsia="楷体_GB2312" w:cs="Times New Roman"/>
          <w:bCs/>
        </w:rPr>
      </w:pPr>
      <w:bookmarkStart w:id="86" w:name="_Toc244"/>
      <w:r>
        <w:rPr>
          <w:rFonts w:eastAsia="楷体_GB2312" w:cs="Times New Roman"/>
          <w:bCs/>
        </w:rPr>
        <w:t>第四节</w:t>
      </w:r>
      <w:r>
        <w:rPr>
          <w:rFonts w:hint="eastAsia" w:eastAsia="楷体_GB2312" w:cs="Times New Roman"/>
          <w:bCs/>
        </w:rPr>
        <w:t xml:space="preserve"> </w:t>
      </w:r>
      <w:r>
        <w:rPr>
          <w:rFonts w:eastAsia="楷体_GB2312" w:cs="Times New Roman"/>
          <w:bCs/>
        </w:rPr>
        <w:t xml:space="preserve"> 推动城乡融合发展</w:t>
      </w:r>
      <w:bookmarkEnd w:id="83"/>
      <w:bookmarkEnd w:id="84"/>
      <w:bookmarkEnd w:id="85"/>
      <w:bookmarkEnd w:id="86"/>
    </w:p>
    <w:p w14:paraId="02FAC3B8">
      <w:pPr>
        <w:overflowPunct w:val="0"/>
        <w:spacing w:line="622" w:lineRule="exact"/>
        <w:ind w:firstLine="640"/>
        <w:rPr>
          <w:rFonts w:ascii="Times New Roman" w:hAnsi="Times New Roman" w:cs="Times New Roman"/>
          <w:szCs w:val="32"/>
        </w:rPr>
      </w:pPr>
    </w:p>
    <w:p w14:paraId="69331F0A">
      <w:pPr>
        <w:overflowPunct w:val="0"/>
        <w:spacing w:line="622" w:lineRule="exact"/>
        <w:ind w:firstLine="640"/>
        <w:rPr>
          <w:rFonts w:hint="eastAsia" w:ascii="仿宋_GB2312" w:hAnsi="仿宋_GB2312" w:cs="仿宋_GB2312"/>
          <w:spacing w:val="-6"/>
          <w:szCs w:val="32"/>
        </w:rPr>
      </w:pPr>
      <w:r>
        <w:rPr>
          <w:rFonts w:hint="eastAsia" w:ascii="仿宋_GB2312" w:hAnsi="仿宋_GB2312" w:cs="仿宋_GB2312"/>
          <w:szCs w:val="32"/>
        </w:rPr>
        <w:t>遵循</w:t>
      </w:r>
      <w:r>
        <w:rPr>
          <w:rFonts w:hint="eastAsia" w:ascii="仿宋_GB2312" w:hAnsi="仿宋_GB2312" w:cs="仿宋_GB2312"/>
          <w:spacing w:val="-6"/>
          <w:szCs w:val="32"/>
        </w:rPr>
        <w:t>“城乡互补、协调发展”理念，推动城乡要素合理配置、基础设施向乡村延伸、公共服务均衡共享、现代文明向乡村辐射，促进工农互促、城乡互融，全面提升城乡融合发展水平，实现城乡共同繁荣发展，走出一条具有地方特色的城乡融合发展新路径。</w:t>
      </w:r>
    </w:p>
    <w:p w14:paraId="6E1E1D83">
      <w:pPr>
        <w:overflowPunct w:val="0"/>
        <w:spacing w:line="622" w:lineRule="exact"/>
        <w:ind w:firstLine="643"/>
        <w:rPr>
          <w:rFonts w:hint="eastAsia" w:ascii="仿宋_GB2312" w:hAnsi="仿宋_GB2312" w:cs="仿宋_GB2312"/>
          <w:szCs w:val="32"/>
        </w:rPr>
      </w:pPr>
      <w:r>
        <w:rPr>
          <w:rFonts w:ascii="仿宋_GB2312" w:hAnsi="仿宋_GB2312" w:cs="仿宋_GB2312"/>
          <w:b/>
          <w:bCs/>
          <w:szCs w:val="32"/>
        </w:rPr>
        <w:t>推进更高质量农业转移人口市民化。</w:t>
      </w:r>
      <w:r>
        <w:rPr>
          <w:rFonts w:ascii="仿宋_GB2312" w:hAnsi="仿宋_GB2312" w:cs="仿宋_GB2312"/>
          <w:szCs w:val="32"/>
        </w:rPr>
        <w:t>以在城镇就业的农业转移人口为重点，积极推动有能力在城镇稳定就业和生活的农业转移人口进城落户。持续深化户籍制度改革，全面推行户口迁移“一站式”便捷办理，健全以常住地登记户口为载体的基本公共服务供给体系。完善农业转移人口市民化配套措施，健全社保关系接续、子女教育保障、安居住房保障等服务机制。依法保障进城落户农民农村土地承包权、宅基地使用权、集体收益分配权，探索自愿有偿退出机制和配套政策。</w:t>
      </w:r>
    </w:p>
    <w:p w14:paraId="693AC17D">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推动城乡基础设施互联互通。</w:t>
      </w:r>
      <w:r>
        <w:rPr>
          <w:rFonts w:hint="eastAsia" w:ascii="仿宋_GB2312" w:hAnsi="仿宋_GB2312" w:cs="仿宋_GB2312"/>
          <w:szCs w:val="32"/>
        </w:rPr>
        <w:t>坚持统一规划、统一建设、统一管护原则，构建交通、水利、信息等一体化网络。重点实施省道366老马岭至里必段改建工程、G342县城过境段改建工程、县城北环快速路工程、省道367泽州至临汾（沁水段）公路工程、省道223端氏至武安公路工程、窦庄大桥及县乡公路升级改造，全面畅通城乡交通网络。推进城乡供水一体化和改造老旧管网，完善燃气设施并向农村延伸。启动实施城乡环卫一体化改革，健全城乡污水处理体系，推进污水管网向农村延伸。建设完善县乡村三级物流配送网点，推进5G网络向乡村覆盖，构建全域覆盖、普惠共享的现代化城乡基础设施体系。</w:t>
      </w:r>
    </w:p>
    <w:p w14:paraId="0E1DB6C0">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推动城镇公共服务向农村延伸。</w:t>
      </w:r>
      <w:r>
        <w:rPr>
          <w:rFonts w:hint="eastAsia" w:ascii="仿宋_GB2312" w:hAnsi="仿宋_GB2312" w:cs="仿宋_GB2312"/>
          <w:szCs w:val="32"/>
        </w:rPr>
        <w:t>遵循标准统一、制度并轨、普惠共享的原则，推动教育、医疗、文化、养老等优质资源向农村延伸。优化农村学校布局，完善城乡学校共同体建设和教师交流轮岗机制。深化紧密型县域医共体建设，加强乡镇卫生院和村卫生室服务能力。完善县乡村三级公共文化服务体系，提质村级文化活动场所，开展文化下乡活动。推进“一老一小”需求服务设施适老化、适幼化改造，积极引导社会力量参与公益性服务。</w:t>
      </w:r>
    </w:p>
    <w:p w14:paraId="24F88B2A">
      <w:pPr>
        <w:overflowPunct w:val="0"/>
        <w:spacing w:line="622" w:lineRule="exact"/>
        <w:ind w:firstLine="643"/>
        <w:rPr>
          <w:rFonts w:ascii="Times New Roman" w:hAnsi="Times New Roman" w:cs="Times New Roman"/>
        </w:rPr>
      </w:pPr>
      <w:r>
        <w:rPr>
          <w:rFonts w:hint="eastAsia" w:ascii="仿宋_GB2312" w:hAnsi="仿宋_GB2312" w:cs="仿宋_GB2312"/>
          <w:b/>
          <w:bCs/>
          <w:szCs w:val="32"/>
        </w:rPr>
        <w:t>畅通城乡要素双向流动。</w:t>
      </w:r>
      <w:r>
        <w:rPr>
          <w:rFonts w:hint="eastAsia" w:ascii="仿宋_GB2312" w:hAnsi="仿宋_GB2312" w:cs="仿宋_GB2312"/>
          <w:szCs w:val="32"/>
        </w:rPr>
        <w:t>破除制度壁垒，畅通城乡要素双向流动，激活人才、资本、土地等要素活力。实施“人才回引”工程，吸引高校毕业生、退役军人等返乡入乡创业。开展“乡村振兴合伙人”计划，鼓励技术能手、退休干部、专家学者通过项目合作、技术入股等，参与乡村产业项目开发和运营。试点并逐步推广“乡村运营师”制度，提升乡村发展的专业化、市场化水平。推进更高质量的农业转移人口市民化，以在城镇就业的农业转移人口为重点，积极推动有能力在城镇稳定就业和生活的农业转移人口进城落户。持续深化户籍制度改革，完善以常住地登记户口为载体的基本公共服务供给，保障进城农民的合法权益。深化农村集体经营性建设用地入市改革，有效盘活闲置资源，提升乡村自身造血功能。创新投融资机制，引导社会资本参与城乡产业建设，引导金融资源更多投向城乡融合发展重点领域。</w:t>
      </w:r>
      <w:bookmarkStart w:id="87" w:name="_Toc186"/>
    </w:p>
    <w:p w14:paraId="6DFF9290">
      <w:pPr>
        <w:overflowPunct w:val="0"/>
        <w:spacing w:line="622" w:lineRule="exact"/>
        <w:ind w:firstLine="640"/>
        <w:rPr>
          <w:rFonts w:ascii="Times New Roman" w:hAnsi="Times New Roman" w:cs="Times New Roman"/>
        </w:rPr>
      </w:pPr>
      <w:bookmarkStart w:id="88" w:name="_Toc25108"/>
      <w:r>
        <w:rPr>
          <w:rFonts w:ascii="Times New Roman" w:hAnsi="Times New Roman" w:cs="Times New Roman"/>
        </w:rPr>
        <w:br w:type="page"/>
      </w:r>
    </w:p>
    <w:p w14:paraId="7CA26C5B">
      <w:pPr>
        <w:overflowPunct w:val="0"/>
        <w:spacing w:line="622" w:lineRule="exact"/>
        <w:ind w:firstLine="640"/>
        <w:rPr>
          <w:rFonts w:ascii="Times New Roman" w:hAnsi="Times New Roman" w:cs="Times New Roman"/>
        </w:rPr>
      </w:pPr>
    </w:p>
    <w:p w14:paraId="0EFD0F17">
      <w:pPr>
        <w:numPr>
          <w:ilvl w:val="0"/>
          <w:numId w:val="5"/>
        </w:numPr>
        <w:overflowPunct w:val="0"/>
        <w:spacing w:line="622" w:lineRule="exact"/>
        <w:ind w:firstLine="0" w:firstLineChars="0"/>
        <w:jc w:val="center"/>
        <w:outlineLvl w:val="0"/>
        <w:rPr>
          <w:rFonts w:hint="eastAsia" w:ascii="黑体" w:hAnsi="黑体" w:eastAsia="黑体" w:cs="黑体"/>
          <w:szCs w:val="32"/>
        </w:rPr>
      </w:pPr>
      <w:bookmarkStart w:id="89" w:name="_Toc25188"/>
      <w:r>
        <w:rPr>
          <w:rFonts w:hint="eastAsia" w:ascii="黑体" w:hAnsi="黑体" w:eastAsia="黑体" w:cs="黑体"/>
          <w:szCs w:val="32"/>
          <w:lang w:val="en-US" w:eastAsia="zh-CN"/>
        </w:rPr>
        <w:t xml:space="preserve"> </w:t>
      </w:r>
      <w:r>
        <w:rPr>
          <w:rFonts w:hint="eastAsia" w:ascii="黑体" w:hAnsi="黑体" w:eastAsia="黑体" w:cs="黑体"/>
          <w:szCs w:val="32"/>
        </w:rPr>
        <w:t>坚持农业农村优先发展</w:t>
      </w:r>
      <w:r>
        <w:rPr>
          <w:rFonts w:hint="eastAsia" w:ascii="黑体" w:hAnsi="黑体" w:eastAsia="黑体" w:cs="黑体"/>
          <w:szCs w:val="32"/>
          <w:lang w:val="en-US" w:eastAsia="zh-CN"/>
        </w:rPr>
        <w:t xml:space="preserve"> </w:t>
      </w:r>
      <w:r>
        <w:rPr>
          <w:rFonts w:hint="eastAsia" w:ascii="黑体" w:hAnsi="黑体" w:eastAsia="黑体" w:cs="黑体"/>
          <w:szCs w:val="32"/>
        </w:rPr>
        <w:t>打造宜居宜业和美乡村典范</w:t>
      </w:r>
      <w:bookmarkEnd w:id="87"/>
      <w:bookmarkEnd w:id="88"/>
      <w:bookmarkEnd w:id="89"/>
    </w:p>
    <w:p w14:paraId="1D38A8A5">
      <w:pPr>
        <w:overflowPunct w:val="0"/>
        <w:spacing w:line="622" w:lineRule="exact"/>
        <w:ind w:firstLine="640"/>
        <w:rPr>
          <w:rFonts w:ascii="Times New Roman" w:hAnsi="Times New Roman" w:cs="Times New Roman"/>
          <w:szCs w:val="32"/>
        </w:rPr>
      </w:pPr>
    </w:p>
    <w:p w14:paraId="21AA8544">
      <w:pPr>
        <w:overflowPunct w:val="0"/>
        <w:spacing w:line="622" w:lineRule="exact"/>
        <w:ind w:firstLine="640"/>
        <w:rPr>
          <w:rFonts w:ascii="Times New Roman" w:hAnsi="Times New Roman" w:cs="Times New Roman"/>
          <w:szCs w:val="32"/>
        </w:rPr>
      </w:pPr>
      <w:r>
        <w:rPr>
          <w:rFonts w:ascii="Times New Roman" w:hAnsi="Times New Roman" w:cs="Times New Roman"/>
          <w:szCs w:val="32"/>
        </w:rPr>
        <w:t>以</w:t>
      </w:r>
      <w:r>
        <w:rPr>
          <w:rFonts w:ascii="Times New Roman" w:hAnsi="Times New Roman" w:cs="Times New Roman"/>
          <w:spacing w:val="-6"/>
          <w:szCs w:val="32"/>
        </w:rPr>
        <w:t>推进乡村全面振兴为总抓手，坚持农业农村优先发展，统筹粮食安全、产业升级、乡村建设、治理有效和农村改革五大任务，着力构建现代农业产业体系、生产体系和经营体系，全力打造农业高质高效、乡村宜居宜业、农民富裕富足的乡村振兴沁水样板。</w:t>
      </w:r>
    </w:p>
    <w:p w14:paraId="25C75031">
      <w:pPr>
        <w:overflowPunct w:val="0"/>
        <w:spacing w:line="622" w:lineRule="exact"/>
        <w:ind w:firstLine="640"/>
        <w:rPr>
          <w:rFonts w:ascii="Times New Roman" w:hAnsi="Times New Roman" w:eastAsia="楷体_GB2312" w:cs="Times New Roman"/>
        </w:rPr>
      </w:pPr>
      <w:bookmarkStart w:id="90" w:name="_Toc4154"/>
      <w:bookmarkStart w:id="91" w:name="_Toc642"/>
    </w:p>
    <w:p w14:paraId="6A5C38C2">
      <w:pPr>
        <w:overflowPunct w:val="0"/>
        <w:spacing w:line="622" w:lineRule="exact"/>
        <w:ind w:firstLine="0" w:firstLineChars="0"/>
        <w:jc w:val="center"/>
        <w:outlineLvl w:val="1"/>
        <w:rPr>
          <w:rFonts w:ascii="Times New Roman" w:hAnsi="Times New Roman" w:eastAsia="楷体_GB2312" w:cs="Times New Roman"/>
        </w:rPr>
      </w:pPr>
      <w:bookmarkStart w:id="92" w:name="_Toc971"/>
      <w:r>
        <w:rPr>
          <w:rFonts w:ascii="Times New Roman" w:hAnsi="Times New Roman" w:eastAsia="楷体_GB2312" w:cs="Times New Roman"/>
        </w:rPr>
        <w:t>第一节</w:t>
      </w:r>
      <w:r>
        <w:rPr>
          <w:rFonts w:hint="eastAsia" w:ascii="Times New Roman" w:hAnsi="Times New Roman" w:eastAsia="楷体_GB2312" w:cs="Times New Roman"/>
          <w:lang w:val="en-US" w:eastAsia="zh-CN"/>
        </w:rPr>
        <w:t xml:space="preserve"> </w:t>
      </w:r>
      <w:r>
        <w:rPr>
          <w:rFonts w:ascii="Times New Roman" w:hAnsi="Times New Roman" w:eastAsia="楷体_GB2312" w:cs="Times New Roman"/>
        </w:rPr>
        <w:t>全面保障粮食和重要农产品供给</w:t>
      </w:r>
      <w:bookmarkEnd w:id="90"/>
      <w:bookmarkEnd w:id="91"/>
      <w:bookmarkEnd w:id="92"/>
    </w:p>
    <w:p w14:paraId="6EFA6193">
      <w:pPr>
        <w:overflowPunct w:val="0"/>
        <w:spacing w:line="622" w:lineRule="exact"/>
        <w:ind w:firstLine="640"/>
        <w:rPr>
          <w:rFonts w:ascii="Times New Roman" w:hAnsi="Times New Roman" w:cs="Times New Roman"/>
          <w:szCs w:val="32"/>
        </w:rPr>
      </w:pPr>
    </w:p>
    <w:p w14:paraId="167E2690">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深入实施藏粮于地、藏粮于技战略，坚持产量产能、生产生态、增产增收一起抓，全面提升粮食和重要农产品供给保障能力，筑牢县域发展安全基石。</w:t>
      </w:r>
    </w:p>
    <w:p w14:paraId="009A13FF">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强化耕地保护和质量提升。</w:t>
      </w:r>
      <w:r>
        <w:rPr>
          <w:rFonts w:hint="eastAsia" w:ascii="仿宋_GB2312" w:hAnsi="仿宋_GB2312" w:cs="仿宋_GB2312"/>
          <w:szCs w:val="32"/>
        </w:rPr>
        <w:t>坚决扛起粮食安全政治责任，落实最严格的耕地保护制度，严守耕地和永久基本农田保护红线，坚决遏制耕地“非农化”、有效防止“非粮化”。稳定玉米、小麦等主粮播种面积，健全耕地休耕轮作制度，实施土壤改良、地力培肥等措施，确保粮食播种面积稳定在34.49万亩以上。深入实施粮油等主要作物大面积单产提升行动，加大高产高效模式集成推广力度，确保粮食综合产能稳定在2.3亿斤以上。健全农业保险体系，推动政策性保险提标扩面，创新特色农产品保险产品，构建多层次农业风险保障机制。</w:t>
      </w:r>
    </w:p>
    <w:p w14:paraId="31FDBB29">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加强高标准农田和水利设施建设。</w:t>
      </w:r>
      <w:r>
        <w:rPr>
          <w:rFonts w:hint="eastAsia" w:ascii="仿宋_GB2312" w:hAnsi="仿宋_GB2312" w:cs="仿宋_GB2312"/>
          <w:szCs w:val="32"/>
        </w:rPr>
        <w:t>坚持新建与改造提升并重，扎实推进高标准农田建设。优先在粮食生产功能区、重要农产品生产保护区实施高标准农田建设项目，重点开展土地平整、土壤改良、灌溉排水、田间道路、农田防护等工程建设，推动耕地质量等级稳步提升。加快完善农田水利设施体系，系统推进灌区现代化建设，以山泽、曲堤等骨干灌区续建配套与节水改造为重点，带动全县灌溉体系整体提升。强化农业防灾减灾体系建设，加强农业气象灾害监测预警，完善防灾减灾设施装备和雷击火防御体系，提升农业抗风险能力。</w:t>
      </w:r>
    </w:p>
    <w:p w14:paraId="6E01DD19">
      <w:pPr>
        <w:pStyle w:val="11"/>
        <w:overflowPunct w:val="0"/>
        <w:spacing w:after="156" w:afterLines="50" w:line="622" w:lineRule="exact"/>
        <w:ind w:left="0" w:leftChars="0" w:firstLine="0" w:firstLineChars="0"/>
        <w:jc w:val="center"/>
        <w:rPr>
          <w:rFonts w:ascii="黑体" w:hAnsi="黑体" w:eastAsia="黑体" w:cs="黑体"/>
          <w:szCs w:val="30"/>
        </w:rPr>
      </w:pPr>
      <w:r>
        <w:rPr>
          <w:rStyle w:val="23"/>
          <w:rFonts w:ascii="黑体" w:hAnsi="黑体" w:eastAsia="黑体" w:cs="黑体"/>
          <w:b w:val="0"/>
          <w:szCs w:val="30"/>
          <w:shd w:val="clear" w:color="auto" w:fill="FFFFFF"/>
        </w:rPr>
        <w:t>专栏15</w:t>
      </w:r>
      <w:r>
        <w:rPr>
          <w:rStyle w:val="23"/>
          <w:rFonts w:hint="eastAsia" w:ascii="黑体" w:hAnsi="黑体" w:eastAsia="黑体" w:cs="黑体"/>
          <w:b w:val="0"/>
          <w:szCs w:val="30"/>
          <w:shd w:val="clear" w:color="auto" w:fill="FFFFFF"/>
          <w:lang w:val="en-US" w:eastAsia="zh-CN"/>
        </w:rPr>
        <w:t xml:space="preserve"> </w:t>
      </w:r>
      <w:r>
        <w:rPr>
          <w:rStyle w:val="23"/>
          <w:rFonts w:ascii="黑体" w:hAnsi="黑体" w:eastAsia="黑体" w:cs="黑体"/>
          <w:b w:val="0"/>
          <w:szCs w:val="30"/>
          <w:shd w:val="clear" w:color="auto" w:fill="FFFFFF"/>
        </w:rPr>
        <w:t>高标准农田建设五年行动计划（2026—2030年）</w:t>
      </w:r>
    </w:p>
    <w:tbl>
      <w:tblPr>
        <w:tblStyle w:val="21"/>
        <w:tblW w:w="89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957"/>
      </w:tblGrid>
      <w:tr w14:paraId="02F22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44" w:hRule="atLeast"/>
          <w:jc w:val="center"/>
        </w:trPr>
        <w:tc>
          <w:tcPr>
            <w:tcW w:w="5000" w:type="pct"/>
            <w:tcBorders>
              <w:tl2br w:val="nil"/>
              <w:tr2bl w:val="nil"/>
            </w:tcBorders>
            <w:vAlign w:val="center"/>
          </w:tcPr>
          <w:p w14:paraId="588BFF2E">
            <w:pPr>
              <w:overflowPunct w:val="0"/>
              <w:spacing w:line="36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总体目标：</w:t>
            </w:r>
            <w:r>
              <w:rPr>
                <w:rFonts w:hint="eastAsia" w:asciiTheme="majorEastAsia" w:hAnsiTheme="majorEastAsia" w:eastAsiaTheme="majorEastAsia" w:cstheme="majorEastAsia"/>
                <w:sz w:val="20"/>
                <w:szCs w:val="20"/>
              </w:rPr>
              <w:t>新建和改造提升高标准农田约21.8万亩，新建18.3万亩，改造提升3.5万亩，总投资63650万元，全面提升耕地质量与粮食综合生产能力。</w:t>
            </w:r>
          </w:p>
          <w:p w14:paraId="0DC969F2">
            <w:pPr>
              <w:overflowPunct w:val="0"/>
              <w:spacing w:line="36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建设内容：</w:t>
            </w:r>
            <w:r>
              <w:rPr>
                <w:rFonts w:hint="eastAsia" w:asciiTheme="majorEastAsia" w:hAnsiTheme="majorEastAsia" w:eastAsiaTheme="majorEastAsia" w:cstheme="majorEastAsia"/>
                <w:sz w:val="20"/>
                <w:szCs w:val="20"/>
              </w:rPr>
              <w:t>重点开展土地整治、土壤改良、灌溉与排水、田间道路、农田防护与生态环境保护、农田输配电等工程建设。</w:t>
            </w:r>
          </w:p>
        </w:tc>
      </w:tr>
    </w:tbl>
    <w:p w14:paraId="1DF89156">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强</w:t>
      </w:r>
      <w:r>
        <w:rPr>
          <w:rFonts w:hint="eastAsia" w:ascii="仿宋_GB2312" w:hAnsi="仿宋_GB2312" w:cs="仿宋_GB2312"/>
          <w:b/>
          <w:bCs/>
          <w:spacing w:val="6"/>
          <w:szCs w:val="32"/>
        </w:rPr>
        <w:t>化农业科技和装备支撑</w:t>
      </w:r>
      <w:r>
        <w:rPr>
          <w:rFonts w:hint="eastAsia" w:ascii="仿宋_GB2312" w:hAnsi="仿宋_GB2312" w:cs="仿宋_GB2312"/>
          <w:spacing w:val="6"/>
          <w:szCs w:val="32"/>
        </w:rPr>
        <w:t>。深化产学研合作，依托产业技术研究院、科技小院等平台，开展耐旱节水育种、蜜蜂健康养殖等关键技术攻关，推动农业科技成果高效转化。实施农机装备补短板行动，推进农业装备现代化与智能化，提升特色产业关键环节机械化水平，推广中药材机械、果园机械、蔬菜机械、蚕桑机械、杂粮机械，到2030年，全县农业综合机械化率提升至</w:t>
      </w:r>
      <w:r>
        <w:rPr>
          <w:rFonts w:hint="eastAsia" w:ascii="仿宋_GB2312" w:hAnsi="仿宋_GB2312" w:cs="仿宋_GB2312"/>
          <w:spacing w:val="6"/>
          <w:szCs w:val="32"/>
          <w:lang w:val="en-US" w:eastAsia="zh-CN"/>
        </w:rPr>
        <w:t>78</w:t>
      </w:r>
      <w:r>
        <w:rPr>
          <w:rFonts w:hint="eastAsia" w:ascii="仿宋_GB2312" w:hAnsi="仿宋_GB2312" w:cs="仿宋_GB2312"/>
          <w:spacing w:val="6"/>
          <w:szCs w:val="32"/>
        </w:rPr>
        <w:t>%以上，全面提升农业现代化水平。实施新质生产力赋能工程，加快数字农业与智慧设施应用，推动农业生产智能物联、产品流通区块链溯源、产业管理数字孪生。推行绿色生产方式，实施化肥、农药减量增效，加强生态修复与面源污染治理，实现农业低碳循环发展。</w:t>
      </w:r>
    </w:p>
    <w:p w14:paraId="63EC6210">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加快构建现代化粮食流通体系</w:t>
      </w:r>
      <w:r>
        <w:rPr>
          <w:rFonts w:hint="eastAsia" w:ascii="仿宋_GB2312" w:hAnsi="仿宋_GB2312" w:cs="仿宋_GB2312"/>
          <w:szCs w:val="32"/>
        </w:rPr>
        <w:t>。优化基础设施布局，推进智能粮库升级改造，加快环县城物流园区及北港、西港等重点枢纽建设，完善“县—乡—村”三级物流配送网络。新建一批产地预冷库与智能仓储中心，推进粮食、药材等农产品采收后快速预冷锁鲜。支持供销物流配送中心、乡村振兴供应链等平台发展，促进农产品进城与工业品下乡双向畅通。健全市场监测预警机制，推进粮食流通基础设施现代化改造，完善粮食和重要农产品应急供应网络。</w:t>
      </w:r>
    </w:p>
    <w:p w14:paraId="45862CD3">
      <w:pPr>
        <w:overflowPunct w:val="0"/>
        <w:spacing w:line="622" w:lineRule="exact"/>
        <w:ind w:firstLine="640"/>
        <w:rPr>
          <w:rFonts w:ascii="Times New Roman" w:hAnsi="Times New Roman" w:eastAsia="楷体_GB2312" w:cs="Times New Roman"/>
        </w:rPr>
      </w:pPr>
      <w:bookmarkStart w:id="93" w:name="_Toc14685"/>
      <w:bookmarkStart w:id="94" w:name="_Toc20234"/>
    </w:p>
    <w:p w14:paraId="4772667B">
      <w:pPr>
        <w:overflowPunct w:val="0"/>
        <w:spacing w:line="622" w:lineRule="exact"/>
        <w:ind w:firstLine="0" w:firstLineChars="0"/>
        <w:jc w:val="center"/>
        <w:outlineLvl w:val="1"/>
        <w:rPr>
          <w:rFonts w:ascii="Times New Roman" w:hAnsi="Times New Roman" w:eastAsia="楷体_GB2312" w:cs="Times New Roman"/>
        </w:rPr>
      </w:pPr>
      <w:bookmarkStart w:id="95" w:name="_Toc2527"/>
      <w:r>
        <w:rPr>
          <w:rFonts w:ascii="Times New Roman" w:hAnsi="Times New Roman" w:eastAsia="楷体_GB2312" w:cs="Times New Roman"/>
        </w:rPr>
        <w:t>第二节</w:t>
      </w:r>
      <w:r>
        <w:rPr>
          <w:rFonts w:hint="eastAsia" w:ascii="Times New Roman" w:hAnsi="Times New Roman" w:cs="Times New Roman"/>
        </w:rPr>
        <w:t xml:space="preserve"> </w:t>
      </w:r>
      <w:r>
        <w:rPr>
          <w:rFonts w:ascii="Times New Roman" w:hAnsi="Times New Roman" w:eastAsia="楷体_GB2312" w:cs="Times New Roman"/>
        </w:rPr>
        <w:t xml:space="preserve"> 壮大农业现代化产业体系</w:t>
      </w:r>
      <w:bookmarkEnd w:id="93"/>
      <w:bookmarkEnd w:id="94"/>
      <w:bookmarkEnd w:id="95"/>
    </w:p>
    <w:p w14:paraId="0AD24FA2">
      <w:pPr>
        <w:overflowPunct w:val="0"/>
        <w:spacing w:line="622" w:lineRule="exact"/>
        <w:ind w:firstLine="640"/>
        <w:rPr>
          <w:rFonts w:ascii="Times New Roman" w:hAnsi="Times New Roman" w:cs="Times New Roman"/>
          <w:szCs w:val="32"/>
        </w:rPr>
      </w:pPr>
    </w:p>
    <w:p w14:paraId="4145B040">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立足“特”“优”战略，聚焦蜂蜜、肉鸡、肉羊、中药材、食用菌、三文鱼等特色产业，强化科技赋能与全链协同，推动特色产业从规模扩张向质量效益提升转变，构建现代化特色农业产业体系。</w:t>
      </w:r>
    </w:p>
    <w:p w14:paraId="2772AA0E">
      <w:pPr>
        <w:overflowPunct w:val="0"/>
        <w:spacing w:line="622" w:lineRule="exact"/>
        <w:ind w:firstLine="643"/>
        <w:rPr>
          <w:rStyle w:val="23"/>
          <w:rFonts w:ascii="黑体" w:hAnsi="黑体" w:eastAsia="黑体" w:cs="黑体"/>
          <w:b w:val="0"/>
          <w:spacing w:val="-2"/>
          <w:szCs w:val="30"/>
          <w:shd w:val="clear" w:color="auto" w:fill="FFFFFF"/>
        </w:rPr>
      </w:pPr>
      <w:r>
        <w:rPr>
          <w:rFonts w:hint="eastAsia" w:ascii="仿宋_GB2312" w:hAnsi="仿宋_GB2312" w:cs="仿宋_GB2312"/>
          <w:b/>
          <w:bCs/>
          <w:szCs w:val="32"/>
        </w:rPr>
        <w:t>做优做强特色产业集群。</w:t>
      </w:r>
      <w:r>
        <w:rPr>
          <w:rFonts w:hint="eastAsia" w:ascii="仿宋_GB2312" w:hAnsi="仿宋_GB2312" w:cs="仿宋_GB2312"/>
          <w:szCs w:val="32"/>
        </w:rPr>
        <w:t>聚焦现代农业产业园与特色专业镇建设，促进土地、资金、人才、技术等要素向重点区域、重点链条集约配置。强化龙头企业带动，围绕设施农业、特色种养、农产品精深加工及功能食品开发等重点方向，培育一批带动力强、创新能力强、联农带农机制健全的链主型企业和产业联合体，持续壮大农业特色产业集群，系统推进延链、补链、强链。加快重大产业平台建设，重点推动蜂蜜省级现代农业产业园提质升级，加快土沃食用菌产业园、端氏菁菁万亩中药材基地、肉羊全产业链等项目建设。培育专业镇发展梯队，巩固提升以“双地标”为特色的沁水蜂蜜、沁水黑山羊等市级专业镇，积极培育郑村肉鸡、中村食用菌等一批新兴专业镇，加快构建梯度衔接、特色鲜明、协同发展的乡村产业新格局。</w:t>
      </w:r>
    </w:p>
    <w:p w14:paraId="20D34D20">
      <w:pPr>
        <w:pStyle w:val="11"/>
        <w:overflowPunct w:val="0"/>
        <w:spacing w:after="156" w:afterLines="50" w:line="622" w:lineRule="exact"/>
        <w:ind w:left="0" w:leftChars="0" w:firstLine="0" w:firstLineChars="0"/>
        <w:jc w:val="center"/>
        <w:rPr>
          <w:rFonts w:ascii="黑体" w:hAnsi="黑体" w:eastAsia="黑体" w:cs="黑体"/>
          <w:szCs w:val="30"/>
        </w:rPr>
      </w:pPr>
      <w:r>
        <w:rPr>
          <w:rStyle w:val="23"/>
          <w:rFonts w:ascii="黑体" w:hAnsi="黑体" w:eastAsia="黑体" w:cs="黑体"/>
          <w:b w:val="0"/>
          <w:spacing w:val="-2"/>
          <w:szCs w:val="30"/>
          <w:shd w:val="clear" w:color="auto" w:fill="FFFFFF"/>
        </w:rPr>
        <w:t>专栏16</w:t>
      </w:r>
      <w:r>
        <w:rPr>
          <w:rStyle w:val="23"/>
          <w:rFonts w:hint="eastAsia" w:ascii="黑体" w:hAnsi="黑体" w:eastAsia="黑体" w:cs="黑体"/>
          <w:b w:val="0"/>
          <w:spacing w:val="-2"/>
          <w:szCs w:val="30"/>
          <w:shd w:val="clear" w:color="auto" w:fill="FFFFFF"/>
          <w:lang w:val="en-US" w:eastAsia="zh-CN"/>
        </w:rPr>
        <w:t xml:space="preserve">  </w:t>
      </w:r>
      <w:r>
        <w:rPr>
          <w:rStyle w:val="23"/>
          <w:rFonts w:ascii="黑体" w:hAnsi="黑体" w:eastAsia="黑体" w:cs="黑体"/>
          <w:b w:val="0"/>
          <w:spacing w:val="-2"/>
          <w:szCs w:val="30"/>
          <w:shd w:val="clear" w:color="auto" w:fill="FFFFFF"/>
        </w:rPr>
        <w:t>农业产业集群壮大工程</w:t>
      </w:r>
    </w:p>
    <w:tbl>
      <w:tblPr>
        <w:tblStyle w:val="21"/>
        <w:tblW w:w="89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957"/>
      </w:tblGrid>
      <w:tr w14:paraId="4287A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5000" w:type="pct"/>
            <w:tcBorders>
              <w:tl2br w:val="nil"/>
              <w:tr2bl w:val="nil"/>
            </w:tcBorders>
            <w:vAlign w:val="center"/>
          </w:tcPr>
          <w:p w14:paraId="65427B78">
            <w:pPr>
              <w:overflowPunct w:val="0"/>
              <w:spacing w:line="320" w:lineRule="exact"/>
              <w:ind w:firstLine="0" w:firstLineChars="0"/>
              <w:jc w:val="center"/>
              <w:rPr>
                <w:rFonts w:hint="eastAsia" w:asciiTheme="majorEastAsia" w:hAnsiTheme="majorEastAsia" w:eastAsiaTheme="majorEastAsia" w:cstheme="majorEastAsia"/>
                <w:b/>
                <w:bCs/>
                <w:sz w:val="20"/>
                <w:szCs w:val="20"/>
              </w:rPr>
            </w:pPr>
            <w:r>
              <w:rPr>
                <w:rFonts w:hint="eastAsia" w:asciiTheme="majorEastAsia" w:hAnsiTheme="majorEastAsia" w:eastAsiaTheme="majorEastAsia" w:cstheme="majorEastAsia"/>
                <w:b/>
                <w:bCs/>
                <w:sz w:val="20"/>
                <w:szCs w:val="20"/>
              </w:rPr>
              <w:t>六大优势产业示范工程</w:t>
            </w:r>
          </w:p>
        </w:tc>
      </w:tr>
      <w:tr w14:paraId="618CA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000" w:type="pct"/>
            <w:tcBorders>
              <w:tl2br w:val="nil"/>
              <w:tr2bl w:val="nil"/>
            </w:tcBorders>
            <w:vAlign w:val="center"/>
          </w:tcPr>
          <w:p w14:paraId="6976A85E">
            <w:pPr>
              <w:overflowPunct w:val="0"/>
              <w:spacing w:line="32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肉羊产业强链工程：</w:t>
            </w:r>
            <w:r>
              <w:rPr>
                <w:rFonts w:hint="eastAsia" w:asciiTheme="majorEastAsia" w:hAnsiTheme="majorEastAsia" w:eastAsiaTheme="majorEastAsia" w:cstheme="majorEastAsia"/>
                <w:sz w:val="20"/>
                <w:szCs w:val="20"/>
              </w:rPr>
              <w:t>引进天牧龙头企业，实施中电农创的超级羊业、土沃的祥兴园、胡底的一只郝羊、固县的草茂等一批肉羊养殖项目，实现产量翻番，年出栏达到20万头以上。到2030年，将沁水打造为晋东南地区重要的绿色肉羊产业加工集散中心。</w:t>
            </w:r>
          </w:p>
          <w:p w14:paraId="0825FD3C">
            <w:pPr>
              <w:overflowPunct w:val="0"/>
              <w:spacing w:line="32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生猪产业稳产工程</w:t>
            </w:r>
            <w:r>
              <w:rPr>
                <w:rFonts w:hint="eastAsia" w:asciiTheme="majorEastAsia" w:hAnsiTheme="majorEastAsia" w:eastAsiaTheme="majorEastAsia" w:cstheme="majorEastAsia"/>
                <w:sz w:val="20"/>
                <w:szCs w:val="20"/>
              </w:rPr>
              <w:t>：实施农林投富江、端氏智盛、胡底金润等一批规模化养殖项目，推动产量快速提升。到2030年，实现年出栏量达到30万头，建成区域内重要的生猪稳产保供基地。</w:t>
            </w:r>
          </w:p>
          <w:p w14:paraId="3470AD88">
            <w:pPr>
              <w:pStyle w:val="13"/>
              <w:overflowPunct w:val="0"/>
              <w:spacing w:line="320" w:lineRule="exact"/>
              <w:ind w:firstLine="402"/>
              <w:jc w:val="both"/>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肉牛产业扩群工程</w:t>
            </w:r>
            <w:r>
              <w:rPr>
                <w:rFonts w:hint="eastAsia" w:asciiTheme="majorEastAsia" w:hAnsiTheme="majorEastAsia" w:eastAsiaTheme="majorEastAsia" w:cstheme="majorEastAsia"/>
                <w:sz w:val="20"/>
                <w:szCs w:val="20"/>
              </w:rPr>
              <w:t>：通过实施土沃万利牛拓与弘昌、郑庄旺泽、端氏万丰、嘉峰一君、郑村赵庄与北落、胡底前岭、固县欣源、柿庄杨庄等一批养殖项目，实现养殖规模显著增长。到2030年，推动年出栏量达到2万头，夯实肉牛产业基础。</w:t>
            </w:r>
          </w:p>
          <w:p w14:paraId="61BDFFDD">
            <w:pPr>
              <w:pStyle w:val="10"/>
              <w:overflowPunct w:val="0"/>
              <w:spacing w:after="0" w:line="32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肉鸡产业提质工程</w:t>
            </w:r>
            <w:r>
              <w:rPr>
                <w:rFonts w:hint="eastAsia" w:asciiTheme="majorEastAsia" w:hAnsiTheme="majorEastAsia" w:eastAsiaTheme="majorEastAsia" w:cstheme="majorEastAsia"/>
                <w:sz w:val="20"/>
                <w:szCs w:val="20"/>
              </w:rPr>
              <w:t>：以大象集团为龙头，谋划实施张村沃东鑫等一批规模化养殖项目，推动产业标准化、智能化升级。完善屠宰加工、冷链物流及质量安全追溯体系，强化产业链上下游协同。到2030年，实现年出栏量达到2000万只，建成全链条配套完善、质量安全可控的区域性现代化肉鸡产业基地。</w:t>
            </w:r>
          </w:p>
          <w:p w14:paraId="19B1CB11">
            <w:pPr>
              <w:overflowPunct w:val="0"/>
              <w:spacing w:line="32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中药材产业振兴工程：</w:t>
            </w:r>
            <w:r>
              <w:rPr>
                <w:rFonts w:hint="eastAsia" w:asciiTheme="majorEastAsia" w:hAnsiTheme="majorEastAsia" w:eastAsiaTheme="majorEastAsia" w:cstheme="majorEastAsia"/>
                <w:sz w:val="20"/>
                <w:szCs w:val="20"/>
              </w:rPr>
              <w:t>中药材产业振兴工程：以道地药材市级专业镇为核心，建设连翘、酸枣等GAP标准化种植基地。支持龙头企业发挥带动作用，提升精深加工能力。推动“中药材+康养文旅”融合发展，</w:t>
            </w:r>
            <w:r>
              <w:rPr>
                <w:rFonts w:hint="eastAsia" w:asciiTheme="majorEastAsia" w:hAnsiTheme="majorEastAsia" w:eastAsiaTheme="majorEastAsia" w:cstheme="majorEastAsia"/>
                <w:sz w:val="20"/>
                <w:szCs w:val="20"/>
                <w:lang w:eastAsia="zh-CN"/>
              </w:rPr>
              <w:t>积极推进</w:t>
            </w:r>
            <w:r>
              <w:rPr>
                <w:rFonts w:hint="eastAsia" w:asciiTheme="majorEastAsia" w:hAnsiTheme="majorEastAsia" w:eastAsiaTheme="majorEastAsia" w:cstheme="majorEastAsia"/>
                <w:sz w:val="20"/>
                <w:szCs w:val="20"/>
              </w:rPr>
              <w:t>药用植物博览园、中医康养体验基地等项目</w:t>
            </w:r>
            <w:r>
              <w:rPr>
                <w:rFonts w:hint="eastAsia" w:asciiTheme="majorEastAsia" w:hAnsiTheme="majorEastAsia" w:eastAsiaTheme="majorEastAsia" w:cstheme="majorEastAsia"/>
                <w:sz w:val="20"/>
                <w:szCs w:val="20"/>
                <w:lang w:eastAsia="zh-CN"/>
              </w:rPr>
              <w:t>建设</w:t>
            </w:r>
            <w:r>
              <w:rPr>
                <w:rFonts w:hint="eastAsia" w:asciiTheme="majorEastAsia" w:hAnsiTheme="majorEastAsia" w:eastAsiaTheme="majorEastAsia" w:cstheme="majorEastAsia"/>
                <w:sz w:val="20"/>
                <w:szCs w:val="20"/>
              </w:rPr>
              <w:t>。到2030年，年产量达到</w:t>
            </w:r>
            <w:r>
              <w:rPr>
                <w:rFonts w:hint="eastAsia" w:asciiTheme="majorEastAsia" w:hAnsiTheme="majorEastAsia" w:eastAsiaTheme="majorEastAsia" w:cstheme="majorEastAsia"/>
                <w:sz w:val="20"/>
                <w:szCs w:val="20"/>
                <w:lang w:val="en-US" w:eastAsia="zh-CN"/>
              </w:rPr>
              <w:t>2.2</w:t>
            </w:r>
            <w:r>
              <w:rPr>
                <w:rFonts w:hint="eastAsia" w:asciiTheme="majorEastAsia" w:hAnsiTheme="majorEastAsia" w:eastAsiaTheme="majorEastAsia" w:cstheme="majorEastAsia"/>
                <w:sz w:val="20"/>
                <w:szCs w:val="20"/>
              </w:rPr>
              <w:t>万吨</w:t>
            </w:r>
            <w:r>
              <w:rPr>
                <w:rFonts w:hint="eastAsia" w:asciiTheme="majorEastAsia" w:hAnsiTheme="majorEastAsia" w:eastAsiaTheme="majorEastAsia" w:cstheme="majorEastAsia"/>
                <w:sz w:val="20"/>
                <w:szCs w:val="20"/>
                <w:lang w:eastAsia="zh-CN"/>
              </w:rPr>
              <w:t>左右</w:t>
            </w:r>
            <w:r>
              <w:rPr>
                <w:rFonts w:hint="eastAsia" w:asciiTheme="majorEastAsia" w:hAnsiTheme="majorEastAsia" w:eastAsiaTheme="majorEastAsia" w:cstheme="majorEastAsia"/>
                <w:sz w:val="20"/>
                <w:szCs w:val="20"/>
              </w:rPr>
              <w:t>，建成种植、加工、康养旅居完整的产业链。</w:t>
            </w:r>
          </w:p>
          <w:p w14:paraId="14357315">
            <w:pPr>
              <w:overflowPunct w:val="0"/>
              <w:spacing w:line="32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食用菌产业培优工程：</w:t>
            </w:r>
            <w:r>
              <w:rPr>
                <w:rFonts w:hint="eastAsia" w:asciiTheme="majorEastAsia" w:hAnsiTheme="majorEastAsia" w:eastAsiaTheme="majorEastAsia" w:cstheme="majorEastAsia"/>
                <w:sz w:val="20"/>
                <w:szCs w:val="20"/>
              </w:rPr>
              <w:t>以中电农创太行一号土沃食用菌产业园为龙头，加快柿庄镇嘉沁食用菌产业园盘活运行，推动中村张马、晟华、舜世佳苑和土沃下格碑等一批种植项目提质扩规。加强标准化生产技术推广，完善分级包装、冷链物流等产后服务体系。到2030年，实现年产量6000吨以上，建成区域性食用菌技术引领与产业融合示范基地。</w:t>
            </w:r>
          </w:p>
        </w:tc>
      </w:tr>
      <w:tr w14:paraId="465DE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5000" w:type="pct"/>
            <w:tcBorders>
              <w:tl2br w:val="nil"/>
              <w:tr2bl w:val="nil"/>
            </w:tcBorders>
            <w:vAlign w:val="center"/>
          </w:tcPr>
          <w:p w14:paraId="6B235AC3">
            <w:pPr>
              <w:overflowPunct w:val="0"/>
              <w:spacing w:line="320" w:lineRule="exact"/>
              <w:ind w:firstLine="0" w:firstLineChars="0"/>
              <w:jc w:val="center"/>
              <w:rPr>
                <w:rFonts w:hint="eastAsia" w:asciiTheme="majorEastAsia" w:hAnsiTheme="majorEastAsia" w:eastAsiaTheme="majorEastAsia" w:cstheme="majorEastAsia"/>
                <w:b/>
                <w:bCs/>
                <w:sz w:val="20"/>
                <w:szCs w:val="20"/>
              </w:rPr>
            </w:pPr>
            <w:r>
              <w:rPr>
                <w:rFonts w:hint="eastAsia" w:asciiTheme="majorEastAsia" w:hAnsiTheme="majorEastAsia" w:eastAsiaTheme="majorEastAsia" w:cstheme="majorEastAsia"/>
                <w:b/>
                <w:bCs/>
                <w:sz w:val="20"/>
                <w:szCs w:val="20"/>
              </w:rPr>
              <w:t>三大特色产业示范工程</w:t>
            </w:r>
          </w:p>
        </w:tc>
      </w:tr>
      <w:tr w14:paraId="45F7FE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jc w:val="center"/>
        </w:trPr>
        <w:tc>
          <w:tcPr>
            <w:tcW w:w="5000" w:type="pct"/>
            <w:tcBorders>
              <w:tl2br w:val="nil"/>
              <w:tr2bl w:val="nil"/>
            </w:tcBorders>
            <w:vAlign w:val="center"/>
          </w:tcPr>
          <w:p w14:paraId="4309E53D">
            <w:pPr>
              <w:overflowPunct w:val="0"/>
              <w:spacing w:line="32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蜂蜜产业创新示范工程：</w:t>
            </w:r>
            <w:r>
              <w:rPr>
                <w:rFonts w:hint="eastAsia" w:asciiTheme="majorEastAsia" w:hAnsiTheme="majorEastAsia" w:eastAsiaTheme="majorEastAsia" w:cstheme="majorEastAsia"/>
                <w:sz w:val="20"/>
                <w:szCs w:val="20"/>
              </w:rPr>
              <w:t>以刺槐、荆条“双地标”原生态蜜源为特色，完成“沁水蜂蜜”地理标志产品申报。依托省级现代农业产业园和市级专业镇，建设太行蜜蜂种质资源库，推广“林－药－蜂”生态循环模式。强化蜂业全产业链建设，发挥现有骨干企业在蜂蜜日化、保健品、糖果等精深加工领域的带动作用，延伸产业链条，并围绕“蜜蜂小镇”打造蜂文旅融合节点。到2030年，推动年加工产量达2000吨以上，全产业链总产值突破1亿元，建成全国知名的蜂业全链条融合发展示范区。</w:t>
            </w:r>
          </w:p>
          <w:p w14:paraId="7CA54C3A">
            <w:pPr>
              <w:pStyle w:val="13"/>
              <w:overflowPunct w:val="0"/>
              <w:spacing w:line="320" w:lineRule="exact"/>
              <w:ind w:firstLine="402"/>
              <w:jc w:val="both"/>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黑山羊产业提质增效工程</w:t>
            </w:r>
            <w:r>
              <w:rPr>
                <w:rFonts w:hint="eastAsia" w:asciiTheme="majorEastAsia" w:hAnsiTheme="majorEastAsia" w:eastAsiaTheme="majorEastAsia" w:cstheme="majorEastAsia"/>
                <w:sz w:val="20"/>
                <w:szCs w:val="20"/>
              </w:rPr>
              <w:t>：以国家地理标志保护产品和北方示范牧场为支撑，聚焦生态养殖与品质提升。依托天牧沁水黑山羊良种繁育项目，构建“北方牧养”标准化体系。强化全产业链协同，发展生态养殖模式，重点开发冷鲜分割、即食加工等高附加值产品。到2030年，推动年出栏数达到10万只以上，全产业链总产值突破2亿元，建成华北地区重要的生态养殖与高端肉品供应基地。</w:t>
            </w:r>
          </w:p>
          <w:p w14:paraId="6C6A52D1">
            <w:pPr>
              <w:pStyle w:val="13"/>
              <w:overflowPunct w:val="0"/>
              <w:spacing w:line="320" w:lineRule="exact"/>
              <w:ind w:firstLine="402"/>
              <w:jc w:val="both"/>
              <w:rPr>
                <w:rFonts w:hint="eastAsia" w:asciiTheme="majorEastAsia" w:hAnsiTheme="majorEastAsia" w:eastAsiaTheme="majorEastAsia" w:cstheme="majorEastAsia"/>
                <w:b/>
                <w:bCs/>
                <w:sz w:val="20"/>
                <w:szCs w:val="20"/>
              </w:rPr>
            </w:pPr>
            <w:r>
              <w:rPr>
                <w:rFonts w:hint="eastAsia" w:asciiTheme="majorEastAsia" w:hAnsiTheme="majorEastAsia" w:eastAsiaTheme="majorEastAsia" w:cstheme="majorEastAsia"/>
                <w:b/>
                <w:bCs/>
                <w:sz w:val="20"/>
                <w:szCs w:val="20"/>
              </w:rPr>
              <w:t>三文鱼产业扩规工程：</w:t>
            </w:r>
            <w:r>
              <w:rPr>
                <w:rFonts w:hint="eastAsia" w:asciiTheme="majorEastAsia" w:hAnsiTheme="majorEastAsia" w:eastAsiaTheme="majorEastAsia" w:cstheme="majorEastAsia"/>
                <w:sz w:val="20"/>
                <w:szCs w:val="20"/>
              </w:rPr>
              <w:t>以郑庄镇为核心，依托张峰水库国家二级饮用水标准的生态优势，打造“纯净生长”的高端产业。加快完成“沁水三文鱼”地理标志保护产品申报与品牌培育。扩大标准化循环水养殖规模，配套建设现代化加工与冷链物流设施。重点发展冰鲜/冷冻鱼片、鱼腩等高附加值产品，探索鱼子酱、预制菜等新品类。到2030年，推动年产量达到1300吨以上，全产业链总产值突破5000万元，建成华北地区重要的绿色冷水鱼产业基地。</w:t>
            </w:r>
          </w:p>
        </w:tc>
      </w:tr>
    </w:tbl>
    <w:p w14:paraId="6249A92A">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延伸壮大农产品精深加工链条。</w:t>
      </w:r>
      <w:r>
        <w:rPr>
          <w:rFonts w:hint="eastAsia" w:ascii="仿宋_GB2312" w:hAnsi="仿宋_GB2312" w:cs="仿宋_GB2312"/>
          <w:szCs w:val="32"/>
        </w:rPr>
        <w:t>以构建高附加值、强竞争力的现代化加工体系为目标，推动产业链向“粮头食尾”“农头工尾”全链条延伸。重点支持特色农产品向精深加工领域拓展，加快发展蜂胶、蜂王浆等高价值健康产品，冷鲜分割肉、预制菜等现代方便食品，以及中药饮片、提取物与生物制剂等医药原料。推动肉羊全产业链项目达产增效，聚焦智能化、绿色化、标准化方向，支持经营主体升级工艺装备，建设一批符合行业先进标准的加工示范基地。鼓励产学研联合攻关，突破功能性成分提取、活性保留等关键工艺，实现农产品从初级加工向精深制造的战略转型，全面提升产业效益。到2030年，全面建成布局合理、链条完整、效益显著的现代化农产品加工体系。</w:t>
      </w:r>
    </w:p>
    <w:p w14:paraId="5BA9E6BB">
      <w:pPr>
        <w:pStyle w:val="11"/>
        <w:overflowPunct w:val="0"/>
        <w:spacing w:after="156" w:afterLines="50" w:line="622" w:lineRule="exact"/>
        <w:ind w:left="0" w:leftChars="0" w:firstLine="0" w:firstLineChars="0"/>
        <w:jc w:val="center"/>
        <w:rPr>
          <w:rFonts w:ascii="黑体" w:hAnsi="黑体" w:eastAsia="黑体" w:cs="黑体"/>
          <w:szCs w:val="30"/>
        </w:rPr>
      </w:pPr>
      <w:r>
        <w:rPr>
          <w:rStyle w:val="23"/>
          <w:rFonts w:ascii="黑体" w:hAnsi="黑体" w:eastAsia="黑体" w:cs="黑体"/>
          <w:b w:val="0"/>
          <w:spacing w:val="-2"/>
          <w:szCs w:val="30"/>
          <w:shd w:val="clear" w:color="auto" w:fill="FFFFFF"/>
        </w:rPr>
        <w:t>专栏17</w:t>
      </w:r>
      <w:r>
        <w:rPr>
          <w:rStyle w:val="23"/>
          <w:rFonts w:hint="eastAsia" w:ascii="黑体" w:hAnsi="黑体" w:eastAsia="黑体" w:cs="黑体"/>
          <w:b w:val="0"/>
          <w:spacing w:val="-2"/>
          <w:szCs w:val="30"/>
          <w:shd w:val="clear" w:color="auto" w:fill="FFFFFF"/>
          <w:lang w:val="en-US" w:eastAsia="zh-CN"/>
        </w:rPr>
        <w:t xml:space="preserve">  </w:t>
      </w:r>
      <w:r>
        <w:rPr>
          <w:rStyle w:val="23"/>
          <w:rFonts w:ascii="黑体" w:hAnsi="黑体" w:eastAsia="黑体" w:cs="黑体"/>
          <w:b w:val="0"/>
          <w:spacing w:val="-2"/>
          <w:szCs w:val="30"/>
          <w:shd w:val="clear" w:color="auto" w:fill="FFFFFF"/>
        </w:rPr>
        <w:t>农产品精深加工重点工程</w:t>
      </w:r>
    </w:p>
    <w:tbl>
      <w:tblPr>
        <w:tblStyle w:val="21"/>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7"/>
      </w:tblGrid>
      <w:tr w14:paraId="766D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5" w:hRule="atLeast"/>
          <w:jc w:val="center"/>
        </w:trPr>
        <w:tc>
          <w:tcPr>
            <w:tcW w:w="5000" w:type="pct"/>
            <w:vAlign w:val="center"/>
          </w:tcPr>
          <w:p w14:paraId="20058A3F">
            <w:pPr>
              <w:overflowPunct w:val="0"/>
              <w:spacing w:line="360" w:lineRule="exact"/>
              <w:ind w:firstLine="402"/>
              <w:rPr>
                <w:rFonts w:ascii="Times New Roman" w:hAnsi="Times New Roman" w:cs="Times New Roman" w:eastAsiaTheme="minorEastAsia"/>
                <w:sz w:val="20"/>
                <w:szCs w:val="20"/>
              </w:rPr>
            </w:pPr>
            <w:r>
              <w:rPr>
                <w:rFonts w:ascii="Times New Roman" w:hAnsi="Times New Roman" w:cs="Times New Roman" w:eastAsiaTheme="minorEastAsia"/>
                <w:b/>
                <w:bCs/>
                <w:sz w:val="20"/>
                <w:szCs w:val="20"/>
              </w:rPr>
              <w:t>蜂产品精深加工与健康产业工程：</w:t>
            </w:r>
            <w:r>
              <w:rPr>
                <w:rFonts w:ascii="Times New Roman" w:hAnsi="Times New Roman" w:cs="Times New Roman" w:eastAsiaTheme="minorEastAsia"/>
                <w:sz w:val="20"/>
                <w:szCs w:val="20"/>
              </w:rPr>
              <w:t>以沁美食品为核心龙头，建设现代化蜂产品精深加工园。配套标准化加工车间、研发中心及冷链仓储设施，重点开发蜂胶、蜂王浆、蜂花粉等高附加值健康产品，打造集研发、生产、质检、仓储于一体的蜂产业示范基地。</w:t>
            </w:r>
          </w:p>
          <w:p w14:paraId="0F956576">
            <w:pPr>
              <w:overflowPunct w:val="0"/>
              <w:spacing w:line="360" w:lineRule="exact"/>
              <w:ind w:firstLine="402"/>
              <w:rPr>
                <w:rFonts w:ascii="Times New Roman" w:hAnsi="Times New Roman" w:cs="Times New Roman" w:eastAsiaTheme="minorEastAsia"/>
                <w:sz w:val="20"/>
                <w:szCs w:val="20"/>
              </w:rPr>
            </w:pPr>
            <w:r>
              <w:rPr>
                <w:rFonts w:ascii="Times New Roman" w:hAnsi="Times New Roman" w:cs="Times New Roman" w:eastAsiaTheme="minorEastAsia"/>
                <w:b/>
                <w:bCs/>
                <w:sz w:val="20"/>
                <w:szCs w:val="20"/>
              </w:rPr>
              <w:t>中药材现代提取与制剂工程：</w:t>
            </w:r>
            <w:r>
              <w:rPr>
                <w:rFonts w:ascii="Times New Roman" w:hAnsi="Times New Roman" w:cs="Times New Roman" w:eastAsiaTheme="minorEastAsia"/>
                <w:sz w:val="20"/>
                <w:szCs w:val="20"/>
              </w:rPr>
              <w:t>以大来药业为核心龙头，建设中药材现代萃取与制剂中心。配备智能化提取、分离、纯化及制剂生产线，重点开展道地药材的精深加工，生产中药饮片、标准化提取物、保健食品及现代中药制剂，推动中药材从原料向高端成品转化。</w:t>
            </w:r>
          </w:p>
          <w:p w14:paraId="716219C9">
            <w:pPr>
              <w:overflowPunct w:val="0"/>
              <w:spacing w:line="360" w:lineRule="exact"/>
              <w:ind w:firstLine="402"/>
              <w:rPr>
                <w:rFonts w:ascii="Times New Roman" w:hAnsi="Times New Roman" w:cs="Times New Roman"/>
                <w:sz w:val="20"/>
                <w:szCs w:val="20"/>
              </w:rPr>
            </w:pPr>
            <w:r>
              <w:rPr>
                <w:rFonts w:hint="eastAsia" w:ascii="Times New Roman" w:hAnsi="Times New Roman" w:cs="Times New Roman" w:eastAsiaTheme="minorEastAsia"/>
                <w:b/>
                <w:bCs/>
                <w:sz w:val="20"/>
                <w:szCs w:val="20"/>
              </w:rPr>
              <w:t>乡村振兴供应链产业工程</w:t>
            </w:r>
            <w:r>
              <w:rPr>
                <w:rFonts w:ascii="Times New Roman" w:hAnsi="Times New Roman" w:cs="Times New Roman" w:eastAsiaTheme="minorEastAsia"/>
                <w:b/>
                <w:bCs/>
                <w:sz w:val="20"/>
                <w:szCs w:val="20"/>
              </w:rPr>
              <w:t>：</w:t>
            </w:r>
            <w:r>
              <w:rPr>
                <w:rFonts w:ascii="Times New Roman" w:hAnsi="Times New Roman" w:cs="Times New Roman" w:eastAsiaTheme="minorEastAsia"/>
                <w:sz w:val="20"/>
                <w:szCs w:val="20"/>
              </w:rPr>
              <w:t>在重点县域布局建设集仓储物流、分级加工、集中交易于一体的现代化供应链枢纽，建设交易展示区、农副产品加工区、标准化冷库及配套物流设施，同步布局社区便利店网络，构建从产地初加工到社区零售的短链流通体系，提升农产品商品化处理能力与县域流通效率。</w:t>
            </w:r>
          </w:p>
          <w:p w14:paraId="5B841D84">
            <w:pPr>
              <w:overflowPunct w:val="0"/>
              <w:spacing w:line="360" w:lineRule="exact"/>
              <w:ind w:firstLine="402"/>
              <w:rPr>
                <w:rFonts w:ascii="Times New Roman" w:hAnsi="Times New Roman" w:eastAsia="方正仿宋_GB2312" w:cs="Times New Roman"/>
                <w:b/>
                <w:bCs/>
                <w:sz w:val="20"/>
                <w:szCs w:val="20"/>
              </w:rPr>
            </w:pPr>
            <w:r>
              <w:rPr>
                <w:rFonts w:ascii="Times New Roman" w:hAnsi="Times New Roman" w:cs="Times New Roman" w:eastAsiaTheme="minorEastAsia"/>
                <w:b/>
                <w:bCs/>
                <w:sz w:val="20"/>
                <w:szCs w:val="20"/>
              </w:rPr>
              <w:t>加工企业智能化升级工程：</w:t>
            </w:r>
            <w:r>
              <w:rPr>
                <w:rFonts w:ascii="Times New Roman" w:hAnsi="Times New Roman" w:cs="Times New Roman" w:eastAsiaTheme="minorEastAsia"/>
                <w:sz w:val="20"/>
                <w:szCs w:val="20"/>
              </w:rPr>
              <w:t>支持重点龙头企业实施生产线智能化改造，引进自动化生产线、智能控制系统，建设数字化车间，全面提升加工效率与产品品质。</w:t>
            </w:r>
          </w:p>
        </w:tc>
      </w:tr>
    </w:tbl>
    <w:p w14:paraId="595F4DC1">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构建“沁水”特色农产品品牌体系。</w:t>
      </w:r>
      <w:r>
        <w:rPr>
          <w:rFonts w:hint="eastAsia" w:ascii="仿宋_GB2312" w:hAnsi="仿宋_GB2312" w:cs="仿宋_GB2312"/>
          <w:szCs w:val="32"/>
        </w:rPr>
        <w:t>以“沁元素”区域公用品牌为统领，构建“统一标准、统一包装、统一营销”的品牌运营体系。实施品牌梯次培育，做大做强沁水</w:t>
      </w:r>
      <w:r>
        <w:rPr>
          <w:rFonts w:hint="eastAsia" w:ascii="仿宋_GB2312" w:hAnsi="仿宋_GB2312" w:cs="仿宋_GB2312"/>
          <w:szCs w:val="32"/>
          <w:lang w:eastAsia="zh-CN"/>
        </w:rPr>
        <w:t>黄</w:t>
      </w:r>
      <w:r>
        <w:rPr>
          <w:rFonts w:hint="eastAsia" w:ascii="仿宋_GB2312" w:hAnsi="仿宋_GB2312" w:cs="仿宋_GB2312"/>
          <w:szCs w:val="32"/>
        </w:rPr>
        <w:t>小米、沁水黑山羊、沁水黑木耳、沁水刺槐蜂蜜等地理标志产品，培育“沁水黄小米”“太行山三文鱼”“端氏酸枣”等区域特色品牌。健全品牌标准与追溯体系，制定全产业链质量标准，建设县级农产品质量安全溯源平台，推行“一品一码”。创新品牌营销推广，设立品牌发展基金，开展溯源直播、云端认养等数字化营销，布局线下体验渠道，拓展高端与国际市场。完善品牌授权与监管机制，提升品牌溢价能力和市场竞争力。</w:t>
      </w:r>
    </w:p>
    <w:p w14:paraId="3836DB6D">
      <w:pPr>
        <w:overflowPunct w:val="0"/>
        <w:spacing w:line="622" w:lineRule="exact"/>
        <w:ind w:firstLine="643"/>
        <w:rPr>
          <w:rStyle w:val="23"/>
          <w:rFonts w:hint="eastAsia" w:ascii="仿宋_GB2312" w:hAnsi="仿宋_GB2312" w:cs="仿宋_GB2312"/>
          <w:bCs/>
          <w:szCs w:val="32"/>
          <w:shd w:val="clear" w:color="auto" w:fill="FFFFFF"/>
        </w:rPr>
      </w:pPr>
      <w:r>
        <w:rPr>
          <w:rFonts w:hint="eastAsia" w:ascii="仿宋_GB2312" w:hAnsi="仿宋_GB2312" w:cs="仿宋_GB2312"/>
          <w:b/>
          <w:bCs/>
          <w:szCs w:val="32"/>
        </w:rPr>
        <w:t>积极培育乡村新业态新模式。</w:t>
      </w:r>
      <w:r>
        <w:rPr>
          <w:rFonts w:hint="eastAsia" w:ascii="仿宋_GB2312" w:hAnsi="仿宋_GB2312" w:cs="仿宋_GB2312"/>
          <w:szCs w:val="32"/>
        </w:rPr>
        <w:t>以业态创新驱动产业融合，着力构建“农业+”多元发展格局。实施精准农业提升工程，建设土壤—水肥—病虫—气象“一张图”，推广测土配方、变量施肥、精准灌溉、无人农机与遥感巡田。依托百里画廊、云湖牧歌、农耕故里、东方古堡四条示范廊带，打造实施天牧的羊主题亲子科普教育基地和新西兰风情主题轮换示范牧场、沁舜堂文旅中医康养、历山生态走廊药农旅产业康养融合等项目，发展研学旅行、生态康养、文化体验、创意农业等新型业态。加快农业农村数字化转型，壮大农村电商，培育专业化乡土电商人才，推广原蜜直播溯源、蜂场云认养等数字化营销模式。建设智慧农业示范基地，推进大数据、物联网、智能装备在生产经营管理全流程应用。培育绿色循环业态，在柿庄镇、端氏镇、郑村镇等重点乡镇规模发展林药、林菌、林禽等林下经济，推广“林—药—蜂”复合种养、“畜—肥—田”循环利用等生态模式，探索农光互补、农旅联动新路径，</w:t>
      </w:r>
      <w:r>
        <w:rPr>
          <w:rFonts w:hint="eastAsia" w:ascii="Times New Roman" w:hAnsi="Times New Roman" w:cs="Times New Roman"/>
          <w:szCs w:val="32"/>
        </w:rPr>
        <w:t>因地制宜发展坝下经济等新兴经济模式，打造</w:t>
      </w:r>
      <w:r>
        <w:rPr>
          <w:rFonts w:hint="eastAsia" w:ascii="仿宋_GB2312" w:hAnsi="仿宋_GB2312" w:cs="仿宋_GB2312"/>
          <w:szCs w:val="32"/>
        </w:rPr>
        <w:t>生态保护与经济发展良性互促格局。</w:t>
      </w:r>
    </w:p>
    <w:p w14:paraId="2B8CB72C">
      <w:pPr>
        <w:pStyle w:val="11"/>
        <w:overflowPunct w:val="0"/>
        <w:spacing w:after="156" w:afterLines="50" w:line="622" w:lineRule="exact"/>
        <w:ind w:left="0" w:leftChars="0" w:firstLine="0" w:firstLineChars="0"/>
        <w:jc w:val="center"/>
        <w:rPr>
          <w:rFonts w:ascii="黑体" w:hAnsi="黑体" w:eastAsia="黑体" w:cs="黑体"/>
          <w:szCs w:val="30"/>
        </w:rPr>
      </w:pPr>
      <w:r>
        <w:rPr>
          <w:rStyle w:val="23"/>
          <w:rFonts w:ascii="黑体" w:hAnsi="黑体" w:eastAsia="黑体" w:cs="黑体"/>
          <w:b w:val="0"/>
          <w:szCs w:val="30"/>
          <w:shd w:val="clear" w:color="auto" w:fill="FFFFFF"/>
        </w:rPr>
        <w:t>专栏18</w:t>
      </w:r>
      <w:r>
        <w:rPr>
          <w:rStyle w:val="23"/>
          <w:rFonts w:hint="eastAsia" w:ascii="黑体" w:hAnsi="黑体" w:eastAsia="黑体" w:cs="黑体"/>
          <w:b w:val="0"/>
          <w:szCs w:val="30"/>
          <w:shd w:val="clear" w:color="auto" w:fill="FFFFFF"/>
          <w:lang w:val="en-US" w:eastAsia="zh-CN"/>
        </w:rPr>
        <w:t xml:space="preserve">  </w:t>
      </w:r>
      <w:r>
        <w:rPr>
          <w:rStyle w:val="23"/>
          <w:rFonts w:ascii="黑体" w:hAnsi="黑体" w:eastAsia="黑体" w:cs="黑体"/>
          <w:b w:val="0"/>
          <w:szCs w:val="30"/>
          <w:shd w:val="clear" w:color="auto" w:fill="FFFFFF"/>
        </w:rPr>
        <w:t>乡村新业态培育工程</w:t>
      </w:r>
    </w:p>
    <w:tbl>
      <w:tblPr>
        <w:tblStyle w:val="21"/>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7"/>
      </w:tblGrid>
      <w:tr w14:paraId="7BE60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4" w:hRule="atLeast"/>
          <w:jc w:val="center"/>
        </w:trPr>
        <w:tc>
          <w:tcPr>
            <w:tcW w:w="5000" w:type="pct"/>
            <w:vAlign w:val="center"/>
          </w:tcPr>
          <w:p w14:paraId="505BCCE7">
            <w:pPr>
              <w:pStyle w:val="16"/>
              <w:overflowPunct w:val="0"/>
              <w:spacing w:beforeAutospacing="0" w:afterAutospacing="0" w:line="300" w:lineRule="exact"/>
              <w:ind w:firstLine="402"/>
              <w:jc w:val="both"/>
              <w:rPr>
                <w:rFonts w:hint="eastAsia" w:asciiTheme="majorEastAsia" w:hAnsiTheme="majorEastAsia" w:eastAsiaTheme="majorEastAsia" w:cstheme="majorEastAsia"/>
                <w:sz w:val="20"/>
                <w:szCs w:val="20"/>
              </w:rPr>
            </w:pPr>
            <w:r>
              <w:rPr>
                <w:rStyle w:val="23"/>
                <w:rFonts w:hint="eastAsia" w:asciiTheme="majorEastAsia" w:hAnsiTheme="majorEastAsia" w:eastAsiaTheme="majorEastAsia" w:cstheme="majorEastAsia"/>
                <w:bCs/>
                <w:sz w:val="20"/>
                <w:szCs w:val="20"/>
                <w:shd w:val="clear" w:color="auto" w:fill="FFFFFF"/>
              </w:rPr>
              <w:t>农文旅融合示范项目</w:t>
            </w:r>
            <w:r>
              <w:rPr>
                <w:rFonts w:hint="eastAsia" w:asciiTheme="majorEastAsia" w:hAnsiTheme="majorEastAsia" w:eastAsiaTheme="majorEastAsia" w:cstheme="majorEastAsia"/>
                <w:sz w:val="20"/>
                <w:szCs w:val="20"/>
                <w:shd w:val="clear" w:color="auto" w:fill="FFFFFF"/>
              </w:rPr>
              <w:t>：打造精品农旅线路，建设主题农旅融合示范区。</w:t>
            </w:r>
          </w:p>
          <w:p w14:paraId="6CD0A36A">
            <w:pPr>
              <w:pStyle w:val="16"/>
              <w:overflowPunct w:val="0"/>
              <w:spacing w:beforeAutospacing="0" w:afterAutospacing="0" w:line="300" w:lineRule="exact"/>
              <w:ind w:firstLine="402"/>
              <w:jc w:val="both"/>
              <w:rPr>
                <w:rFonts w:hint="eastAsia" w:asciiTheme="majorEastAsia" w:hAnsiTheme="majorEastAsia" w:eastAsiaTheme="majorEastAsia" w:cstheme="majorEastAsia"/>
                <w:sz w:val="20"/>
                <w:szCs w:val="20"/>
                <w:shd w:val="clear" w:color="auto" w:fill="FFFFFF"/>
              </w:rPr>
            </w:pPr>
            <w:r>
              <w:rPr>
                <w:rStyle w:val="23"/>
                <w:rFonts w:hint="eastAsia" w:asciiTheme="majorEastAsia" w:hAnsiTheme="majorEastAsia" w:eastAsiaTheme="majorEastAsia" w:cstheme="majorEastAsia"/>
                <w:bCs/>
                <w:sz w:val="20"/>
                <w:szCs w:val="20"/>
                <w:shd w:val="clear" w:color="auto" w:fill="FFFFFF"/>
              </w:rPr>
              <w:t>智慧农业提升工程</w:t>
            </w:r>
            <w:r>
              <w:rPr>
                <w:rFonts w:hint="eastAsia" w:asciiTheme="majorEastAsia" w:hAnsiTheme="majorEastAsia" w:eastAsiaTheme="majorEastAsia" w:cstheme="majorEastAsia"/>
                <w:sz w:val="20"/>
                <w:szCs w:val="20"/>
                <w:shd w:val="clear" w:color="auto" w:fill="FFFFFF"/>
              </w:rPr>
              <w:t>：建设蜂业物联网系统（实时监测蜂群）、山羊电子耳标溯源、药材GAP种植云平台，建设智慧农业示范基地。培育乡土电商人才。</w:t>
            </w:r>
          </w:p>
          <w:p w14:paraId="1B1A101F">
            <w:pPr>
              <w:pStyle w:val="16"/>
              <w:overflowPunct w:val="0"/>
              <w:spacing w:beforeAutospacing="0" w:afterAutospacing="0" w:line="300" w:lineRule="exact"/>
              <w:ind w:firstLine="402"/>
              <w:jc w:val="both"/>
              <w:rPr>
                <w:rFonts w:hint="eastAsia" w:asciiTheme="majorEastAsia" w:hAnsiTheme="majorEastAsia" w:eastAsiaTheme="majorEastAsia" w:cstheme="majorEastAsia"/>
                <w:sz w:val="20"/>
                <w:szCs w:val="20"/>
                <w:shd w:val="clear" w:color="auto" w:fill="FFFFFF"/>
              </w:rPr>
            </w:pPr>
            <w:r>
              <w:rPr>
                <w:rStyle w:val="23"/>
                <w:rFonts w:hint="eastAsia" w:asciiTheme="majorEastAsia" w:hAnsiTheme="majorEastAsia" w:eastAsiaTheme="majorEastAsia" w:cstheme="majorEastAsia"/>
                <w:bCs/>
                <w:sz w:val="20"/>
                <w:szCs w:val="20"/>
                <w:shd w:val="clear" w:color="auto" w:fill="FFFFFF"/>
              </w:rPr>
              <w:t>林下经济培育工程</w:t>
            </w:r>
            <w:r>
              <w:rPr>
                <w:rFonts w:hint="eastAsia" w:asciiTheme="majorEastAsia" w:hAnsiTheme="majorEastAsia" w:eastAsiaTheme="majorEastAsia" w:cstheme="majorEastAsia"/>
                <w:sz w:val="20"/>
                <w:szCs w:val="20"/>
                <w:shd w:val="clear" w:color="auto" w:fill="FFFFFF"/>
              </w:rPr>
              <w:t>：在柿庄、端氏、郑村等乡镇建设林下经济示范基地3个，发展林－药</w:t>
            </w:r>
            <w:r>
              <w:rPr>
                <w:rFonts w:hint="eastAsia" w:ascii="仿宋_GB2312" w:hAnsi="仿宋_GB2312" w:eastAsiaTheme="majorEastAsia" w:cstheme="majorEastAsia"/>
                <w:sz w:val="20"/>
                <w:szCs w:val="20"/>
                <w:shd w:val="clear" w:color="auto" w:fill="FFFFFF"/>
              </w:rPr>
              <w:t>—</w:t>
            </w:r>
            <w:r>
              <w:rPr>
                <w:rFonts w:hint="eastAsia" w:asciiTheme="majorEastAsia" w:hAnsiTheme="majorEastAsia" w:eastAsiaTheme="majorEastAsia" w:cstheme="majorEastAsia"/>
                <w:sz w:val="20"/>
                <w:szCs w:val="20"/>
                <w:shd w:val="clear" w:color="auto" w:fill="FFFFFF"/>
              </w:rPr>
              <w:t>蜂复合种养、畜－肥－田循环链、菌－菜－粮轮作制等复合模式。</w:t>
            </w:r>
          </w:p>
          <w:p w14:paraId="51E93D6B">
            <w:pPr>
              <w:pStyle w:val="16"/>
              <w:overflowPunct w:val="0"/>
              <w:spacing w:beforeAutospacing="0" w:afterAutospacing="0" w:line="300" w:lineRule="exact"/>
              <w:ind w:firstLine="402"/>
              <w:jc w:val="both"/>
              <w:rPr>
                <w:rFonts w:hint="eastAsia" w:asciiTheme="majorEastAsia" w:hAnsiTheme="majorEastAsia" w:eastAsiaTheme="majorEastAsia" w:cstheme="majorEastAsia"/>
                <w:b/>
                <w:bCs/>
                <w:sz w:val="20"/>
                <w:szCs w:val="20"/>
              </w:rPr>
            </w:pPr>
            <w:r>
              <w:rPr>
                <w:rStyle w:val="23"/>
                <w:rFonts w:hint="eastAsia" w:asciiTheme="majorEastAsia" w:hAnsiTheme="majorEastAsia" w:eastAsiaTheme="majorEastAsia" w:cstheme="majorEastAsia"/>
                <w:bCs/>
                <w:sz w:val="20"/>
                <w:szCs w:val="20"/>
                <w:shd w:val="clear" w:color="auto" w:fill="FFFFFF"/>
              </w:rPr>
              <w:t>森林康养拓展工程</w:t>
            </w:r>
            <w:r>
              <w:rPr>
                <w:rFonts w:hint="eastAsia" w:asciiTheme="majorEastAsia" w:hAnsiTheme="majorEastAsia" w:eastAsiaTheme="majorEastAsia" w:cstheme="majorEastAsia"/>
                <w:sz w:val="20"/>
                <w:szCs w:val="20"/>
                <w:shd w:val="clear" w:color="auto" w:fill="FFFFFF"/>
              </w:rPr>
              <w:t>：打造古堡蜜语农旅线路（蜂蜜）、牧羊文化体验带（黑山羊）、百里药谷康养廊道（中药材），持续提升现有的森林康养基地的建设质量。</w:t>
            </w:r>
          </w:p>
        </w:tc>
      </w:tr>
    </w:tbl>
    <w:p w14:paraId="42E63C17">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壮大新型农业经营主体与服务主体。</w:t>
      </w:r>
      <w:r>
        <w:rPr>
          <w:rFonts w:hint="eastAsia" w:ascii="仿宋_GB2312" w:hAnsi="仿宋_GB2312" w:cs="仿宋_GB2312"/>
          <w:szCs w:val="32"/>
        </w:rPr>
        <w:t>以龙头企业培育为引领，支持中电农创、圣康蜂业等骨干企业提质增效，推动其牵头组建农业产业联合体，带动家庭农场、专业大户等经营主体协同发展。支持供销合作社发挥骨干作用，培育一批农业社会化服务骨干企业，建设一批综合性为农服务中心，升级改造一批基层社样板，领办创办一批服务型农民专业合作社，重点提升土地托管、农资直供、智能配肥、统防统治等专业化服务能力，大力推广“全程托管、环节托管”服务方式。健全县、乡、村三级为农服务网络，推动服务范围由产中向产前、产后全链条延伸，构建集生产、加工、销售、流通于一体的综合性服务体系。强化设施装备支撑，加强产地烘干仓储、先进农机装备、冷链保鲜设施及测土配方中心的建设与配套。到2030年，农业社会化服务面积达到30万亩次，全面提升农业社会化服务的专业化、集约化和现代化水平。</w:t>
      </w:r>
    </w:p>
    <w:p w14:paraId="159C2755">
      <w:pPr>
        <w:overflowPunct w:val="0"/>
        <w:spacing w:line="622" w:lineRule="exact"/>
        <w:ind w:firstLine="640"/>
        <w:rPr>
          <w:rFonts w:hint="eastAsia" w:ascii="仿宋_GB2312" w:hAnsi="仿宋_GB2312" w:cs="仿宋_GB2312"/>
        </w:rPr>
      </w:pPr>
      <w:bookmarkStart w:id="96" w:name="_Toc5403"/>
      <w:bookmarkStart w:id="97" w:name="_Toc1609"/>
    </w:p>
    <w:p w14:paraId="229DADB7">
      <w:pPr>
        <w:overflowPunct w:val="0"/>
        <w:spacing w:line="622" w:lineRule="exact"/>
        <w:ind w:firstLine="0" w:firstLineChars="0"/>
        <w:jc w:val="center"/>
        <w:outlineLvl w:val="1"/>
        <w:rPr>
          <w:rFonts w:hint="eastAsia" w:ascii="楷体_GB2312" w:hAnsi="楷体_GB2312" w:eastAsia="楷体_GB2312" w:cs="楷体_GB2312"/>
          <w:bCs/>
        </w:rPr>
      </w:pPr>
      <w:bookmarkStart w:id="98" w:name="_Toc18045"/>
      <w:r>
        <w:rPr>
          <w:rFonts w:hint="eastAsia" w:ascii="楷体_GB2312" w:hAnsi="楷体_GB2312" w:eastAsia="楷体_GB2312" w:cs="楷体_GB2312"/>
          <w:bCs/>
        </w:rPr>
        <w:t>第三节  打造和美乡村建设典范</w:t>
      </w:r>
      <w:bookmarkEnd w:id="96"/>
      <w:bookmarkEnd w:id="97"/>
      <w:bookmarkEnd w:id="98"/>
    </w:p>
    <w:p w14:paraId="161E040C">
      <w:pPr>
        <w:overflowPunct w:val="0"/>
        <w:spacing w:line="622" w:lineRule="exact"/>
        <w:ind w:firstLine="640"/>
        <w:rPr>
          <w:rFonts w:hint="eastAsia" w:ascii="仿宋_GB2312" w:hAnsi="仿宋_GB2312" w:cs="仿宋_GB2312"/>
          <w:szCs w:val="32"/>
        </w:rPr>
      </w:pPr>
    </w:p>
    <w:p w14:paraId="188E0D8A">
      <w:pPr>
        <w:overflowPunct w:val="0"/>
        <w:spacing w:line="622" w:lineRule="exact"/>
        <w:ind w:firstLine="640"/>
        <w:rPr>
          <w:rFonts w:hint="eastAsia" w:ascii="仿宋_GB2312" w:hAnsi="仿宋_GB2312" w:cs="仿宋_GB2312"/>
          <w:spacing w:val="6"/>
          <w:szCs w:val="32"/>
        </w:rPr>
      </w:pPr>
      <w:r>
        <w:rPr>
          <w:rFonts w:hint="eastAsia" w:ascii="仿宋_GB2312" w:hAnsi="仿宋_GB2312" w:cs="仿宋_GB2312"/>
          <w:szCs w:val="32"/>
        </w:rPr>
        <w:t>围</w:t>
      </w:r>
      <w:r>
        <w:rPr>
          <w:rFonts w:hint="eastAsia" w:ascii="仿宋_GB2312" w:hAnsi="仿宋_GB2312" w:cs="仿宋_GB2312"/>
          <w:spacing w:val="6"/>
          <w:szCs w:val="32"/>
        </w:rPr>
        <w:t>绕全县乡村振兴工作“一城两带四区四廊，百村千庄共富共美”整体布局，深入学习运用“千万工程”经验，以乡村规划为统领，扎实推进“六统一</w:t>
      </w:r>
      <w:r>
        <w:rPr>
          <w:rFonts w:hint="eastAsia" w:ascii="仿宋_GB2312" w:hAnsi="仿宋_GB2312" w:cs="仿宋_GB2312"/>
          <w:spacing w:val="6"/>
          <w:szCs w:val="32"/>
          <w:lang w:eastAsia="zh-CN"/>
        </w:rPr>
        <w:t>、</w:t>
      </w:r>
      <w:r>
        <w:rPr>
          <w:rFonts w:hint="eastAsia" w:ascii="仿宋_GB2312" w:hAnsi="仿宋_GB2312" w:cs="仿宋_GB2312"/>
          <w:spacing w:val="6"/>
          <w:szCs w:val="32"/>
        </w:rPr>
        <w:t>六提质”三年行动，不断提高农村基础设施完备度、公共服务便利度、人居环境舒适度，使农村基本具备现代生活条件，全力打造具有沁水特色的和美乡村建设典范。</w:t>
      </w:r>
    </w:p>
    <w:p w14:paraId="1CAA1E0F">
      <w:pPr>
        <w:overflowPunct w:val="0"/>
        <w:spacing w:line="622" w:lineRule="exact"/>
        <w:ind w:firstLine="643"/>
        <w:rPr>
          <w:rFonts w:hint="eastAsia" w:ascii="仿宋_GB2312" w:hAnsi="仿宋_GB2312" w:cs="仿宋_GB2312"/>
          <w:spacing w:val="6"/>
          <w:szCs w:val="32"/>
        </w:rPr>
      </w:pPr>
      <w:r>
        <w:rPr>
          <w:rFonts w:hint="eastAsia" w:ascii="仿宋_GB2312" w:hAnsi="仿宋_GB2312" w:cs="仿宋_GB2312"/>
          <w:b/>
          <w:bCs/>
          <w:szCs w:val="32"/>
        </w:rPr>
        <w:t>有</w:t>
      </w:r>
      <w:r>
        <w:rPr>
          <w:rFonts w:hint="eastAsia" w:ascii="仿宋_GB2312" w:hAnsi="仿宋_GB2312" w:cs="仿宋_GB2312"/>
          <w:b/>
          <w:bCs/>
          <w:spacing w:val="6"/>
          <w:szCs w:val="32"/>
        </w:rPr>
        <w:t>序推进乡村规划编制实施。</w:t>
      </w:r>
      <w:r>
        <w:rPr>
          <w:rFonts w:hint="eastAsia" w:ascii="仿宋_GB2312" w:hAnsi="仿宋_GB2312" w:cs="仿宋_GB2312"/>
          <w:spacing w:val="6"/>
          <w:szCs w:val="32"/>
        </w:rPr>
        <w:t>坚持分类指导、梯次推进，按照“多规合一”实用性要求，优先完成“千万工程”示范村、中心村等规划编制，有序推进一般村庄规划编制，到2030年，实现全县182个建制村规划全覆盖。强化国土空间规划的战略引领，科学划定村庄建设边界，严格守护生态保护红线和永久基本农田，优化乡村发展空间格局。围绕太行一号主干道与百里沁河干流两条发展主轴，统筹布局人口集聚与产业引擎功能。同步推进中村</w:t>
      </w:r>
      <w:r>
        <w:rPr>
          <w:rFonts w:hint="eastAsia" w:ascii="仿宋_GB2312" w:hAnsi="仿宋_GB2312" w:cs="仿宋_GB2312"/>
          <w:szCs w:val="32"/>
        </w:rPr>
        <w:t>—</w:t>
      </w:r>
      <w:r>
        <w:rPr>
          <w:rFonts w:hint="eastAsia" w:ascii="仿宋_GB2312" w:hAnsi="仿宋_GB2312" w:cs="仿宋_GB2312"/>
          <w:spacing w:val="6"/>
          <w:szCs w:val="32"/>
        </w:rPr>
        <w:t>土沃</w:t>
      </w:r>
      <w:r>
        <w:rPr>
          <w:rFonts w:hint="eastAsia" w:ascii="仿宋_GB2312" w:hAnsi="仿宋_GB2312" w:cs="仿宋_GB2312"/>
          <w:szCs w:val="32"/>
        </w:rPr>
        <w:t>—</w:t>
      </w:r>
      <w:r>
        <w:rPr>
          <w:rFonts w:hint="eastAsia" w:ascii="仿宋_GB2312" w:hAnsi="仿宋_GB2312" w:cs="仿宋_GB2312"/>
          <w:spacing w:val="6"/>
          <w:szCs w:val="32"/>
        </w:rPr>
        <w:t>张村西部文旅康养片区、龙港</w:t>
      </w:r>
      <w:r>
        <w:rPr>
          <w:rFonts w:hint="eastAsia" w:ascii="仿宋_GB2312" w:hAnsi="仿宋_GB2312" w:cs="仿宋_GB2312"/>
          <w:szCs w:val="32"/>
        </w:rPr>
        <w:t>—</w:t>
      </w:r>
      <w:r>
        <w:rPr>
          <w:rFonts w:hint="eastAsia" w:ascii="仿宋_GB2312" w:hAnsi="仿宋_GB2312" w:cs="仿宋_GB2312"/>
          <w:spacing w:val="6"/>
          <w:szCs w:val="32"/>
        </w:rPr>
        <w:t>郑庄中部特优农业片区、固县—柿庄—十里东北部传统农业片区、端氏—嘉峰—郑村—胡底南部沁河古堡片区四大功能板块的差异化发展，前瞻预留特色产业发展空间，精准布设农文旅融合关键节点。</w:t>
      </w:r>
    </w:p>
    <w:p w14:paraId="454FDE65">
      <w:pPr>
        <w:pStyle w:val="11"/>
        <w:overflowPunct w:val="0"/>
        <w:spacing w:after="156" w:afterLines="50" w:line="622" w:lineRule="exact"/>
        <w:ind w:left="0" w:leftChars="0" w:firstLine="0" w:firstLineChars="0"/>
        <w:jc w:val="center"/>
        <w:rPr>
          <w:rFonts w:ascii="黑体" w:hAnsi="黑体" w:eastAsia="黑体" w:cs="黑体"/>
          <w:kern w:val="0"/>
          <w:szCs w:val="30"/>
        </w:rPr>
      </w:pPr>
      <w:r>
        <w:rPr>
          <w:rStyle w:val="23"/>
          <w:rFonts w:ascii="黑体" w:hAnsi="黑体" w:eastAsia="黑体" w:cs="黑体"/>
          <w:b w:val="0"/>
          <w:szCs w:val="30"/>
          <w:shd w:val="clear" w:color="auto" w:fill="FFFFFF"/>
        </w:rPr>
        <w:t>专栏19</w:t>
      </w:r>
      <w:r>
        <w:rPr>
          <w:rStyle w:val="23"/>
          <w:rFonts w:hint="eastAsia" w:ascii="黑体" w:hAnsi="黑体" w:eastAsia="黑体" w:cs="黑体"/>
          <w:b w:val="0"/>
          <w:szCs w:val="30"/>
          <w:shd w:val="clear" w:color="auto" w:fill="FFFFFF"/>
          <w:lang w:val="en-US" w:eastAsia="zh-CN"/>
        </w:rPr>
        <w:t xml:space="preserve">  </w:t>
      </w:r>
      <w:r>
        <w:rPr>
          <w:rFonts w:ascii="黑体" w:hAnsi="黑体" w:eastAsia="黑体" w:cs="黑体"/>
          <w:kern w:val="0"/>
          <w:szCs w:val="30"/>
        </w:rPr>
        <w:t>“两轴四片”发展重点工程</w:t>
      </w:r>
    </w:p>
    <w:tbl>
      <w:tblPr>
        <w:tblStyle w:val="21"/>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7"/>
      </w:tblGrid>
      <w:tr w14:paraId="6ED4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0" w:hRule="atLeast"/>
          <w:jc w:val="center"/>
        </w:trPr>
        <w:tc>
          <w:tcPr>
            <w:tcW w:w="8948" w:type="dxa"/>
            <w:vAlign w:val="center"/>
          </w:tcPr>
          <w:p w14:paraId="2413A455">
            <w:pPr>
              <w:spacing w:line="360" w:lineRule="exact"/>
              <w:ind w:firstLine="394"/>
              <w:rPr>
                <w:rStyle w:val="23"/>
                <w:rFonts w:hint="eastAsia" w:asciiTheme="minorEastAsia" w:hAnsiTheme="minorEastAsia" w:eastAsiaTheme="minorEastAsia" w:cstheme="minorEastAsia"/>
                <w:b w:val="0"/>
                <w:spacing w:val="-2"/>
                <w:sz w:val="20"/>
                <w:szCs w:val="20"/>
                <w:shd w:val="clear" w:color="auto" w:fill="FFFFFF"/>
              </w:rPr>
            </w:pPr>
            <w:r>
              <w:rPr>
                <w:rStyle w:val="23"/>
                <w:rFonts w:hint="eastAsia" w:asciiTheme="minorEastAsia" w:hAnsiTheme="minorEastAsia" w:eastAsiaTheme="minorEastAsia" w:cstheme="minorEastAsia"/>
                <w:bCs/>
                <w:spacing w:val="-2"/>
                <w:sz w:val="20"/>
                <w:szCs w:val="20"/>
                <w:shd w:val="clear" w:color="auto" w:fill="FFFFFF"/>
              </w:rPr>
              <w:t>水系构建与供水保障工程</w:t>
            </w:r>
            <w:r>
              <w:rPr>
                <w:rStyle w:val="23"/>
                <w:rFonts w:hint="eastAsia" w:asciiTheme="minorEastAsia" w:hAnsiTheme="minorEastAsia" w:eastAsiaTheme="minorEastAsia" w:cstheme="minorEastAsia"/>
                <w:b w:val="0"/>
                <w:spacing w:val="-2"/>
                <w:sz w:val="20"/>
                <w:szCs w:val="20"/>
                <w:shd w:val="clear" w:color="auto" w:fill="FFFFFF"/>
              </w:rPr>
              <w:t>：水系构建与供水保障工程：以河为脉，构建“一主十副多点”县域水网。主干以云首水库、固县河截潜流和新建水库为水源，实施东部三镇一区规模化供水工程；支线推进以新建水库、截潜流工程和机井等为水源的10项规模化供水工程；对未覆盖区域，实施小型工程规范化补强与统一管养，实现农村供水保障全覆盖。</w:t>
            </w:r>
          </w:p>
          <w:p w14:paraId="209409FA">
            <w:pPr>
              <w:spacing w:line="360" w:lineRule="exact"/>
              <w:ind w:firstLine="394"/>
              <w:rPr>
                <w:rStyle w:val="23"/>
                <w:rFonts w:hint="eastAsia" w:asciiTheme="minorEastAsia" w:hAnsiTheme="minorEastAsia" w:eastAsiaTheme="minorEastAsia" w:cstheme="minorEastAsia"/>
                <w:b w:val="0"/>
                <w:spacing w:val="-2"/>
                <w:sz w:val="20"/>
                <w:szCs w:val="20"/>
                <w:shd w:val="clear" w:color="auto" w:fill="FFFFFF"/>
              </w:rPr>
            </w:pPr>
            <w:r>
              <w:rPr>
                <w:rStyle w:val="23"/>
                <w:rFonts w:hint="eastAsia" w:asciiTheme="minorEastAsia" w:hAnsiTheme="minorEastAsia" w:eastAsiaTheme="minorEastAsia" w:cstheme="minorEastAsia"/>
                <w:bCs/>
                <w:spacing w:val="-2"/>
                <w:sz w:val="20"/>
                <w:szCs w:val="20"/>
                <w:shd w:val="clear" w:color="auto" w:fill="FFFFFF"/>
              </w:rPr>
              <w:t>路网畅通与连接提升工程</w:t>
            </w:r>
            <w:r>
              <w:rPr>
                <w:rStyle w:val="23"/>
                <w:rFonts w:hint="eastAsia" w:asciiTheme="minorEastAsia" w:hAnsiTheme="minorEastAsia" w:eastAsiaTheme="minorEastAsia" w:cstheme="minorEastAsia"/>
                <w:b w:val="0"/>
                <w:spacing w:val="-2"/>
                <w:sz w:val="20"/>
                <w:szCs w:val="20"/>
                <w:shd w:val="clear" w:color="auto" w:fill="FFFFFF"/>
              </w:rPr>
              <w:t>：紧扣“路”轴，实施骨干路网提档升级。打通主动脉，推进国省干线（S366、G342）关键段改建；畅通内循环，加快郑庄</w:t>
            </w:r>
            <w:r>
              <w:rPr>
                <w:rStyle w:val="23"/>
                <w:rFonts w:hint="eastAsia" w:ascii="仿宋_GB2312" w:hAnsi="仿宋_GB2312" w:eastAsiaTheme="minorEastAsia" w:cstheme="minorEastAsia"/>
                <w:b w:val="0"/>
                <w:spacing w:val="-2"/>
                <w:sz w:val="20"/>
                <w:szCs w:val="20"/>
                <w:shd w:val="clear" w:color="auto" w:fill="FFFFFF"/>
              </w:rPr>
              <w:t>—</w:t>
            </w:r>
            <w:r>
              <w:rPr>
                <w:rStyle w:val="23"/>
                <w:rFonts w:hint="eastAsia" w:asciiTheme="minorEastAsia" w:hAnsiTheme="minorEastAsia" w:eastAsiaTheme="minorEastAsia" w:cstheme="minorEastAsia"/>
                <w:b w:val="0"/>
                <w:spacing w:val="-2"/>
                <w:sz w:val="20"/>
                <w:szCs w:val="20"/>
                <w:shd w:val="clear" w:color="auto" w:fill="FFFFFF"/>
              </w:rPr>
              <w:t>十里、胡底</w:t>
            </w:r>
            <w:r>
              <w:rPr>
                <w:rStyle w:val="23"/>
                <w:rFonts w:hint="eastAsia" w:ascii="仿宋_GB2312" w:hAnsi="仿宋_GB2312" w:eastAsiaTheme="minorEastAsia" w:cstheme="minorEastAsia"/>
                <w:b w:val="0"/>
                <w:spacing w:val="-2"/>
                <w:sz w:val="20"/>
                <w:szCs w:val="20"/>
                <w:shd w:val="clear" w:color="auto" w:fill="FFFFFF"/>
              </w:rPr>
              <w:t>—</w:t>
            </w:r>
            <w:r>
              <w:rPr>
                <w:rStyle w:val="23"/>
                <w:rFonts w:hint="eastAsia" w:asciiTheme="minorEastAsia" w:hAnsiTheme="minorEastAsia" w:eastAsiaTheme="minorEastAsia" w:cstheme="minorEastAsia"/>
                <w:b w:val="0"/>
                <w:spacing w:val="-2"/>
                <w:sz w:val="20"/>
                <w:szCs w:val="20"/>
                <w:shd w:val="clear" w:color="auto" w:fill="FFFFFF"/>
              </w:rPr>
              <w:t>郑村等十条县域内关键连接线建设；拓宽外联道，改造十里</w:t>
            </w:r>
            <w:r>
              <w:rPr>
                <w:rStyle w:val="23"/>
                <w:rFonts w:hint="eastAsia" w:ascii="仿宋_GB2312" w:hAnsi="仿宋_GB2312" w:eastAsiaTheme="minorEastAsia" w:cstheme="minorEastAsia"/>
                <w:b w:val="0"/>
                <w:spacing w:val="-2"/>
                <w:sz w:val="20"/>
                <w:szCs w:val="20"/>
                <w:shd w:val="clear" w:color="auto" w:fill="FFFFFF"/>
              </w:rPr>
              <w:t>—</w:t>
            </w:r>
            <w:r>
              <w:rPr>
                <w:rStyle w:val="23"/>
                <w:rFonts w:hint="eastAsia" w:asciiTheme="minorEastAsia" w:hAnsiTheme="minorEastAsia" w:eastAsiaTheme="minorEastAsia" w:cstheme="minorEastAsia"/>
                <w:b w:val="0"/>
                <w:spacing w:val="-2"/>
                <w:sz w:val="20"/>
                <w:szCs w:val="20"/>
                <w:shd w:val="clear" w:color="auto" w:fill="FFFFFF"/>
              </w:rPr>
              <w:t>长子界、柿庄</w:t>
            </w:r>
            <w:r>
              <w:rPr>
                <w:rStyle w:val="23"/>
                <w:rFonts w:hint="eastAsia" w:ascii="仿宋_GB2312" w:hAnsi="仿宋_GB2312" w:eastAsiaTheme="minorEastAsia" w:cstheme="minorEastAsia"/>
                <w:b w:val="0"/>
                <w:spacing w:val="-2"/>
                <w:sz w:val="20"/>
                <w:szCs w:val="20"/>
                <w:shd w:val="clear" w:color="auto" w:fill="FFFFFF"/>
              </w:rPr>
              <w:t>—</w:t>
            </w:r>
            <w:r>
              <w:rPr>
                <w:rStyle w:val="23"/>
                <w:rFonts w:hint="eastAsia" w:asciiTheme="minorEastAsia" w:hAnsiTheme="minorEastAsia" w:eastAsiaTheme="minorEastAsia" w:cstheme="minorEastAsia"/>
                <w:b w:val="0"/>
                <w:spacing w:val="-2"/>
                <w:sz w:val="20"/>
                <w:szCs w:val="20"/>
                <w:shd w:val="clear" w:color="auto" w:fill="FFFFFF"/>
              </w:rPr>
              <w:t>长子界等五条重要出县通道，全面构建外联内畅的综合交通网络。</w:t>
            </w:r>
          </w:p>
          <w:p w14:paraId="6A4F7F07">
            <w:pPr>
              <w:spacing w:line="360" w:lineRule="exact"/>
              <w:ind w:firstLine="394"/>
              <w:rPr>
                <w:rStyle w:val="23"/>
                <w:rFonts w:hint="eastAsia" w:asciiTheme="minorEastAsia" w:hAnsiTheme="minorEastAsia" w:eastAsiaTheme="minorEastAsia" w:cstheme="minorEastAsia"/>
                <w:b w:val="0"/>
                <w:spacing w:val="-2"/>
                <w:sz w:val="20"/>
                <w:szCs w:val="20"/>
                <w:shd w:val="clear" w:color="auto" w:fill="FFFFFF"/>
              </w:rPr>
            </w:pPr>
            <w:r>
              <w:rPr>
                <w:rStyle w:val="23"/>
                <w:rFonts w:hint="eastAsia" w:asciiTheme="minorEastAsia" w:hAnsiTheme="minorEastAsia" w:eastAsiaTheme="minorEastAsia" w:cstheme="minorEastAsia"/>
                <w:bCs/>
                <w:spacing w:val="-2"/>
                <w:sz w:val="20"/>
                <w:szCs w:val="20"/>
                <w:shd w:val="clear" w:color="auto" w:fill="FFFFFF"/>
              </w:rPr>
              <w:t>人口集聚与布局优化工程</w:t>
            </w:r>
            <w:r>
              <w:rPr>
                <w:rStyle w:val="23"/>
                <w:rFonts w:hint="eastAsia" w:asciiTheme="minorEastAsia" w:hAnsiTheme="minorEastAsia" w:eastAsiaTheme="minorEastAsia" w:cstheme="minorEastAsia"/>
                <w:b w:val="0"/>
                <w:spacing w:val="-2"/>
                <w:sz w:val="20"/>
                <w:szCs w:val="20"/>
                <w:shd w:val="clear" w:color="auto" w:fill="FFFFFF"/>
              </w:rPr>
              <w:t>：有序引导人口与要素向“两轴”集聚。集中实施压煤村、凋敝村及地灾影响村的整村搬迁，建设柿元、王山、湘峪等移民安置项目。加快推进端氏、嘉峰等中心集镇的“村改居”进程，强化公共服务配套，显著提升中心区域的人口承载力与综合服务能级。</w:t>
            </w:r>
          </w:p>
          <w:p w14:paraId="06C92D20">
            <w:pPr>
              <w:spacing w:line="360" w:lineRule="exact"/>
              <w:ind w:firstLine="394"/>
              <w:rPr>
                <w:sz w:val="20"/>
                <w:szCs w:val="20"/>
              </w:rPr>
            </w:pPr>
            <w:r>
              <w:rPr>
                <w:rStyle w:val="23"/>
                <w:rFonts w:hint="eastAsia" w:asciiTheme="minorEastAsia" w:hAnsiTheme="minorEastAsia" w:eastAsiaTheme="minorEastAsia" w:cstheme="minorEastAsia"/>
                <w:bCs/>
                <w:spacing w:val="-2"/>
                <w:sz w:val="20"/>
                <w:szCs w:val="20"/>
                <w:shd w:val="clear" w:color="auto" w:fill="FFFFFF"/>
              </w:rPr>
              <w:t>“景业融合”发展工程：</w:t>
            </w:r>
            <w:r>
              <w:rPr>
                <w:rStyle w:val="23"/>
                <w:rFonts w:hint="eastAsia" w:asciiTheme="minorEastAsia" w:hAnsiTheme="minorEastAsia" w:eastAsiaTheme="minorEastAsia" w:cstheme="minorEastAsia"/>
                <w:b w:val="0"/>
                <w:spacing w:val="-2"/>
                <w:sz w:val="20"/>
                <w:szCs w:val="20"/>
                <w:shd w:val="clear" w:color="auto" w:fill="FFFFFF"/>
              </w:rPr>
              <w:t>西部片区依托历山、太行洪谷、柳氏民居等核心资源，重点实施云境高山度假村、沃泉童年小镇、特色民宿与康养村等项目，打造集中连片的文旅康养目的地。中部片区围绕百里沁河、示范牧场、张峰水库等田园山水，推进百里画廊、苹果基地、红色旅游等项目建设，促进农业景观化与旅游生态化深度融合。南部片区以沁河古堡群为核心载体，通过风貌提升、文化天街、避暑山庄及小流域治理等项目，推动文化遗产保护与亲水生态休闲相结合。东北部片区在固县、柿庄、十里等重点村，规模化发展生姜、酥梨、紫苏、连翘等特色产业，建设产业特色村，促进现代农业与和美乡村建设一体发展。</w:t>
            </w:r>
          </w:p>
        </w:tc>
      </w:tr>
    </w:tbl>
    <w:p w14:paraId="78EB92AA">
      <w:pPr>
        <w:overflowPunct w:val="0"/>
        <w:spacing w:line="622" w:lineRule="exact"/>
        <w:ind w:firstLine="618"/>
        <w:rPr>
          <w:rFonts w:ascii="Times New Roman" w:hAnsi="Times New Roman" w:cs="Times New Roman"/>
          <w:spacing w:val="-6"/>
          <w:szCs w:val="32"/>
        </w:rPr>
      </w:pPr>
      <w:r>
        <w:rPr>
          <w:rFonts w:ascii="Times New Roman" w:hAnsi="Times New Roman" w:cs="Times New Roman"/>
          <w:b/>
          <w:bCs/>
          <w:spacing w:val="-6"/>
          <w:szCs w:val="32"/>
        </w:rPr>
        <w:t>实施农村人居环境整治提升行动。</w:t>
      </w:r>
      <w:r>
        <w:rPr>
          <w:rFonts w:ascii="Times New Roman" w:hAnsi="Times New Roman" w:cs="Times New Roman"/>
          <w:spacing w:val="-6"/>
          <w:szCs w:val="32"/>
        </w:rPr>
        <w:t>分区分类推进农村生活污水治理，优先治理人口集聚区和水源保护地，推广低成本、易维护的污水处理技术。健全生活垃圾收运处置体系，推动源头分类减量与资源化利用。扎实推进厕所革命与垃圾治理，分类推进农村户厕改造与粪污资源化利用。持续开展村庄清洁行动，整治乱搭乱建、乱堆乱放，推进村庄绿化美化亮化。建立健全长效管护机制，明确管护主体与责任，鼓励村民共谋、共建、共管、共评、共享，到</w:t>
      </w:r>
      <w:r>
        <w:rPr>
          <w:rFonts w:hint="eastAsia" w:ascii="Times New Roman" w:hAnsi="Times New Roman" w:cs="Times New Roman"/>
          <w:spacing w:val="-6"/>
          <w:szCs w:val="32"/>
          <w:lang w:val="en-US" w:eastAsia="zh-CN"/>
        </w:rPr>
        <w:t>2030</w:t>
      </w:r>
      <w:r>
        <w:rPr>
          <w:rFonts w:ascii="Times New Roman" w:hAnsi="Times New Roman" w:cs="Times New Roman"/>
          <w:spacing w:val="-6"/>
          <w:szCs w:val="32"/>
        </w:rPr>
        <w:t>年，全面实现农村供水县域一体化统管、生活垃圾收运与建筑垃圾消纳市场化运营，共同建设宜居宜业和美家园。</w:t>
      </w:r>
    </w:p>
    <w:p w14:paraId="00666B63">
      <w:pPr>
        <w:pStyle w:val="11"/>
        <w:overflowPunct w:val="0"/>
        <w:spacing w:after="156" w:afterLines="50" w:line="622" w:lineRule="exact"/>
        <w:ind w:left="0" w:leftChars="0" w:firstLine="0" w:firstLineChars="0"/>
        <w:jc w:val="center"/>
        <w:rPr>
          <w:rFonts w:ascii="黑体" w:hAnsi="黑体" w:eastAsia="黑体" w:cs="黑体"/>
          <w:szCs w:val="30"/>
        </w:rPr>
      </w:pPr>
      <w:r>
        <w:rPr>
          <w:rFonts w:ascii="黑体" w:hAnsi="黑体" w:eastAsia="黑体" w:cs="黑体"/>
          <w:kern w:val="0"/>
          <w:szCs w:val="30"/>
        </w:rPr>
        <w:t>专栏20</w:t>
      </w:r>
      <w:r>
        <w:rPr>
          <w:rFonts w:hint="eastAsia" w:ascii="黑体" w:hAnsi="黑体" w:eastAsia="黑体" w:cs="黑体"/>
          <w:kern w:val="0"/>
          <w:szCs w:val="30"/>
          <w:lang w:val="en-US" w:eastAsia="zh-CN"/>
        </w:rPr>
        <w:t xml:space="preserve">  </w:t>
      </w:r>
      <w:r>
        <w:rPr>
          <w:rFonts w:ascii="黑体" w:hAnsi="黑体" w:eastAsia="黑体" w:cs="黑体"/>
          <w:kern w:val="0"/>
          <w:szCs w:val="30"/>
        </w:rPr>
        <w:t>农村人居环境提升工程</w:t>
      </w:r>
    </w:p>
    <w:tbl>
      <w:tblPr>
        <w:tblStyle w:val="21"/>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7"/>
      </w:tblGrid>
      <w:tr w14:paraId="6F87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5000" w:type="pct"/>
            <w:vAlign w:val="center"/>
          </w:tcPr>
          <w:p w14:paraId="74327088">
            <w:pPr>
              <w:overflowPunct w:val="0"/>
              <w:spacing w:line="360" w:lineRule="exact"/>
              <w:ind w:firstLine="402"/>
              <w:rPr>
                <w:rFonts w:hint="eastAsia" w:asciiTheme="majorEastAsia" w:hAnsiTheme="majorEastAsia" w:eastAsiaTheme="majorEastAsia" w:cstheme="majorEastAsia"/>
                <w:kern w:val="0"/>
                <w:sz w:val="20"/>
                <w:szCs w:val="20"/>
              </w:rPr>
            </w:pPr>
            <w:r>
              <w:rPr>
                <w:rFonts w:hint="eastAsia" w:asciiTheme="majorEastAsia" w:hAnsiTheme="majorEastAsia" w:eastAsiaTheme="majorEastAsia" w:cstheme="majorEastAsia"/>
                <w:b/>
                <w:bCs/>
                <w:kern w:val="0"/>
                <w:sz w:val="20"/>
                <w:szCs w:val="20"/>
              </w:rPr>
              <w:t>农村环境整治与污水资源化利用项目</w:t>
            </w:r>
            <w:r>
              <w:rPr>
                <w:rFonts w:hint="eastAsia" w:asciiTheme="majorEastAsia" w:hAnsiTheme="majorEastAsia" w:eastAsiaTheme="majorEastAsia" w:cstheme="majorEastAsia"/>
                <w:kern w:val="0"/>
                <w:sz w:val="20"/>
                <w:szCs w:val="20"/>
              </w:rPr>
              <w:t>：新建污水管网工程。其中：新建污水管网全长约149562.01m；新建化粪池64座。</w:t>
            </w:r>
          </w:p>
          <w:p w14:paraId="4E13FAC2">
            <w:pPr>
              <w:overflowPunct w:val="0"/>
              <w:spacing w:line="360" w:lineRule="exact"/>
              <w:ind w:firstLine="402"/>
              <w:rPr>
                <w:rFonts w:ascii="Times New Roman" w:hAnsi="Times New Roman" w:eastAsia="方正仿宋_GB2312" w:cs="Times New Roman"/>
                <w:kern w:val="0"/>
                <w:sz w:val="24"/>
              </w:rPr>
            </w:pPr>
            <w:r>
              <w:rPr>
                <w:rFonts w:hint="eastAsia" w:asciiTheme="majorEastAsia" w:hAnsiTheme="majorEastAsia" w:eastAsiaTheme="majorEastAsia" w:cstheme="majorEastAsia"/>
                <w:b/>
                <w:bCs/>
                <w:kern w:val="0"/>
                <w:sz w:val="20"/>
                <w:szCs w:val="20"/>
              </w:rPr>
              <w:t>乡村振兴和美乡村基础设施提升项目</w:t>
            </w:r>
            <w:r>
              <w:rPr>
                <w:rFonts w:hint="eastAsia" w:asciiTheme="majorEastAsia" w:hAnsiTheme="majorEastAsia" w:eastAsiaTheme="majorEastAsia" w:cstheme="majorEastAsia"/>
                <w:kern w:val="0"/>
                <w:sz w:val="20"/>
                <w:szCs w:val="20"/>
              </w:rPr>
              <w:t>：16个行政村村内道路铺设、污水管网、亮化、绿化及公共服务提升项目。</w:t>
            </w:r>
          </w:p>
        </w:tc>
      </w:tr>
    </w:tbl>
    <w:p w14:paraId="443E4AE0">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推进乡村基础设施提档升级</w:t>
      </w:r>
      <w:r>
        <w:rPr>
          <w:rFonts w:hint="eastAsia" w:ascii="仿宋_GB2312" w:hAnsi="仿宋_GB2312" w:cs="仿宋_GB2312"/>
          <w:szCs w:val="32"/>
        </w:rPr>
        <w:t>。完善农村交通网络，深化“四好农村路”建设，以优化路网结构、服务民生出行、支撑产业发展为重点，规划实施县乡道提质升级、基础路网延伸覆盖、产业文旅路融合发展等重点项目。到2030年，累计新改建农村公路总里程达到481.9公里。提升农村供水保障能力，持续实施沁水县东部三镇一区规模化供水工程、第三水厂二期工程、县城第二水源工程；以及中村、郑庄、柿庄镇、固县、十里、张村集中供水工程；包含山泽水库供水工程、涧河水库、龙渠水库、林村水库、柏疙瘩水库及配套工程等项目。实施沁水县东部矿山生态修复农村供水保障工程、沁水县固县河供水连通工程、小型供水工程规范化建设工程、农村供水保障工程，实施推进农村供水管网更新改造，健全农村供水工程长效管护机制。加快数字乡村建设，依托智慧广电乡村工程，逐步完善农村信息基础设施，加快农村5G网络和千兆光网建设进程，到“十五五”末，全县5G基站达到600个。合理布局农村公共充电网络，在交通枢纽、乡村旅游重点村等区域规划建设充电设施，到2030年实现乡镇驻地、交通干线沿线充电服务全覆盖。</w:t>
      </w:r>
    </w:p>
    <w:p w14:paraId="24CB50D0">
      <w:pPr>
        <w:overflowPunct w:val="0"/>
        <w:spacing w:after="156" w:afterLines="50" w:line="622" w:lineRule="exact"/>
        <w:ind w:firstLine="0" w:firstLineChars="0"/>
        <w:jc w:val="center"/>
        <w:rPr>
          <w:rFonts w:hint="eastAsia" w:ascii="黑体" w:hAnsi="黑体" w:eastAsia="黑体" w:cs="黑体"/>
          <w:sz w:val="30"/>
          <w:szCs w:val="30"/>
        </w:rPr>
      </w:pPr>
      <w:r>
        <w:rPr>
          <w:rFonts w:hint="eastAsia" w:ascii="黑体" w:hAnsi="黑体" w:eastAsia="黑体" w:cs="黑体"/>
          <w:sz w:val="30"/>
          <w:szCs w:val="30"/>
        </w:rPr>
        <w:t>专栏21</w:t>
      </w:r>
      <w:r>
        <w:rPr>
          <w:rFonts w:hint="eastAsia" w:ascii="黑体" w:hAnsi="黑体" w:eastAsia="黑体" w:cs="黑体"/>
          <w:sz w:val="30"/>
          <w:szCs w:val="30"/>
          <w:lang w:val="en-US" w:eastAsia="zh-CN"/>
        </w:rPr>
        <w:t xml:space="preserve">  </w:t>
      </w:r>
      <w:r>
        <w:rPr>
          <w:rFonts w:hint="eastAsia" w:ascii="黑体" w:hAnsi="黑体" w:eastAsia="黑体" w:cs="黑体"/>
          <w:sz w:val="30"/>
          <w:szCs w:val="30"/>
        </w:rPr>
        <w:t>“四好农村路”提升工程</w:t>
      </w:r>
    </w:p>
    <w:tbl>
      <w:tblPr>
        <w:tblStyle w:val="21"/>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7"/>
      </w:tblGrid>
      <w:tr w14:paraId="3FD56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2" w:hRule="atLeast"/>
          <w:jc w:val="center"/>
        </w:trPr>
        <w:tc>
          <w:tcPr>
            <w:tcW w:w="5000" w:type="pct"/>
            <w:vAlign w:val="center"/>
          </w:tcPr>
          <w:p w14:paraId="26E80272">
            <w:pPr>
              <w:overflowPunct w:val="0"/>
              <w:spacing w:line="360" w:lineRule="exact"/>
              <w:ind w:firstLine="394"/>
              <w:rPr>
                <w:rStyle w:val="23"/>
                <w:rFonts w:hint="eastAsia" w:asciiTheme="majorEastAsia" w:hAnsiTheme="majorEastAsia" w:eastAsiaTheme="majorEastAsia" w:cstheme="majorEastAsia"/>
                <w:b w:val="0"/>
                <w:spacing w:val="-2"/>
                <w:sz w:val="20"/>
                <w:szCs w:val="20"/>
                <w:shd w:val="clear" w:color="auto" w:fill="FFFFFF"/>
              </w:rPr>
            </w:pPr>
            <w:r>
              <w:rPr>
                <w:rStyle w:val="23"/>
                <w:rFonts w:hint="eastAsia" w:asciiTheme="majorEastAsia" w:hAnsiTheme="majorEastAsia" w:eastAsiaTheme="majorEastAsia" w:cstheme="majorEastAsia"/>
                <w:bCs/>
                <w:spacing w:val="-2"/>
                <w:sz w:val="20"/>
                <w:szCs w:val="20"/>
                <w:shd w:val="clear" w:color="auto" w:fill="FFFFFF"/>
              </w:rPr>
              <w:t>路网结构优化工程</w:t>
            </w:r>
            <w:r>
              <w:rPr>
                <w:rStyle w:val="23"/>
                <w:rFonts w:hint="eastAsia" w:asciiTheme="majorEastAsia" w:hAnsiTheme="majorEastAsia" w:eastAsiaTheme="majorEastAsia" w:cstheme="majorEastAsia"/>
                <w:b w:val="0"/>
                <w:spacing w:val="-2"/>
                <w:sz w:val="20"/>
                <w:szCs w:val="20"/>
                <w:shd w:val="clear" w:color="auto" w:fill="FFFFFF"/>
              </w:rPr>
              <w:t>：实施县乡公路升级改造等15个项目，规划里程约192.7公里、总投资17.58亿元，提升公路等级与通行效率，强化主干路网安全保障。</w:t>
            </w:r>
          </w:p>
          <w:p w14:paraId="2DB2A2D0">
            <w:pPr>
              <w:overflowPunct w:val="0"/>
              <w:spacing w:line="360" w:lineRule="exact"/>
              <w:ind w:firstLine="394"/>
              <w:rPr>
                <w:rStyle w:val="23"/>
                <w:rFonts w:hint="eastAsia" w:asciiTheme="majorEastAsia" w:hAnsiTheme="majorEastAsia" w:eastAsiaTheme="majorEastAsia" w:cstheme="majorEastAsia"/>
                <w:b w:val="0"/>
                <w:spacing w:val="-2"/>
                <w:sz w:val="20"/>
                <w:szCs w:val="20"/>
                <w:shd w:val="clear" w:color="auto" w:fill="FFFFFF"/>
              </w:rPr>
            </w:pPr>
            <w:r>
              <w:rPr>
                <w:rStyle w:val="23"/>
                <w:rFonts w:hint="eastAsia" w:asciiTheme="majorEastAsia" w:hAnsiTheme="majorEastAsia" w:eastAsiaTheme="majorEastAsia" w:cstheme="majorEastAsia"/>
                <w:bCs/>
                <w:spacing w:val="-2"/>
                <w:sz w:val="20"/>
                <w:szCs w:val="20"/>
                <w:shd w:val="clear" w:color="auto" w:fill="FFFFFF"/>
              </w:rPr>
              <w:t>基础网络通达工程</w:t>
            </w:r>
            <w:r>
              <w:rPr>
                <w:rStyle w:val="23"/>
                <w:rFonts w:hint="eastAsia" w:asciiTheme="majorEastAsia" w:hAnsiTheme="majorEastAsia" w:eastAsiaTheme="majorEastAsia" w:cstheme="majorEastAsia"/>
                <w:b w:val="0"/>
                <w:spacing w:val="-2"/>
                <w:sz w:val="20"/>
                <w:szCs w:val="20"/>
                <w:shd w:val="clear" w:color="auto" w:fill="FFFFFF"/>
              </w:rPr>
              <w:t>：推进较大人口规模自然村（组）通硬化路、村道安全防护与建制村通双车道公路建设，规划里程约245.6公里，总投资3.17亿元，织密农村基础路网，提升群众日常出行品质。</w:t>
            </w:r>
          </w:p>
          <w:p w14:paraId="391CBF68">
            <w:pPr>
              <w:pStyle w:val="13"/>
              <w:overflowPunct w:val="0"/>
              <w:spacing w:line="360" w:lineRule="exact"/>
              <w:ind w:firstLine="394"/>
              <w:jc w:val="both"/>
              <w:rPr>
                <w:rStyle w:val="23"/>
                <w:rFonts w:hint="eastAsia" w:asciiTheme="majorEastAsia" w:hAnsiTheme="majorEastAsia" w:eastAsiaTheme="majorEastAsia" w:cstheme="majorEastAsia"/>
                <w:b w:val="0"/>
                <w:spacing w:val="-2"/>
                <w:sz w:val="20"/>
                <w:szCs w:val="20"/>
                <w:shd w:val="clear" w:color="auto" w:fill="FFFFFF"/>
              </w:rPr>
            </w:pPr>
            <w:r>
              <w:rPr>
                <w:rStyle w:val="23"/>
                <w:rFonts w:hint="eastAsia" w:asciiTheme="majorEastAsia" w:hAnsiTheme="majorEastAsia" w:eastAsiaTheme="majorEastAsia" w:cstheme="majorEastAsia"/>
                <w:bCs/>
                <w:spacing w:val="-2"/>
                <w:sz w:val="20"/>
                <w:szCs w:val="20"/>
                <w:shd w:val="clear" w:color="auto" w:fill="FFFFFF"/>
              </w:rPr>
              <w:t>产业交通赋能工程：</w:t>
            </w:r>
            <w:r>
              <w:rPr>
                <w:rStyle w:val="23"/>
                <w:rFonts w:hint="eastAsia" w:asciiTheme="majorEastAsia" w:hAnsiTheme="majorEastAsia" w:eastAsiaTheme="majorEastAsia" w:cstheme="majorEastAsia"/>
                <w:b w:val="0"/>
                <w:spacing w:val="-2"/>
                <w:sz w:val="20"/>
                <w:szCs w:val="20"/>
                <w:shd w:val="clear" w:color="auto" w:fill="FFFFFF"/>
              </w:rPr>
              <w:t>建设资源路、产业路等13个项目，规划里程约22.6公里、总投资0.45亿元，畅通园区与产地通道，带动沿线产业发展。</w:t>
            </w:r>
          </w:p>
          <w:p w14:paraId="1EE7DB50">
            <w:pPr>
              <w:pStyle w:val="13"/>
              <w:overflowPunct w:val="0"/>
              <w:spacing w:line="360" w:lineRule="exact"/>
              <w:ind w:firstLine="394"/>
              <w:jc w:val="both"/>
              <w:rPr>
                <w:rFonts w:hint="eastAsia" w:asciiTheme="majorEastAsia" w:hAnsiTheme="majorEastAsia" w:eastAsiaTheme="majorEastAsia" w:cstheme="majorEastAsia"/>
                <w:sz w:val="20"/>
                <w:szCs w:val="20"/>
              </w:rPr>
            </w:pPr>
            <w:r>
              <w:rPr>
                <w:rStyle w:val="23"/>
                <w:rFonts w:hint="eastAsia" w:asciiTheme="majorEastAsia" w:hAnsiTheme="majorEastAsia" w:eastAsiaTheme="majorEastAsia" w:cstheme="majorEastAsia"/>
                <w:bCs/>
                <w:spacing w:val="-2"/>
                <w:sz w:val="20"/>
                <w:szCs w:val="20"/>
                <w:shd w:val="clear" w:color="auto" w:fill="FFFFFF"/>
              </w:rPr>
              <w:t>文旅康养联通工程</w:t>
            </w:r>
            <w:r>
              <w:rPr>
                <w:rStyle w:val="23"/>
                <w:rFonts w:hint="eastAsia" w:asciiTheme="majorEastAsia" w:hAnsiTheme="majorEastAsia" w:eastAsiaTheme="majorEastAsia" w:cstheme="majorEastAsia"/>
                <w:b w:val="0"/>
                <w:spacing w:val="-2"/>
                <w:sz w:val="20"/>
                <w:szCs w:val="20"/>
                <w:shd w:val="clear" w:color="auto" w:fill="FFFFFF"/>
              </w:rPr>
              <w:t>：实施以旅游道路为主的6个项目，规划里程约20公里、总投资2.11亿元，完善景区与康养节点通达性，促进文旅康养深度融合，激发消费新活力。</w:t>
            </w:r>
          </w:p>
        </w:tc>
      </w:tr>
    </w:tbl>
    <w:p w14:paraId="77E14A07">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塑造特色乡村风貌与乡村记忆</w:t>
      </w:r>
      <w:r>
        <w:rPr>
          <w:rFonts w:hint="eastAsia" w:ascii="仿宋_GB2312" w:hAnsi="仿宋_GB2312" w:cs="仿宋_GB2312"/>
          <w:szCs w:val="32"/>
        </w:rPr>
        <w:t>。围绕“一城两带四区四廊，百村千庄共富共美”总体布局，系统推进乡村风貌提升与文脉传承。系统开展生态绿化建设，推进村庄绿化与义务植树，构建“村内有绿地、院内有花果、路渠有绿荫、四旁有树木”的乡村景观体系，打造“村美、林茂、景优”的乡村生态廊道。加强传统村落保护与活化，重点保护历史文化名村、传统村落的整体格局与街巷肌理，传承乡土建筑特色，推动古堡、古村落等文化遗产与乡村旅游深度融合。引导优质文化资源下沉乡村，丰富农村文化服务和产品供给。实施美丽乡村提质工程，继续实施太行一号示范带项目和乡村振兴示范集群项目，推动美丽乡村建设从点上出彩向线上拓展、面上提升转变。</w:t>
      </w:r>
    </w:p>
    <w:p w14:paraId="18E1E83B">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提升乡村治理现代化水平</w:t>
      </w:r>
      <w:r>
        <w:rPr>
          <w:rFonts w:hint="eastAsia" w:ascii="仿宋_GB2312" w:hAnsi="仿宋_GB2312" w:cs="仿宋_GB2312"/>
          <w:szCs w:val="32"/>
        </w:rPr>
        <w:t>。坚持和发展新时代“枫桥经验”，以党建引领为核心，建强村“两委”干部、招聘到村工作大学生、大学生专职村干和储备大学生队伍，持续提升基层治理能力。完善村务公开和民主议事制度，规范“四议两公开”程序，强化村级“三资”监管。深化自治、法治、德治</w:t>
      </w:r>
      <w:r>
        <w:rPr>
          <w:rFonts w:hint="eastAsia" w:ascii="仿宋_GB2312" w:hAnsi="仿宋_GB2312" w:cs="仿宋_GB2312"/>
          <w:szCs w:val="32"/>
          <w:lang w:eastAsia="zh-CN"/>
        </w:rPr>
        <w:t>、</w:t>
      </w:r>
      <w:r>
        <w:rPr>
          <w:rFonts w:hint="eastAsia" w:ascii="仿宋_GB2312" w:hAnsi="仿宋_GB2312" w:cs="仿宋_GB2312"/>
          <w:szCs w:val="32"/>
          <w:highlight w:val="none"/>
          <w:lang w:val="en-US" w:eastAsia="zh-CN"/>
        </w:rPr>
        <w:t>智治</w:t>
      </w:r>
      <w:r>
        <w:rPr>
          <w:rFonts w:hint="eastAsia" w:ascii="仿宋_GB2312" w:hAnsi="仿宋_GB2312" w:cs="仿宋_GB2312"/>
          <w:szCs w:val="32"/>
          <w:highlight w:val="none"/>
        </w:rPr>
        <w:t>“</w:t>
      </w:r>
      <w:r>
        <w:rPr>
          <w:rFonts w:hint="eastAsia" w:ascii="仿宋_GB2312" w:hAnsi="仿宋_GB2312" w:cs="仿宋_GB2312"/>
          <w:szCs w:val="32"/>
          <w:highlight w:val="none"/>
          <w:lang w:val="en-US" w:eastAsia="zh-CN"/>
        </w:rPr>
        <w:t>四</w:t>
      </w:r>
      <w:r>
        <w:rPr>
          <w:rFonts w:hint="eastAsia" w:ascii="仿宋_GB2312" w:hAnsi="仿宋_GB2312" w:cs="仿宋_GB2312"/>
          <w:szCs w:val="32"/>
          <w:highlight w:val="none"/>
        </w:rPr>
        <w:t>治融合”，</w:t>
      </w:r>
      <w:r>
        <w:rPr>
          <w:rFonts w:hint="eastAsia" w:ascii="仿宋_GB2312" w:hAnsi="仿宋_GB2312" w:cs="仿宋_GB2312"/>
          <w:szCs w:val="32"/>
        </w:rPr>
        <w:t>健全村民议事会、红白理事会、道德评议会等自治组织，推广积分制、清单制等治理方式。深化“民主法治示范村”创建，规范村规民约制定修订程序。深入实施文明乡风建设工程，持续整治高额彩礼、大操大办等陈规陋习。提升基层治理数字化水平，加快打造县级乡村治理数字化平台。深化“互联网+政务服务”向基层延伸，推动高频服务事项“网上办、掌上办”。建设平安法治乡村，完善矛盾纠纷多元化解机制，推广“赵树理调解工作法”，常态化开展扫黑除恶，健全特殊群体关爱服务体系，构建共建共治共享的乡村治理新格局。​</w:t>
      </w:r>
    </w:p>
    <w:p w14:paraId="2D96D250">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牢牢守住不发生规模性返贫底线。</w:t>
      </w:r>
      <w:r>
        <w:rPr>
          <w:rFonts w:hint="eastAsia" w:ascii="仿宋_GB2312" w:hAnsi="仿宋_GB2312" w:cs="仿宋_GB2312"/>
          <w:szCs w:val="32"/>
        </w:rPr>
        <w:t>持续巩固拓展脱贫攻坚成果，健全常态化防返贫动态监测和精准帮扶机制。深入开展防止返贫就业攻坚行动，提供综合性帮扶措施，稳定脱贫人口务工规模和收入。按照巩固、升级、盘活、调整原则，分类推进帮扶产业提质增效。持续巩固“三保障”和饮水安全成果，健全控辍保学、因病返贫风险防范、农村住房安全动态监测、农村供水工程长效管护机制。强化易地搬迁后续扶持，完善集中安置区配套基础设施和公共服务。加强扶贫项目资产后续管理，建立健全资产台账和管护运营机制。健全农村低收入人口常态化帮扶机制，分层分类实施社会救助，兜住兜牢民生底线。</w:t>
      </w:r>
    </w:p>
    <w:p w14:paraId="0E0F075B">
      <w:pPr>
        <w:overflowPunct w:val="0"/>
        <w:spacing w:line="622" w:lineRule="exact"/>
        <w:ind w:firstLine="640"/>
        <w:rPr>
          <w:rFonts w:ascii="Times New Roman" w:hAnsi="Times New Roman" w:eastAsia="楷体_GB2312" w:cs="Times New Roman"/>
        </w:rPr>
      </w:pPr>
      <w:bookmarkStart w:id="99" w:name="_Toc23867"/>
      <w:bookmarkStart w:id="100" w:name="_Toc7192"/>
    </w:p>
    <w:p w14:paraId="7199DBB0">
      <w:pPr>
        <w:overflowPunct w:val="0"/>
        <w:spacing w:line="622" w:lineRule="exact"/>
        <w:ind w:firstLine="0" w:firstLineChars="0"/>
        <w:jc w:val="center"/>
        <w:outlineLvl w:val="1"/>
        <w:rPr>
          <w:rFonts w:ascii="Times New Roman" w:hAnsi="Times New Roman" w:eastAsia="楷体_GB2312" w:cs="Times New Roman"/>
        </w:rPr>
      </w:pPr>
      <w:bookmarkStart w:id="101" w:name="_Toc15111"/>
      <w:r>
        <w:rPr>
          <w:rFonts w:ascii="Times New Roman" w:hAnsi="Times New Roman" w:eastAsia="楷体_GB2312" w:cs="Times New Roman"/>
        </w:rPr>
        <w:t>第</w:t>
      </w:r>
      <w:r>
        <w:rPr>
          <w:rFonts w:ascii="Times New Roman" w:hAnsi="Times New Roman" w:cs="Times New Roman"/>
        </w:rPr>
        <w:t>四</w:t>
      </w:r>
      <w:r>
        <w:rPr>
          <w:rFonts w:ascii="Times New Roman" w:hAnsi="Times New Roman" w:eastAsia="楷体_GB2312" w:cs="Times New Roman"/>
        </w:rPr>
        <w:t>节</w:t>
      </w:r>
      <w:r>
        <w:rPr>
          <w:rFonts w:hint="eastAsia" w:ascii="楷体_GB2312" w:hAnsi="楷体_GB2312" w:eastAsia="楷体_GB2312" w:cs="楷体_GB2312"/>
        </w:rPr>
        <w:t xml:space="preserve">  </w:t>
      </w:r>
      <w:r>
        <w:rPr>
          <w:rFonts w:ascii="Times New Roman" w:hAnsi="Times New Roman" w:eastAsia="楷体_GB2312" w:cs="Times New Roman"/>
        </w:rPr>
        <w:t>持续深化农村重点领域改革</w:t>
      </w:r>
      <w:bookmarkEnd w:id="99"/>
      <w:bookmarkEnd w:id="100"/>
      <w:bookmarkEnd w:id="101"/>
    </w:p>
    <w:p w14:paraId="368DE088">
      <w:pPr>
        <w:overflowPunct w:val="0"/>
        <w:spacing w:line="622" w:lineRule="exact"/>
        <w:ind w:firstLine="640"/>
        <w:rPr>
          <w:rFonts w:ascii="Times New Roman" w:hAnsi="Times New Roman" w:cs="Times New Roman"/>
          <w:szCs w:val="32"/>
        </w:rPr>
      </w:pPr>
    </w:p>
    <w:p w14:paraId="7BEB82F7">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以激活资源要素、优化制度供给为主攻方向，深化农村土地制度、集体产权、投融资机制和人才发展等重点领域改革，激发农村内在活力，为推进乡村全面振兴提供坚实制度保障。</w:t>
      </w:r>
    </w:p>
    <w:p w14:paraId="1EA17251">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稳慎推进农村土地制度改革。</w:t>
      </w:r>
      <w:r>
        <w:rPr>
          <w:rFonts w:hint="eastAsia" w:ascii="仿宋_GB2312" w:hAnsi="仿宋_GB2312" w:cs="仿宋_GB2312"/>
          <w:szCs w:val="32"/>
        </w:rPr>
        <w:t>稳定农村土地承包关系，落实农村土地承包关系稳定并长久不变政策，扎实推进第二轮土地承包到期后再延长30年整县试点工作，深化集体林权制度改革。稳慎推进农村宅基地改革，稳妥盘活利用农村闲置宅基地和闲置住宅，分类保障乡村发展用地。健全土地流转服务体系，建立县乡村三级土地流转服务平台，加强流转管理和服务，加强风险防控，促进土地经营权规范有序流转。</w:t>
      </w:r>
    </w:p>
    <w:p w14:paraId="1151EFEB">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管好用好农村各类资源资产。</w:t>
      </w:r>
      <w:r>
        <w:rPr>
          <w:rFonts w:hint="eastAsia" w:ascii="仿宋_GB2312" w:hAnsi="仿宋_GB2312" w:cs="仿宋_GB2312"/>
          <w:szCs w:val="32"/>
        </w:rPr>
        <w:t>深化农村集体产权制度改革。加强农村集体“三资”监管，建设完善县乡村一体化监管平台，实现资产登记、交易、监管全流程信息化管理。创新盘活机制，通过租赁、入股、托管、合作等多种方式，盘活闲置或低效使用的集体资产。强化资金整合与政策引导，围绕煤炭煤层气服务产业、特色种植养殖产业、文旅康养产业等，通过多村联建、强村独资、村企合作等模式，发展壮大村集体经济。深化供销合作社综合改革，完善集体收益分配制度和联农带农机制，形成产权明晰、分配合理的集体经济发展新模式。</w:t>
      </w:r>
    </w:p>
    <w:p w14:paraId="0F6DB9E1">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拓宽农业农村多元化投融资渠道。</w:t>
      </w:r>
      <w:r>
        <w:rPr>
          <w:rFonts w:hint="eastAsia" w:ascii="仿宋_GB2312" w:hAnsi="仿宋_GB2312" w:cs="仿宋_GB2312"/>
          <w:szCs w:val="32"/>
        </w:rPr>
        <w:t>强化财政资金引导作用，统筹整合涉农资金，设立乡村振兴产业发展基金，重点支持特色产业全链条发展。积极对接国家和省市支农政策，用好用足政策性、开发性金融工具，引导和激励商业银行、农村信用社等金融机构加大对涉农产业、农村基础设施、科技创新等领域的信贷投放。鼓励金融机构创新金融产品，推广农村承包地经营权、集体资产股权等抵押贷款业务，开发适合新型农业经营主体的信贷产品。引导社会资本有序参与，构建多元化投入格局。</w:t>
      </w:r>
    </w:p>
    <w:p w14:paraId="7F80A65B">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强</w:t>
      </w:r>
      <w:r>
        <w:rPr>
          <w:rFonts w:hint="eastAsia" w:ascii="仿宋_GB2312" w:hAnsi="仿宋_GB2312" w:cs="仿宋_GB2312"/>
          <w:b/>
          <w:bCs/>
          <w:spacing w:val="6"/>
          <w:szCs w:val="32"/>
        </w:rPr>
        <w:t>化乡村振兴人才支撑。</w:t>
      </w:r>
      <w:r>
        <w:rPr>
          <w:rFonts w:hint="eastAsia" w:ascii="仿宋_GB2312" w:hAnsi="仿宋_GB2312" w:cs="仿宋_GB2312"/>
          <w:spacing w:val="6"/>
          <w:szCs w:val="32"/>
        </w:rPr>
        <w:t>大力引进专业紧缺人才，支持高校毕业生、退役军人、返乡农民工等群体带技术、带项目返乡创业。建强乡村振兴人才服务平台，在土沃、端氏等重点乡镇布局人才驿站和创业孵化基地，为返乡人才提供产业孵化、技术指导、市场对接等一站式服务。实施乡村人才振兴“1513”群雁行动，做好乡村发展人才、建设人才、治理人才培育。聚焦特色产业，面向家庭农场主、合作社带头人开展全产业链技能培训。深化科技特派员制度，建设“科技小院”，实现特色产业村科技服务全覆盖。开展老中医口述历史记录、中医经典名方整理等活动，着力培养一批有传承、有担当的中医药骨干人才和青年接班人。</w:t>
      </w:r>
    </w:p>
    <w:p w14:paraId="057AE50D">
      <w:pPr>
        <w:overflowPunct w:val="0"/>
        <w:spacing w:line="622" w:lineRule="exact"/>
        <w:ind w:firstLine="640"/>
        <w:rPr>
          <w:rFonts w:ascii="Times New Roman" w:hAnsi="Times New Roman" w:cs="Times New Roman"/>
          <w:szCs w:val="32"/>
        </w:rPr>
      </w:pPr>
    </w:p>
    <w:p w14:paraId="56B1DE17">
      <w:pPr>
        <w:spacing w:line="622" w:lineRule="exact"/>
        <w:ind w:firstLine="640"/>
        <w:rPr>
          <w:rFonts w:ascii="Times New Roman" w:hAnsi="Times New Roman" w:cs="Times New Roman"/>
        </w:rPr>
      </w:pPr>
      <w:bookmarkStart w:id="102" w:name="_Toc10426"/>
      <w:r>
        <w:rPr>
          <w:rFonts w:hint="eastAsia" w:ascii="Times New Roman" w:hAnsi="Times New Roman" w:cs="Times New Roman"/>
        </w:rPr>
        <w:br w:type="page"/>
      </w:r>
    </w:p>
    <w:p w14:paraId="00A2054E">
      <w:pPr>
        <w:overflowPunct w:val="0"/>
        <w:spacing w:line="622" w:lineRule="exact"/>
        <w:ind w:firstLine="640"/>
        <w:rPr>
          <w:rFonts w:ascii="Times New Roman" w:hAnsi="Times New Roman" w:cs="Times New Roman"/>
        </w:rPr>
      </w:pPr>
    </w:p>
    <w:p w14:paraId="62B238DB">
      <w:pPr>
        <w:numPr>
          <w:ilvl w:val="0"/>
          <w:numId w:val="5"/>
        </w:numPr>
        <w:overflowPunct w:val="0"/>
        <w:spacing w:line="622" w:lineRule="exact"/>
        <w:ind w:left="0" w:leftChars="0" w:firstLine="0" w:firstLineChars="0"/>
        <w:jc w:val="center"/>
        <w:outlineLvl w:val="0"/>
        <w:rPr>
          <w:rFonts w:hint="eastAsia" w:ascii="黑体" w:hAnsi="黑体" w:eastAsia="黑体" w:cs="黑体"/>
          <w:szCs w:val="32"/>
        </w:rPr>
      </w:pPr>
      <w:bookmarkStart w:id="103" w:name="_Toc22890"/>
      <w:r>
        <w:rPr>
          <w:rFonts w:hint="eastAsia" w:ascii="黑体" w:hAnsi="黑体" w:eastAsia="黑体" w:cs="黑体"/>
          <w:szCs w:val="32"/>
        </w:rPr>
        <w:t>激发沁水文化创新活力</w:t>
      </w:r>
      <w:r>
        <w:rPr>
          <w:rFonts w:hint="eastAsia" w:ascii="黑体" w:hAnsi="黑体" w:eastAsia="黑体" w:cs="黑体"/>
          <w:szCs w:val="32"/>
          <w:lang w:val="en-US" w:eastAsia="zh-CN"/>
        </w:rPr>
        <w:t xml:space="preserve"> </w:t>
      </w:r>
      <w:r>
        <w:rPr>
          <w:rFonts w:hint="eastAsia" w:ascii="黑体" w:hAnsi="黑体" w:eastAsia="黑体" w:cs="黑体"/>
          <w:szCs w:val="32"/>
        </w:rPr>
        <w:t>筑牢地域发展精神根基</w:t>
      </w:r>
      <w:bookmarkEnd w:id="102"/>
      <w:bookmarkEnd w:id="103"/>
    </w:p>
    <w:p w14:paraId="6A3C1A40">
      <w:pPr>
        <w:overflowPunct w:val="0"/>
        <w:spacing w:line="622" w:lineRule="exact"/>
        <w:ind w:firstLine="640"/>
        <w:rPr>
          <w:rFonts w:ascii="Times New Roman" w:hAnsi="Times New Roman" w:cs="Times New Roman"/>
          <w:bCs/>
          <w:szCs w:val="32"/>
        </w:rPr>
      </w:pPr>
    </w:p>
    <w:p w14:paraId="1EC7F5C0">
      <w:pPr>
        <w:overflowPunct w:val="0"/>
        <w:spacing w:line="622" w:lineRule="exact"/>
        <w:ind w:firstLine="640"/>
        <w:rPr>
          <w:rFonts w:ascii="Times New Roman" w:hAnsi="Times New Roman" w:cs="Times New Roman"/>
          <w:bCs/>
          <w:szCs w:val="32"/>
        </w:rPr>
      </w:pPr>
      <w:r>
        <w:rPr>
          <w:rFonts w:hint="eastAsia" w:ascii="Times New Roman" w:hAnsi="Times New Roman" w:cs="Times New Roman"/>
          <w:bCs/>
          <w:szCs w:val="32"/>
        </w:rPr>
        <w:t>立足沁水千年古县文化底蕴，以文铸魂，以文兴业，加大文化遗产保护与传承，积极</w:t>
      </w:r>
      <w:r>
        <w:rPr>
          <w:rFonts w:ascii="Times New Roman" w:hAnsi="Times New Roman" w:cs="Times New Roman"/>
          <w:bCs/>
          <w:szCs w:val="32"/>
        </w:rPr>
        <w:t>培育文化新优势，</w:t>
      </w:r>
      <w:r>
        <w:rPr>
          <w:rFonts w:hint="eastAsia" w:ascii="Times New Roman" w:hAnsi="Times New Roman" w:cs="Times New Roman"/>
          <w:bCs/>
          <w:szCs w:val="32"/>
        </w:rPr>
        <w:t>激活以文润城千年古县新动能，为推动沁水“十五五”高质量发展筑牢精神根基、汇聚精神力量。</w:t>
      </w:r>
    </w:p>
    <w:p w14:paraId="782B7AD2">
      <w:pPr>
        <w:overflowPunct w:val="0"/>
        <w:spacing w:line="622" w:lineRule="exact"/>
        <w:ind w:firstLine="640"/>
        <w:rPr>
          <w:rFonts w:ascii="Times New Roman" w:hAnsi="Times New Roman" w:cs="Times New Roman"/>
        </w:rPr>
      </w:pPr>
      <w:bookmarkStart w:id="104" w:name="_Toc30956"/>
    </w:p>
    <w:p w14:paraId="3713D3B5">
      <w:pPr>
        <w:overflowPunct w:val="0"/>
        <w:spacing w:line="622" w:lineRule="exact"/>
        <w:ind w:firstLine="0" w:firstLineChars="0"/>
        <w:jc w:val="center"/>
        <w:outlineLvl w:val="1"/>
        <w:rPr>
          <w:rFonts w:hint="eastAsia" w:ascii="楷体_GB2312" w:hAnsi="楷体_GB2312" w:eastAsia="楷体_GB2312" w:cs="楷体_GB2312"/>
        </w:rPr>
      </w:pPr>
      <w:bookmarkStart w:id="105" w:name="_Toc22702"/>
      <w:r>
        <w:rPr>
          <w:rFonts w:hint="eastAsia" w:ascii="楷体_GB2312" w:hAnsi="楷体_GB2312" w:eastAsia="楷体_GB2312" w:cs="楷体_GB2312"/>
        </w:rPr>
        <w:t>第一节  着力培育和践行社会主义核心价值观</w:t>
      </w:r>
      <w:bookmarkEnd w:id="104"/>
      <w:bookmarkEnd w:id="105"/>
    </w:p>
    <w:p w14:paraId="0EADA5B1">
      <w:pPr>
        <w:overflowPunct w:val="0"/>
        <w:spacing w:line="622" w:lineRule="exact"/>
        <w:ind w:firstLine="640"/>
        <w:rPr>
          <w:rFonts w:ascii="Times New Roman" w:hAnsi="Times New Roman" w:cs="Times New Roman"/>
          <w:bCs/>
          <w:szCs w:val="32"/>
        </w:rPr>
      </w:pPr>
    </w:p>
    <w:p w14:paraId="36BA3019">
      <w:pPr>
        <w:overflowPunct w:val="0"/>
        <w:spacing w:line="622" w:lineRule="exact"/>
        <w:ind w:firstLine="640"/>
        <w:rPr>
          <w:rFonts w:hint="eastAsia" w:ascii="仿宋_GB2312" w:hAnsi="仿宋_GB2312" w:cs="仿宋_GB2312"/>
          <w:bCs/>
          <w:szCs w:val="32"/>
        </w:rPr>
      </w:pPr>
      <w:r>
        <w:rPr>
          <w:rFonts w:hint="eastAsia" w:ascii="仿宋_GB2312" w:hAnsi="仿宋_GB2312" w:cs="仿宋_GB2312"/>
          <w:bCs/>
          <w:szCs w:val="32"/>
        </w:rPr>
        <w:t>核心价值观是推动民族文明进步、社会发展壮大最持久最深沉的力量。新时期要着力推动社会主义核心价值观内化为精神追求，外化为自觉行动，凝魂聚气、强基固本，为沁水经济社会高质量发展提供精神支撑和价值引领。</w:t>
      </w:r>
    </w:p>
    <w:p w14:paraId="1FD3FCC9">
      <w:pPr>
        <w:overflowPunct w:val="0"/>
        <w:spacing w:line="594" w:lineRule="exact"/>
        <w:ind w:firstLine="643"/>
        <w:rPr>
          <w:rFonts w:hint="eastAsia" w:ascii="仿宋_GB2312" w:hAnsi="仿宋_GB2312" w:cs="仿宋_GB2312"/>
          <w:szCs w:val="32"/>
        </w:rPr>
      </w:pPr>
      <w:r>
        <w:rPr>
          <w:rFonts w:hint="eastAsia" w:ascii="仿宋_GB2312" w:hAnsi="仿宋_GB2312" w:cs="仿宋_GB2312"/>
          <w:b/>
          <w:szCs w:val="32"/>
        </w:rPr>
        <w:t>弘扬和践行社会主义核心价值观。</w:t>
      </w:r>
      <w:r>
        <w:rPr>
          <w:rFonts w:hint="eastAsia" w:ascii="仿宋_GB2312" w:hAnsi="仿宋_GB2312" w:cs="仿宋_GB2312"/>
          <w:szCs w:val="32"/>
        </w:rPr>
        <w:t>坚持马克思主义在意识形态领域的指导地位，深入学习贯彻党的创新理论，坚持不懈用习近平新时代中国特色社会主义思想凝心铸魂。坚持以社会主义核心价值观涵养时代新风，充分发挥文化滋养心灵、陶冶情操的重要作用。加强和改进思想政治工作，深化校园文化建设，筑牢青少年理想信念根基。守牢意识形态阵地，严格落实意识形态工作责任制，持续完善常态化和应急状态舆情应对机制，加强网络舆情引导、网络内容建设和管理，营造清朗网络空间。做好精神文明建设工作，统筹推进文明培育、文明实践、文明创建，筑牢全国文明城市根基。全面加强文明乡风建设，促进城乡精神文明建设融合发展，提升人民文明素养和社会文明程度。</w:t>
      </w:r>
    </w:p>
    <w:p w14:paraId="22956C5C">
      <w:pPr>
        <w:overflowPunct w:val="0"/>
        <w:spacing w:line="594" w:lineRule="exact"/>
        <w:ind w:firstLine="643"/>
        <w:rPr>
          <w:rFonts w:hint="eastAsia" w:ascii="仿宋_GB2312" w:hAnsi="仿宋_GB2312" w:cs="仿宋_GB2312"/>
          <w:szCs w:val="32"/>
        </w:rPr>
      </w:pPr>
      <w:r>
        <w:rPr>
          <w:rFonts w:hint="eastAsia" w:ascii="仿宋_GB2312" w:hAnsi="仿宋_GB2312" w:cs="仿宋_GB2312"/>
          <w:b/>
          <w:bCs/>
          <w:szCs w:val="32"/>
        </w:rPr>
        <w:t>筑牢沁水红色根脉。</w:t>
      </w:r>
      <w:r>
        <w:rPr>
          <w:rFonts w:hint="eastAsia" w:ascii="仿宋_GB2312" w:hAnsi="仿宋_GB2312" w:cs="仿宋_GB2312"/>
          <w:szCs w:val="32"/>
        </w:rPr>
        <w:t>积极开发中国抗日军政大学太岳分校、太岳抗日基地（东西峪）旧址、太岳党委军区驻郎壁旧址等红色文化资源，打造一批集中连片红色教育基地，开展理想信念教育，讲好红色故事。实施“红色文化+”融合发</w:t>
      </w:r>
      <w:r>
        <w:rPr>
          <w:rFonts w:hint="eastAsia" w:ascii="仿宋_GB2312" w:hAnsi="仿宋_GB2312" w:cs="仿宋_GB2312"/>
          <w:szCs w:val="32"/>
          <w:lang w:eastAsia="zh-CN"/>
        </w:rPr>
        <w:t>展</w:t>
      </w:r>
      <w:r>
        <w:rPr>
          <w:rFonts w:hint="eastAsia" w:ascii="仿宋_GB2312" w:hAnsi="仿宋_GB2312" w:cs="仿宋_GB2312"/>
          <w:szCs w:val="32"/>
        </w:rPr>
        <w:t>战略，推进红色文化与乡村振兴、生态旅游、研学教育融合发展，整合朱德端氏军事会议旧址、苏庄劳模精神教育基地、东星书院等资源，建设沉浸式红色教育中心与干部培训学院。打磨《抗大抗大，越抗越大》《赵树理党性修养》《大槐树下话党恩》等微党课，推出“一院一景一课堂”与庭院课堂，提升党性教育与研学转化。以“太行一号”文旅康养与乡村振兴示范带、“百里沁河”生态经济带为牵引，培育1—2条红绿融合精品线路，把红色精神转化为发展动能与治理效能，打造全国红色教育示范县、太行红绿融合样板、乡村振兴共同富裕标杆。</w:t>
      </w:r>
    </w:p>
    <w:p w14:paraId="596AC7E2">
      <w:pPr>
        <w:overflowPunct w:val="0"/>
        <w:spacing w:line="594" w:lineRule="exact"/>
        <w:ind w:firstLine="640"/>
        <w:rPr>
          <w:rFonts w:hint="eastAsia" w:ascii="仿宋_GB2312" w:hAnsi="仿宋_GB2312" w:cs="仿宋_GB2312"/>
          <w:szCs w:val="32"/>
        </w:rPr>
      </w:pPr>
    </w:p>
    <w:p w14:paraId="7083075C">
      <w:pPr>
        <w:overflowPunct w:val="0"/>
        <w:spacing w:line="594" w:lineRule="exact"/>
        <w:ind w:firstLine="0" w:firstLineChars="0"/>
        <w:jc w:val="center"/>
        <w:outlineLvl w:val="1"/>
        <w:rPr>
          <w:rFonts w:hint="eastAsia" w:ascii="楷体_GB2312" w:hAnsi="楷体_GB2312" w:eastAsia="楷体_GB2312" w:cs="楷体_GB2312"/>
        </w:rPr>
      </w:pPr>
      <w:bookmarkStart w:id="106" w:name="_Toc8265"/>
      <w:bookmarkStart w:id="107" w:name="_Toc17717"/>
      <w:r>
        <w:rPr>
          <w:rFonts w:hint="eastAsia" w:ascii="楷体_GB2312" w:hAnsi="楷体_GB2312" w:eastAsia="楷体_GB2312" w:cs="楷体_GB2312"/>
        </w:rPr>
        <w:t>第二节  推动文化事业和文化产业协同发展</w:t>
      </w:r>
      <w:bookmarkEnd w:id="106"/>
      <w:bookmarkEnd w:id="107"/>
    </w:p>
    <w:p w14:paraId="6DBE4197">
      <w:pPr>
        <w:overflowPunct w:val="0"/>
        <w:spacing w:line="594" w:lineRule="exact"/>
        <w:ind w:firstLine="640"/>
        <w:rPr>
          <w:rFonts w:ascii="Times New Roman" w:hAnsi="Times New Roman" w:cs="Times New Roman"/>
          <w:szCs w:val="32"/>
        </w:rPr>
      </w:pPr>
    </w:p>
    <w:p w14:paraId="36E730B9">
      <w:pPr>
        <w:overflowPunct w:val="0"/>
        <w:spacing w:line="594" w:lineRule="exact"/>
        <w:ind w:firstLine="640"/>
        <w:rPr>
          <w:rFonts w:hint="eastAsia" w:ascii="仿宋_GB2312" w:hAnsi="仿宋_GB2312" w:cs="仿宋_GB2312"/>
          <w:szCs w:val="32"/>
        </w:rPr>
      </w:pPr>
      <w:r>
        <w:rPr>
          <w:rFonts w:hint="eastAsia" w:ascii="仿宋_GB2312" w:hAnsi="仿宋_GB2312" w:cs="仿宋_GB2312"/>
          <w:szCs w:val="32"/>
        </w:rPr>
        <w:t>坚持文化惠民，持续完善公共文化服务体系，推进城乡公共文化服务一体化发展，深化文化体制机制改革，优化资源配置，推动文化事业与文化产业双轮驱动、协同发展。</w:t>
      </w:r>
    </w:p>
    <w:p w14:paraId="5E44EE37">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积极开展优秀文艺作品创作。</w:t>
      </w:r>
      <w:r>
        <w:rPr>
          <w:rFonts w:hint="eastAsia" w:ascii="仿宋_GB2312" w:hAnsi="仿宋_GB2312" w:cs="仿宋_GB2312"/>
          <w:szCs w:val="32"/>
        </w:rPr>
        <w:t>挖掘提炼沁河古堡文化、舜帝德孝文化、柳氏家风文化、赵树理文化等优秀传统文化资源，推出“名家写沁水”“影像记古堡”等主题创作行动。加强精品文艺作品创作，丰富思想内涵和时代价值，创作一批反映沁水历史文化的新时代精品文艺作品和原创舞台力作。组织优秀剧目巡演下乡，推动高雅艺术与基层文化需求精准对接，打造“行走的文艺轻骑兵”志愿服务品牌。</w:t>
      </w:r>
    </w:p>
    <w:p w14:paraId="157398FD">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完善现代公共文化服务体系。</w:t>
      </w:r>
      <w:r>
        <w:rPr>
          <w:rFonts w:hint="eastAsia" w:ascii="仿宋_GB2312" w:hAnsi="仿宋_GB2312" w:cs="仿宋_GB2312"/>
          <w:szCs w:val="32"/>
        </w:rPr>
        <w:t>健全县、乡、村三级公共文化设施网络，加强文化场馆基础设施配套，实施公共文化服务提质增效工程，利用传统节日、重要节庆日等时间节点，广泛开展群众性文化活动，持续开展文化科技卫生“三下乡”“送戏</w:t>
      </w:r>
      <w:r>
        <w:rPr>
          <w:rFonts w:hint="eastAsia" w:ascii="仿宋_GB2312" w:hAnsi="仿宋_GB2312" w:cs="仿宋_GB2312"/>
          <w:szCs w:val="32"/>
          <w:lang w:eastAsia="zh-CN"/>
        </w:rPr>
        <w:t>下乡</w:t>
      </w:r>
      <w:r>
        <w:rPr>
          <w:rFonts w:hint="eastAsia" w:ascii="仿宋_GB2312" w:hAnsi="仿宋_GB2312" w:cs="仿宋_GB2312"/>
          <w:szCs w:val="32"/>
        </w:rPr>
        <w:t>”“文艺进万家”等惠民演出活动，实现“文化场所提质、文艺活动输送、文化带头人培育”三个全覆盖。推进全民阅读计划，深化“书香沁水”建设，推进县级图书馆总分馆制改革，打造城乡15分钟品质文化生活圈。</w:t>
      </w:r>
    </w:p>
    <w:p w14:paraId="0EC0CFB2">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持续培育壮大文化产业。</w:t>
      </w:r>
      <w:r>
        <w:rPr>
          <w:rFonts w:hint="eastAsia" w:ascii="仿宋_GB2312" w:hAnsi="仿宋_GB2312" w:cs="仿宋_GB2312"/>
          <w:szCs w:val="32"/>
        </w:rPr>
        <w:t>聚焦古堡文化、非遗资源和地域特色，发展文化创意产业，扶持本土文创企业。鼓励社会资本参与文化产业开发，引导中小微文化企业集聚发展，形成具有区域特色的文化产业集群。健全文化管理体制和生产经营机制，构建现代文化产业体系和市场体系。积极培育文化企业和品牌，大力发展新型文化业态，支持文化IP开发，打造集研发、生产、销售于一体的文创产业链，积极争取“赵树理文学奖”颁奖典礼长期落户沁水，高质量承办“赵树理文学奖”颁奖</w:t>
      </w:r>
      <w:r>
        <w:rPr>
          <w:rFonts w:hint="eastAsia" w:ascii="仿宋_GB2312" w:hAnsi="仿宋_GB2312" w:cs="仿宋_GB2312"/>
          <w:szCs w:val="32"/>
          <w:lang w:eastAsia="zh-CN"/>
        </w:rPr>
        <w:t>活动</w:t>
      </w:r>
      <w:r>
        <w:rPr>
          <w:rFonts w:hint="eastAsia" w:ascii="仿宋_GB2312" w:hAnsi="仿宋_GB2312" w:cs="仿宋_GB2312"/>
          <w:szCs w:val="32"/>
        </w:rPr>
        <w:t>。推动文化与科技、旅游、农业深度融合，培育沉浸式非遗体验、数字文创、乡村文旅综合体等新业态，建设文化产业孵化基地，激发全社会文化创新活力。</w:t>
      </w:r>
    </w:p>
    <w:p w14:paraId="15EC9278">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rPr>
        <w:t>讲好新时代“沁水故事”。</w:t>
      </w:r>
      <w:r>
        <w:rPr>
          <w:rFonts w:hint="eastAsia" w:ascii="仿宋_GB2312" w:hAnsi="仿宋_GB2312" w:cs="仿宋_GB2312"/>
        </w:rPr>
        <w:t>以</w:t>
      </w:r>
      <w:r>
        <w:rPr>
          <w:rFonts w:hint="eastAsia" w:ascii="仿宋_GB2312" w:hAnsi="仿宋_GB2312" w:cs="仿宋_GB2312"/>
          <w:szCs w:val="32"/>
        </w:rPr>
        <w:t>沁水高质量发展和现代化建设为主线，深度挖掘沁水深厚的历史文化和独特的比较优势，壮大主流舆论，积极弘扬主旋律，激发正能量，系统宣传呈现产业升级、生态治理、民生发展、文旅康养的阶段性成效与前景。创新传播载体和方式，依托县融媒体中心与树理</w:t>
      </w:r>
      <w:r>
        <w:rPr>
          <w:rFonts w:hint="eastAsia" w:ascii="仿宋_GB2312" w:hAnsi="仿宋_GB2312" w:cs="仿宋_GB2312"/>
          <w:szCs w:val="32"/>
          <w:lang w:eastAsia="zh-CN"/>
        </w:rPr>
        <w:t>文化传媒有限公司</w:t>
      </w:r>
      <w:r>
        <w:rPr>
          <w:rFonts w:hint="eastAsia" w:ascii="仿宋_GB2312" w:hAnsi="仿宋_GB2312" w:cs="仿宋_GB2312"/>
          <w:szCs w:val="32"/>
        </w:rPr>
        <w:t>，精心组织重大主题宣传、形势政策宣传、成就宣传和典型宣传。深化媒体发展改革，推进主流媒体内容、渠道和运营的系统性变革，积极创新运营模式，全面构建传播矩阵，扩大“千年古县 如画沁水”的号召力与影响力。</w:t>
      </w:r>
    </w:p>
    <w:p w14:paraId="2FBBBEEA">
      <w:pPr>
        <w:overflowPunct w:val="0"/>
        <w:spacing w:line="622" w:lineRule="exact"/>
        <w:ind w:firstLine="640"/>
        <w:rPr>
          <w:rFonts w:ascii="Times New Roman" w:hAnsi="Times New Roman" w:cs="Times New Roman"/>
        </w:rPr>
      </w:pPr>
      <w:bookmarkStart w:id="108" w:name="_Toc27373"/>
    </w:p>
    <w:p w14:paraId="5097EF1F">
      <w:pPr>
        <w:overflowPunct w:val="0"/>
        <w:spacing w:line="622" w:lineRule="exact"/>
        <w:ind w:firstLine="0" w:firstLineChars="0"/>
        <w:jc w:val="center"/>
        <w:outlineLvl w:val="1"/>
        <w:rPr>
          <w:rFonts w:hint="eastAsia" w:ascii="楷体_GB2312" w:hAnsi="楷体_GB2312" w:eastAsia="楷体_GB2312" w:cs="楷体_GB2312"/>
        </w:rPr>
      </w:pPr>
      <w:bookmarkStart w:id="109" w:name="_Toc15154"/>
      <w:r>
        <w:rPr>
          <w:rFonts w:hint="eastAsia" w:ascii="楷体_GB2312" w:hAnsi="楷体_GB2312" w:eastAsia="楷体_GB2312" w:cs="楷体_GB2312"/>
        </w:rPr>
        <w:t>第三节  加强文化遗产保护传承与创新利用</w:t>
      </w:r>
      <w:bookmarkEnd w:id="108"/>
      <w:bookmarkEnd w:id="109"/>
    </w:p>
    <w:p w14:paraId="6FBD697A">
      <w:pPr>
        <w:overflowPunct w:val="0"/>
        <w:spacing w:line="622" w:lineRule="exact"/>
        <w:ind w:firstLine="640"/>
        <w:rPr>
          <w:rFonts w:ascii="Times New Roman" w:hAnsi="Times New Roman" w:cs="Times New Roman"/>
          <w:szCs w:val="32"/>
        </w:rPr>
      </w:pPr>
    </w:p>
    <w:p w14:paraId="508458C4">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坚决贯彻“保护第一、加强管理、挖掘价值、有效利用、让文物活起来”的新时代文物工作方针，实现文化遗产的专业化保护、特色化展示和创新性发展。</w:t>
      </w:r>
    </w:p>
    <w:p w14:paraId="004E4354">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扎实提升文物保护能力。</w:t>
      </w:r>
      <w:r>
        <w:rPr>
          <w:rFonts w:hint="eastAsia" w:ascii="仿宋_GB2312" w:hAnsi="仿宋_GB2312" w:cs="仿宋_GB2312"/>
          <w:szCs w:val="32"/>
        </w:rPr>
        <w:t>扎实开展第四次全国文物普查，建立文物信息库，夯实文化遗产系统性保护与一体化监管基础。重点实施湘峪古堡、郭壁古建筑群、下李庄二郎神庙、上木亭大庙等国省保单位保护修缮项目，开展文物保护“四有”工作，完成第九批国保申报工作，新公布一批县级文物保护单位，完善我县514处未设置文物保护标志的不可移动文物，推动文物保护模式从“单点修缮”向“整体保护”转变。</w:t>
      </w:r>
    </w:p>
    <w:p w14:paraId="5579A51D">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加快提高文物活化利用水平。</w:t>
      </w:r>
      <w:r>
        <w:rPr>
          <w:rFonts w:hint="eastAsia" w:ascii="仿宋_GB2312" w:hAnsi="仿宋_GB2312" w:cs="仿宋_GB2312"/>
          <w:szCs w:val="32"/>
        </w:rPr>
        <w:t>做好郭壁村、窦庄村、武安村等传统村落中文物保护利用工作。开放端氏汤王庙、东郎圣天寺等一批具备条件的文物保护单位，设立运营主体，完善基础设施，形成沁水特色古建筑旅游线路。推动活态传承与乡村振兴协同发展，实现文化遗产保护利用与文旅产业深度融合。</w:t>
      </w:r>
    </w:p>
    <w:p w14:paraId="36C01AD6">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加大非遗传承保护力度。</w:t>
      </w:r>
      <w:r>
        <w:rPr>
          <w:rFonts w:hint="eastAsia" w:ascii="仿宋_GB2312" w:hAnsi="仿宋_GB2312" w:cs="仿宋_GB2312"/>
          <w:szCs w:val="32"/>
        </w:rPr>
        <w:t>推动鼓儿词、土沃老花鼓等非遗项目改良创新，充分挖掘柳氏清明祭祖、花鼓、竹马等非遗文化，实施国家级非遗代表性传承人记录工程，开发符合现代审美叙事的表演载体和展示形式，鼓励代表非遗项目进景区、进乡村、进校园。支持非遗大集、“村BA”等特色乡村文化活动。健全非物质文化遗产保护传承体系，形成保护、利用、传播协同推进的长效机制，为文旅品牌升级注入文化动能。</w:t>
      </w:r>
    </w:p>
    <w:p w14:paraId="02D248AE">
      <w:pPr>
        <w:overflowPunct w:val="0"/>
        <w:spacing w:line="622" w:lineRule="exact"/>
        <w:ind w:firstLine="640"/>
        <w:rPr>
          <w:rFonts w:ascii="Times New Roman" w:hAnsi="Times New Roman" w:cs="Times New Roman"/>
        </w:rPr>
      </w:pPr>
      <w:r>
        <w:rPr>
          <w:rFonts w:hint="eastAsia" w:ascii="Times New Roman" w:hAnsi="Times New Roman" w:cs="Times New Roman"/>
        </w:rPr>
        <w:br w:type="page"/>
      </w:r>
    </w:p>
    <w:p w14:paraId="583AF2E2">
      <w:pPr>
        <w:overflowPunct w:val="0"/>
        <w:spacing w:line="622" w:lineRule="exact"/>
        <w:ind w:firstLine="640"/>
        <w:rPr>
          <w:rFonts w:ascii="Times New Roman" w:hAnsi="Times New Roman" w:cs="Times New Roman"/>
        </w:rPr>
      </w:pPr>
      <w:bookmarkStart w:id="110" w:name="_Toc22137"/>
    </w:p>
    <w:p w14:paraId="430925F1">
      <w:pPr>
        <w:overflowPunct w:val="0"/>
        <w:spacing w:line="622" w:lineRule="exact"/>
        <w:ind w:firstLine="0" w:firstLineChars="0"/>
        <w:jc w:val="center"/>
        <w:outlineLvl w:val="0"/>
        <w:rPr>
          <w:rFonts w:hint="eastAsia" w:ascii="黑体" w:hAnsi="黑体" w:eastAsia="黑体" w:cs="黑体"/>
          <w:szCs w:val="32"/>
        </w:rPr>
      </w:pPr>
      <w:bookmarkStart w:id="111" w:name="_Toc3965"/>
      <w:r>
        <w:rPr>
          <w:rFonts w:hint="eastAsia" w:ascii="黑体" w:hAnsi="黑体" w:eastAsia="黑体" w:cs="黑体"/>
          <w:szCs w:val="32"/>
        </w:rPr>
        <w:t>第十章</w:t>
      </w:r>
      <w:r>
        <w:rPr>
          <w:rFonts w:hint="eastAsia" w:ascii="黑体" w:hAnsi="黑体" w:eastAsia="黑体" w:cs="黑体"/>
          <w:szCs w:val="32"/>
          <w:lang w:val="en-US" w:eastAsia="zh-CN"/>
        </w:rPr>
        <w:t xml:space="preserve"> </w:t>
      </w:r>
      <w:r>
        <w:rPr>
          <w:rFonts w:hint="eastAsia" w:ascii="黑体" w:hAnsi="黑体" w:eastAsia="黑体" w:cs="黑体"/>
          <w:szCs w:val="32"/>
        </w:rPr>
        <w:t>协同推进减污降碳扩绿增长</w:t>
      </w:r>
      <w:r>
        <w:rPr>
          <w:rFonts w:hint="eastAsia" w:ascii="黑体" w:hAnsi="黑体" w:eastAsia="黑体" w:cs="黑体"/>
          <w:szCs w:val="32"/>
          <w:lang w:val="en-US" w:eastAsia="zh-CN"/>
        </w:rPr>
        <w:t xml:space="preserve"> </w:t>
      </w:r>
      <w:r>
        <w:rPr>
          <w:rFonts w:hint="eastAsia" w:ascii="黑体" w:hAnsi="黑体" w:eastAsia="黑体" w:cs="黑体"/>
          <w:szCs w:val="32"/>
        </w:rPr>
        <w:t>厚植“如画沁水”生态底色</w:t>
      </w:r>
      <w:bookmarkEnd w:id="110"/>
      <w:bookmarkEnd w:id="111"/>
    </w:p>
    <w:p w14:paraId="510168B0">
      <w:pPr>
        <w:overflowPunct w:val="0"/>
        <w:spacing w:line="622" w:lineRule="exact"/>
        <w:ind w:firstLine="640"/>
        <w:rPr>
          <w:rFonts w:ascii="Times New Roman" w:hAnsi="Times New Roman" w:cs="Times New Roman"/>
        </w:rPr>
      </w:pPr>
    </w:p>
    <w:p w14:paraId="3E1A157C">
      <w:pPr>
        <w:overflowPunct w:val="0"/>
        <w:spacing w:line="622" w:lineRule="exact"/>
        <w:ind w:firstLine="640"/>
        <w:rPr>
          <w:rFonts w:hint="eastAsia" w:ascii="仿宋_GB2312" w:hAnsi="仿宋_GB2312" w:cs="仿宋_GB2312"/>
        </w:rPr>
      </w:pPr>
      <w:r>
        <w:rPr>
          <w:rFonts w:hint="eastAsia" w:ascii="仿宋_GB2312" w:hAnsi="仿宋_GB2312" w:cs="仿宋_GB2312"/>
        </w:rPr>
        <w:t>践行“绿水青山就是金山银山”发展理念，深入实施黄河流域生态保护和高质量发展国家战略，统筹生态保护、污染治理、碳达峰行动，协同推进降碳减污扩绿增长，</w:t>
      </w:r>
      <w:r>
        <w:rPr>
          <w:rFonts w:hint="eastAsia" w:ascii="仿宋_GB2312" w:hAnsi="仿宋_GB2312" w:cs="仿宋_GB2312"/>
          <w:kern w:val="0"/>
          <w:szCs w:val="32"/>
          <w:lang w:bidi="ar"/>
        </w:rPr>
        <w:t>一体推进治山治水治气治城，加快</w:t>
      </w:r>
      <w:r>
        <w:rPr>
          <w:rFonts w:hint="eastAsia" w:ascii="仿宋_GB2312" w:hAnsi="仿宋_GB2312" w:cs="仿宋_GB2312"/>
        </w:rPr>
        <w:t>建设美丽沁水，</w:t>
      </w:r>
      <w:r>
        <w:rPr>
          <w:rFonts w:hint="eastAsia" w:ascii="仿宋_GB2312" w:hAnsi="仿宋_GB2312" w:cs="仿宋_GB2312"/>
          <w:kern w:val="0"/>
          <w:szCs w:val="32"/>
          <w:lang w:bidi="ar"/>
        </w:rPr>
        <w:t>持续擦亮生态底色</w:t>
      </w:r>
      <w:r>
        <w:rPr>
          <w:rFonts w:hint="eastAsia" w:ascii="仿宋_GB2312" w:hAnsi="仿宋_GB2312" w:cs="仿宋_GB2312"/>
        </w:rPr>
        <w:t>。</w:t>
      </w:r>
    </w:p>
    <w:p w14:paraId="09B6FEF5">
      <w:pPr>
        <w:overflowPunct w:val="0"/>
        <w:spacing w:line="622" w:lineRule="exact"/>
        <w:ind w:firstLine="640"/>
        <w:rPr>
          <w:rFonts w:ascii="Times New Roman" w:hAnsi="Times New Roman" w:cs="Times New Roman"/>
        </w:rPr>
      </w:pPr>
      <w:bookmarkStart w:id="112" w:name="_Toc18542"/>
    </w:p>
    <w:p w14:paraId="4C5FA65D">
      <w:pPr>
        <w:overflowPunct w:val="0"/>
        <w:spacing w:line="622" w:lineRule="exact"/>
        <w:ind w:firstLine="0" w:firstLineChars="0"/>
        <w:jc w:val="center"/>
        <w:outlineLvl w:val="1"/>
        <w:rPr>
          <w:rFonts w:hint="eastAsia" w:ascii="楷体_GB2312" w:hAnsi="楷体_GB2312" w:eastAsia="楷体_GB2312" w:cs="楷体_GB2312"/>
        </w:rPr>
      </w:pPr>
      <w:bookmarkStart w:id="113" w:name="_Toc29947"/>
      <w:r>
        <w:rPr>
          <w:rFonts w:hint="eastAsia" w:ascii="楷体_GB2312" w:hAnsi="楷体_GB2312" w:eastAsia="楷体_GB2312" w:cs="楷体_GB2312"/>
        </w:rPr>
        <w:t>第一节  持续深入推进污染防治攻坚</w:t>
      </w:r>
      <w:bookmarkEnd w:id="112"/>
      <w:bookmarkEnd w:id="113"/>
    </w:p>
    <w:p w14:paraId="0C7E21D1">
      <w:pPr>
        <w:overflowPunct w:val="0"/>
        <w:spacing w:line="622" w:lineRule="exact"/>
        <w:ind w:firstLine="640"/>
        <w:rPr>
          <w:rFonts w:ascii="Times New Roman" w:hAnsi="Times New Roman" w:cs="Times New Roman"/>
          <w:szCs w:val="32"/>
        </w:rPr>
      </w:pPr>
    </w:p>
    <w:p w14:paraId="5DE41535">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坚持方向不变、力度不减，突出精准治污、科学治污、依法治污，巩固前期污染防治成果，提升环境治理能力现代化水平，“蓝天常驻、绿水长青、厚土恒沃、固废再生”的美丽沁水取得新进展。</w:t>
      </w:r>
    </w:p>
    <w:p w14:paraId="120E7AA2">
      <w:pPr>
        <w:overflowPunct w:val="0"/>
        <w:spacing w:line="622" w:lineRule="exact"/>
        <w:ind w:firstLine="643"/>
        <w:rPr>
          <w:rFonts w:hint="eastAsia" w:ascii="仿宋_GB2312" w:hAnsi="仿宋_GB2312" w:cs="仿宋_GB2312"/>
          <w:kern w:val="21"/>
          <w:szCs w:val="32"/>
        </w:rPr>
      </w:pPr>
      <w:r>
        <w:rPr>
          <w:rFonts w:hint="eastAsia" w:ascii="仿宋_GB2312" w:hAnsi="仿宋_GB2312" w:cs="仿宋_GB2312"/>
          <w:b/>
          <w:bCs/>
          <w:kern w:val="0"/>
          <w:szCs w:val="32"/>
        </w:rPr>
        <w:t>持续深入打好蓝天保卫战。</w:t>
      </w:r>
      <w:r>
        <w:rPr>
          <w:rFonts w:hint="eastAsia" w:ascii="仿宋_GB2312" w:hAnsi="仿宋_GB2312" w:cs="仿宋_GB2312"/>
          <w:kern w:val="0"/>
          <w:szCs w:val="32"/>
        </w:rPr>
        <w:t>以持续改善空气质量为核心目标，</w:t>
      </w:r>
      <w:r>
        <w:rPr>
          <w:rFonts w:hint="eastAsia" w:ascii="仿宋_GB2312" w:hAnsi="仿宋_GB2312" w:cs="仿宋_GB2312"/>
          <w:kern w:val="0"/>
          <w:szCs w:val="32"/>
          <w:lang w:bidi="ar"/>
        </w:rPr>
        <w:t>抓好大气污染防治，</w:t>
      </w:r>
      <w:r>
        <w:rPr>
          <w:rFonts w:hint="eastAsia" w:ascii="仿宋_GB2312" w:hAnsi="仿宋_GB2312" w:cs="仿宋_GB2312"/>
          <w:kern w:val="0"/>
          <w:szCs w:val="32"/>
        </w:rPr>
        <w:t>抓实工业源、社会源、移动源污染管控，深化重点行业污染治理，有效应对重污染天气。强化结构减排，推进重点行业提标升级。加快机动车新能源替代更新，加强“油”“车”共管。优化运输结构，加快公路转运线和货运铁路专用线建设。</w:t>
      </w:r>
      <w:r>
        <w:rPr>
          <w:rFonts w:hint="eastAsia" w:ascii="仿宋_GB2312" w:hAnsi="仿宋_GB2312" w:cs="仿宋_GB2312"/>
          <w:szCs w:val="32"/>
        </w:rPr>
        <w:t>以臭氧污染高发季节为重点时段，抓好挥发性有机物和氮氧化物协同治理。加快实施区域集中供暖替代工程，实施供热站新建及扩能改建项目，</w:t>
      </w:r>
      <w:bookmarkStart w:id="114" w:name="OLE_LINK14"/>
      <w:bookmarkStart w:id="115" w:name="OLE_LINK13"/>
      <w:r>
        <w:rPr>
          <w:rFonts w:hint="eastAsia" w:ascii="仿宋_GB2312" w:hAnsi="仿宋_GB2312" w:cs="仿宋_GB2312"/>
          <w:szCs w:val="32"/>
        </w:rPr>
        <w:t>谋划蜜蜂小镇、东汉、南坡、东石堂村、嘉峰村山水小区</w:t>
      </w:r>
      <w:r>
        <w:rPr>
          <w:rFonts w:hint="eastAsia" w:ascii="仿宋_GB2312" w:hAnsi="仿宋_GB2312" w:cs="仿宋_GB2312"/>
          <w:szCs w:val="32"/>
          <w:lang w:eastAsia="zh-CN"/>
        </w:rPr>
        <w:t>、</w:t>
      </w:r>
      <w:r>
        <w:rPr>
          <w:rFonts w:hint="eastAsia" w:ascii="仿宋_GB2312" w:hAnsi="仿宋_GB2312" w:cs="仿宋_GB2312"/>
          <w:szCs w:val="32"/>
        </w:rPr>
        <w:t>韩山片区供热项</w:t>
      </w:r>
      <w:r>
        <w:rPr>
          <w:rFonts w:hint="eastAsia" w:ascii="仿宋_GB2312" w:hAnsi="仿宋_GB2312" w:cs="仿宋_GB2312"/>
          <w:kern w:val="0"/>
          <w:szCs w:val="32"/>
        </w:rPr>
        <w:t>目</w:t>
      </w:r>
      <w:bookmarkEnd w:id="114"/>
      <w:bookmarkEnd w:id="115"/>
      <w:r>
        <w:rPr>
          <w:rFonts w:hint="eastAsia" w:ascii="仿宋_GB2312" w:hAnsi="仿宋_GB2312" w:cs="仿宋_GB2312"/>
          <w:kern w:val="0"/>
          <w:szCs w:val="32"/>
        </w:rPr>
        <w:t>。全力推进清洁取暖替代散煤工程，因地制宜利用太阳能、风能、天然气、沼气、煤矿井下抽采低浓度瓦斯等多重清洁能源供暖。提高扬尘防控水平，加强工地、道路、裸地、堆场等扬尘治理，推进标准化工地建设。严控秸秆焚烧，推进秸秆综合利用。</w:t>
      </w:r>
    </w:p>
    <w:p w14:paraId="50834D4D">
      <w:pPr>
        <w:overflowPunct w:val="0"/>
        <w:spacing w:line="622" w:lineRule="exact"/>
        <w:ind w:firstLine="643"/>
        <w:rPr>
          <w:rFonts w:hint="eastAsia" w:ascii="仿宋_GB2312" w:hAnsi="仿宋_GB2312" w:cs="仿宋_GB2312"/>
          <w:kern w:val="0"/>
          <w:szCs w:val="32"/>
          <w:lang w:bidi="ar"/>
        </w:rPr>
      </w:pPr>
      <w:r>
        <w:rPr>
          <w:rFonts w:hint="eastAsia" w:ascii="仿宋_GB2312" w:hAnsi="仿宋_GB2312" w:cs="仿宋_GB2312"/>
          <w:b/>
          <w:bCs/>
          <w:szCs w:val="32"/>
        </w:rPr>
        <w:t>持续深入打好碧水保卫战。</w:t>
      </w:r>
      <w:r>
        <w:rPr>
          <w:rFonts w:hint="eastAsia" w:ascii="仿宋_GB2312" w:hAnsi="仿宋_GB2312" w:cs="仿宋_GB2312"/>
          <w:szCs w:val="32"/>
        </w:rPr>
        <w:t>以改善水生态环境质量为核心，统筹水资源、水环境、水生态治理，到2030年，水生态环境质量持续改善，饮用水安全得到全面保障，污水治理能力显著提升。坚持“查、测、溯、治、管”，持续开展入河排污口排查整治，实行“一口一策”分类整治。持续推动国考张峰水库出口断面水质稳定达地表水Ⅱ类，市考尉迟断面、郑庄断面水质稳定达地表水Ⅲ类标准。</w:t>
      </w:r>
      <w:r>
        <w:rPr>
          <w:rFonts w:hint="eastAsia" w:ascii="仿宋_GB2312" w:hAnsi="仿宋_GB2312" w:cs="仿宋_GB2312"/>
          <w:kern w:val="21"/>
          <w:szCs w:val="32"/>
        </w:rPr>
        <w:t>强化沁河、端氏河、胡底河、湘峪河等重点流域</w:t>
      </w:r>
      <w:r>
        <w:rPr>
          <w:rFonts w:hint="eastAsia" w:ascii="仿宋_GB2312" w:hAnsi="仿宋_GB2312" w:cs="仿宋_GB2312"/>
          <w:kern w:val="0"/>
          <w:szCs w:val="32"/>
          <w:lang w:bidi="ar"/>
        </w:rPr>
        <w:t>治理。强化工业废水排水治理，持续推进工业集聚区污水集中处理设施扩容升级与提标改造。加强城乡生活污水治理，推进城乡污水处理设施一体化建设，保障第一、第二污水处理厂安全运行。推进农村污水管</w:t>
      </w:r>
      <w:r>
        <w:rPr>
          <w:rFonts w:hint="eastAsia" w:ascii="仿宋_GB2312" w:hAnsi="仿宋_GB2312" w:cs="仿宋_GB2312"/>
          <w:kern w:val="0"/>
          <w:szCs w:val="32"/>
          <w:lang w:eastAsia="zh-CN" w:bidi="ar"/>
        </w:rPr>
        <w:t>控</w:t>
      </w:r>
      <w:r>
        <w:rPr>
          <w:rFonts w:hint="eastAsia" w:ascii="仿宋_GB2312" w:hAnsi="仿宋_GB2312" w:cs="仿宋_GB2312"/>
          <w:kern w:val="0"/>
          <w:szCs w:val="32"/>
          <w:lang w:bidi="ar"/>
        </w:rPr>
        <w:t>建设。强化黑臭水体治理，巩固提升已治理黑臭水体治理成果，确保彻底消除黑臭。</w:t>
      </w:r>
    </w:p>
    <w:p w14:paraId="58396281">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持</w:t>
      </w:r>
      <w:r>
        <w:rPr>
          <w:rFonts w:hint="eastAsia" w:ascii="仿宋_GB2312" w:hAnsi="仿宋_GB2312" w:cs="仿宋_GB2312"/>
          <w:b/>
          <w:bCs/>
          <w:spacing w:val="6"/>
          <w:szCs w:val="32"/>
        </w:rPr>
        <w:t>续深入打好净土保卫战。</w:t>
      </w:r>
      <w:r>
        <w:rPr>
          <w:rFonts w:hint="eastAsia" w:ascii="仿宋_GB2312" w:hAnsi="仿宋_GB2312" w:cs="仿宋_GB2312"/>
          <w:spacing w:val="6"/>
          <w:szCs w:val="32"/>
        </w:rPr>
        <w:t>深化土壤污染防控，有序开展土壤污染调查评估和土地综合整治。严格落实优先保护类、安全利用类、严格管控类耕地分类管理和安全利用，构建调查评估、分类管控、系统防治三位一体的综合治理体系，推动土壤环境质量持续改善。</w:t>
      </w:r>
      <w:r>
        <w:rPr>
          <w:rFonts w:hint="eastAsia" w:ascii="仿宋_GB2312" w:hAnsi="仿宋_GB2312" w:cs="仿宋_GB2312"/>
          <w:spacing w:val="6"/>
          <w:kern w:val="0"/>
          <w:szCs w:val="32"/>
          <w:lang w:bidi="ar"/>
        </w:rPr>
        <w:t>实施农用地土壤环境分级管理，将未受污染耕地优先</w:t>
      </w:r>
      <w:r>
        <w:rPr>
          <w:rFonts w:hint="eastAsia" w:ascii="仿宋_GB2312" w:hAnsi="仿宋_GB2312" w:cs="仿宋_GB2312"/>
          <w:spacing w:val="6"/>
          <w:szCs w:val="32"/>
        </w:rPr>
        <w:t>划为永久基本农田，建立农用地土壤环境保护制度。综合整治农业面源污染，加强种养结合，推进畜禽粪污资源化利用，持续推进农用地镉等重金属污染源头防控行动。严格建设用地土壤环境准入管理，严格“一住两公”建设用地和涉重金属行业企业土壤污染状况监管，严防建设用地土壤污染，确保土壤环境质量趋于低风险。开展土壤污染状况调查，确保地块安全利用率100％。</w:t>
      </w:r>
    </w:p>
    <w:p w14:paraId="007B6BE2">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加强固体废弃物综合治理。</w:t>
      </w:r>
      <w:r>
        <w:rPr>
          <w:rFonts w:hint="eastAsia" w:ascii="仿宋_GB2312" w:hAnsi="仿宋_GB2312" w:cs="仿宋_GB2312"/>
          <w:szCs w:val="32"/>
        </w:rPr>
        <w:t>统筹推进大宗工业固废、一般废物及新型废弃物分类治理，助力“无废城市”建设。</w:t>
      </w:r>
      <w:r>
        <w:rPr>
          <w:rFonts w:hint="eastAsia" w:ascii="仿宋_GB2312" w:hAnsi="仿宋_GB2312" w:cs="仿宋_GB2312"/>
          <w:kern w:val="0"/>
          <w:szCs w:val="32"/>
          <w:lang w:bidi="ar"/>
        </w:rPr>
        <w:t>依托沁水经济技术开发区循环经济产业园，推动煤矸石、建筑垃圾等大宗固废的综合利用。</w:t>
      </w:r>
      <w:r>
        <w:rPr>
          <w:rFonts w:hint="eastAsia" w:ascii="仿宋_GB2312" w:hAnsi="仿宋_GB2312" w:cs="仿宋_GB2312"/>
          <w:szCs w:val="32"/>
        </w:rPr>
        <w:t>加大历史遗留堆场整治力度，建设一批煤矸石集中处置场所，消除工业固废堆场历史遗留环境问题。因地制宜优化煤炭开采方式，推动煤炭绿色开采，实现煤矸石源头减量。加快推进城乡生活垃圾分类，推进生活垃圾焚烧处理设施改造提升。建立健全新污染物全过程管控治理体系，有序开展化学物质监测和调查评估。严格危险废物环境监管，提升危险废物利用处置能力。</w:t>
      </w:r>
    </w:p>
    <w:p w14:paraId="19E65B13">
      <w:pPr>
        <w:pStyle w:val="19"/>
        <w:overflowPunct w:val="0"/>
        <w:spacing w:after="156" w:afterLines="50" w:line="622" w:lineRule="exact"/>
        <w:ind w:left="0" w:leftChars="0" w:firstLine="0" w:firstLineChars="0"/>
        <w:jc w:val="center"/>
        <w:rPr>
          <w:rFonts w:ascii="黑体" w:hAnsi="黑体" w:eastAsia="黑体" w:cs="黑体"/>
          <w:color w:val="auto"/>
          <w:szCs w:val="30"/>
        </w:rPr>
      </w:pPr>
      <w:r>
        <w:rPr>
          <w:rFonts w:ascii="黑体" w:hAnsi="黑体" w:eastAsia="黑体" w:cs="黑体"/>
          <w:color w:val="auto"/>
          <w:szCs w:val="30"/>
        </w:rPr>
        <w:t>专栏22</w:t>
      </w:r>
      <w:r>
        <w:rPr>
          <w:rFonts w:hint="eastAsia" w:ascii="黑体" w:hAnsi="黑体" w:eastAsia="黑体" w:cs="黑体"/>
          <w:color w:val="auto"/>
          <w:szCs w:val="30"/>
          <w:lang w:val="en-US" w:eastAsia="zh-CN"/>
        </w:rPr>
        <w:t xml:space="preserve">  </w:t>
      </w:r>
      <w:r>
        <w:rPr>
          <w:rFonts w:ascii="黑体" w:hAnsi="黑体" w:eastAsia="黑体" w:cs="黑体"/>
          <w:color w:val="auto"/>
          <w:szCs w:val="30"/>
        </w:rPr>
        <w:t>环境污染综合治理项目</w:t>
      </w:r>
    </w:p>
    <w:tbl>
      <w:tblPr>
        <w:tblStyle w:val="21"/>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7"/>
      </w:tblGrid>
      <w:tr w14:paraId="6A28C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4" w:hRule="atLeast"/>
          <w:jc w:val="center"/>
        </w:trPr>
        <w:tc>
          <w:tcPr>
            <w:tcW w:w="5000" w:type="pct"/>
            <w:vAlign w:val="center"/>
          </w:tcPr>
          <w:p w14:paraId="3540B48E">
            <w:pPr>
              <w:overflowPunct w:val="0"/>
              <w:spacing w:line="360" w:lineRule="exact"/>
              <w:ind w:firstLine="402"/>
              <w:rPr>
                <w:rFonts w:ascii="Times New Roman" w:hAnsi="Times New Roman" w:cs="Times New Roman" w:eastAsiaTheme="minorEastAsia"/>
                <w:b/>
                <w:bCs/>
                <w:sz w:val="20"/>
                <w:szCs w:val="20"/>
              </w:rPr>
            </w:pPr>
            <w:r>
              <w:rPr>
                <w:rFonts w:ascii="Times New Roman" w:hAnsi="Times New Roman" w:cs="Times New Roman" w:eastAsiaTheme="minorEastAsia"/>
                <w:b/>
                <w:bCs/>
                <w:sz w:val="20"/>
                <w:szCs w:val="20"/>
              </w:rPr>
              <w:t>空气环境治理项目：</w:t>
            </w:r>
            <w:r>
              <w:rPr>
                <w:rFonts w:ascii="Times New Roman" w:hAnsi="Times New Roman" w:cs="Times New Roman" w:eastAsiaTheme="minorEastAsia"/>
                <w:sz w:val="20"/>
                <w:szCs w:val="20"/>
              </w:rPr>
              <w:t>山西明源集团沁泽焦化有限公司焦炉废气脱硫除尘塔及配套电气技术改造工程项目。</w:t>
            </w:r>
          </w:p>
          <w:p w14:paraId="0E5B89F6">
            <w:pPr>
              <w:overflowPunct w:val="0"/>
              <w:spacing w:line="360" w:lineRule="exact"/>
              <w:ind w:firstLine="402"/>
              <w:rPr>
                <w:rFonts w:ascii="Times New Roman" w:hAnsi="Times New Roman" w:cs="Times New Roman" w:eastAsiaTheme="minorEastAsia"/>
                <w:sz w:val="20"/>
                <w:szCs w:val="20"/>
              </w:rPr>
            </w:pPr>
            <w:r>
              <w:rPr>
                <w:rFonts w:ascii="Times New Roman" w:hAnsi="Times New Roman" w:cs="Times New Roman" w:eastAsiaTheme="minorEastAsia"/>
                <w:b/>
                <w:bCs/>
                <w:sz w:val="20"/>
                <w:szCs w:val="20"/>
              </w:rPr>
              <w:t>污水治理项目：</w:t>
            </w:r>
            <w:r>
              <w:rPr>
                <w:rFonts w:ascii="Times New Roman" w:hAnsi="Times New Roman" w:cs="Times New Roman" w:eastAsiaTheme="minorEastAsia"/>
                <w:sz w:val="20"/>
                <w:szCs w:val="20"/>
              </w:rPr>
              <w:t>农村生活污水处置与资源化利用项目；张峰水库水源地保护项目；沁水县端氏污水处理厂尾水人工湿地治理项目等。</w:t>
            </w:r>
          </w:p>
          <w:p w14:paraId="68C86071">
            <w:pPr>
              <w:overflowPunct w:val="0"/>
              <w:spacing w:line="360" w:lineRule="exact"/>
              <w:ind w:firstLine="402"/>
              <w:rPr>
                <w:rFonts w:ascii="Times New Roman" w:hAnsi="Times New Roman" w:cs="Times New Roman"/>
                <w:sz w:val="20"/>
                <w:szCs w:val="20"/>
              </w:rPr>
            </w:pPr>
            <w:r>
              <w:rPr>
                <w:rFonts w:ascii="Times New Roman" w:hAnsi="Times New Roman" w:cs="Times New Roman" w:eastAsiaTheme="minorEastAsia"/>
                <w:b/>
                <w:bCs/>
                <w:sz w:val="20"/>
                <w:szCs w:val="20"/>
              </w:rPr>
              <w:t>生活垃圾处理项目：</w:t>
            </w:r>
            <w:r>
              <w:rPr>
                <w:rFonts w:ascii="Times New Roman" w:hAnsi="Times New Roman" w:cs="Times New Roman" w:eastAsiaTheme="minorEastAsia"/>
                <w:sz w:val="20"/>
                <w:szCs w:val="20"/>
              </w:rPr>
              <w:t>璟盛生活垃圾全资源化更新改造项目等。</w:t>
            </w:r>
          </w:p>
        </w:tc>
      </w:tr>
    </w:tbl>
    <w:p w14:paraId="3A93F2F6">
      <w:pPr>
        <w:overflowPunct w:val="0"/>
        <w:spacing w:line="622" w:lineRule="exact"/>
        <w:ind w:firstLine="640"/>
        <w:rPr>
          <w:rFonts w:ascii="Times New Roman" w:hAnsi="Times New Roman" w:cs="Times New Roman"/>
        </w:rPr>
      </w:pPr>
      <w:bookmarkStart w:id="116" w:name="_Toc13497"/>
    </w:p>
    <w:p w14:paraId="58DC8D93">
      <w:pPr>
        <w:overflowPunct w:val="0"/>
        <w:spacing w:line="622" w:lineRule="exact"/>
        <w:ind w:firstLine="0" w:firstLineChars="0"/>
        <w:jc w:val="center"/>
        <w:outlineLvl w:val="1"/>
        <w:rPr>
          <w:rFonts w:hint="eastAsia" w:ascii="楷体_GB2312" w:hAnsi="楷体_GB2312" w:eastAsia="楷体_GB2312" w:cs="楷体_GB2312"/>
        </w:rPr>
      </w:pPr>
      <w:bookmarkStart w:id="117" w:name="_Toc26898"/>
      <w:r>
        <w:rPr>
          <w:rFonts w:hint="eastAsia" w:ascii="楷体_GB2312" w:hAnsi="楷体_GB2312" w:eastAsia="楷体_GB2312" w:cs="楷体_GB2312"/>
        </w:rPr>
        <w:t>第二节  加强生态系统保护与修复</w:t>
      </w:r>
      <w:bookmarkEnd w:id="116"/>
      <w:bookmarkEnd w:id="117"/>
    </w:p>
    <w:p w14:paraId="203021D0">
      <w:pPr>
        <w:overflowPunct w:val="0"/>
        <w:spacing w:line="622" w:lineRule="exact"/>
        <w:ind w:firstLine="640"/>
        <w:rPr>
          <w:rFonts w:ascii="Times New Roman" w:hAnsi="Times New Roman" w:cs="Times New Roman"/>
        </w:rPr>
      </w:pPr>
    </w:p>
    <w:p w14:paraId="718DE121">
      <w:pPr>
        <w:overflowPunct w:val="0"/>
        <w:spacing w:line="622" w:lineRule="exact"/>
        <w:ind w:firstLine="640"/>
        <w:rPr>
          <w:rFonts w:hint="eastAsia" w:ascii="仿宋_GB2312" w:hAnsi="仿宋_GB2312" w:cs="仿宋_GB2312"/>
          <w:szCs w:val="32"/>
        </w:rPr>
      </w:pPr>
      <w:r>
        <w:rPr>
          <w:rFonts w:hint="eastAsia" w:ascii="仿宋_GB2312" w:hAnsi="仿宋_GB2312" w:cs="仿宋_GB2312"/>
        </w:rPr>
        <w:t>坚持生态优先，高标准推进生态系统保护与修复，构建“一屏一区一带多点”生态保护和绿色发展空间格局，以创建国家水土保持示范县为重要契机，统筹推进全域水土流失系统治理。</w:t>
      </w:r>
      <w:r>
        <w:rPr>
          <w:rFonts w:hint="eastAsia" w:ascii="仿宋_GB2312" w:hAnsi="仿宋_GB2312" w:cs="仿宋_GB2312"/>
          <w:kern w:val="0"/>
          <w:szCs w:val="32"/>
          <w:lang w:bidi="ar"/>
        </w:rPr>
        <w:t>全面落实河湖长制、林长制，推动山水林田湖草沙一体化保护，</w:t>
      </w:r>
      <w:r>
        <w:rPr>
          <w:rFonts w:hint="eastAsia" w:ascii="仿宋_GB2312" w:hAnsi="仿宋_GB2312" w:cs="仿宋_GB2312"/>
        </w:rPr>
        <w:t>筑牢生态安全屏障，全面提升生态环境承载能力。</w:t>
      </w:r>
    </w:p>
    <w:p w14:paraId="6B02B482">
      <w:pPr>
        <w:overflowPunct w:val="0"/>
        <w:spacing w:line="622" w:lineRule="exact"/>
        <w:ind w:firstLine="643"/>
        <w:rPr>
          <w:rFonts w:hint="eastAsia" w:ascii="仿宋_GB2312" w:hAnsi="仿宋_GB2312" w:cs="仿宋_GB2312"/>
          <w:kern w:val="0"/>
          <w:szCs w:val="32"/>
          <w:lang w:bidi="ar"/>
        </w:rPr>
      </w:pPr>
      <w:r>
        <w:rPr>
          <w:rFonts w:hint="eastAsia" w:ascii="仿宋_GB2312" w:hAnsi="仿宋_GB2312" w:cs="仿宋_GB2312"/>
          <w:b/>
          <w:bCs/>
          <w:kern w:val="0"/>
          <w:szCs w:val="32"/>
          <w:lang w:bidi="ar"/>
        </w:rPr>
        <w:t>完善“一屏一区一带多点”生态保护格局。</w:t>
      </w:r>
      <w:r>
        <w:rPr>
          <w:rFonts w:hint="eastAsia" w:ascii="仿宋_GB2312" w:hAnsi="仿宋_GB2312" w:cs="仿宋_GB2312"/>
          <w:kern w:val="0"/>
          <w:szCs w:val="32"/>
          <w:lang w:bidi="ar"/>
        </w:rPr>
        <w:t>持续优化太岳山—中条山生态屏障区、张峰水库水源涵养区、沁河生态带、多个重要生态节点的“一屏一区一带多点”生态保护格局。</w:t>
      </w:r>
      <w:r>
        <w:rPr>
          <w:rFonts w:hint="eastAsia" w:ascii="仿宋_GB2312" w:hAnsi="仿宋_GB2312" w:cs="仿宋_GB2312"/>
          <w:b/>
          <w:bCs/>
          <w:kern w:val="0"/>
          <w:szCs w:val="32"/>
          <w:lang w:bidi="ar"/>
        </w:rPr>
        <w:t>“一屏”</w:t>
      </w:r>
      <w:r>
        <w:rPr>
          <w:rFonts w:hint="eastAsia" w:ascii="仿宋_GB2312" w:hAnsi="仿宋_GB2312" w:cs="仿宋_GB2312"/>
          <w:kern w:val="0"/>
          <w:szCs w:val="32"/>
          <w:lang w:bidi="ar"/>
        </w:rPr>
        <w:t>落实太岳山、中条山生态屏障区生态保护要求，</w:t>
      </w:r>
      <w:r>
        <w:rPr>
          <w:rFonts w:hint="eastAsia" w:ascii="仿宋_GB2312" w:hAnsi="仿宋_GB2312" w:cs="仿宋_GB2312"/>
        </w:rPr>
        <w:t>严格控制国土开发强度，</w:t>
      </w:r>
      <w:r>
        <w:rPr>
          <w:rFonts w:hint="eastAsia" w:ascii="仿宋_GB2312" w:hAnsi="仿宋_GB2312" w:cs="仿宋_GB2312"/>
          <w:kern w:val="0"/>
          <w:szCs w:val="32"/>
          <w:lang w:bidi="ar"/>
        </w:rPr>
        <w:t>严格保护自然保护地，</w:t>
      </w:r>
      <w:r>
        <w:rPr>
          <w:rFonts w:hint="eastAsia" w:ascii="仿宋_GB2312" w:hAnsi="仿宋_GB2312" w:cs="仿宋_GB2312"/>
        </w:rPr>
        <w:t>实施山体修复和植被改造，提高山体绿化水平。</w:t>
      </w:r>
      <w:r>
        <w:rPr>
          <w:rFonts w:hint="eastAsia" w:ascii="仿宋_GB2312" w:hAnsi="仿宋_GB2312" w:cs="仿宋_GB2312"/>
          <w:b/>
          <w:bCs/>
        </w:rPr>
        <w:t>“一区”</w:t>
      </w:r>
      <w:r>
        <w:rPr>
          <w:rFonts w:hint="eastAsia" w:ascii="仿宋_GB2312" w:hAnsi="仿宋_GB2312" w:cs="仿宋_GB2312"/>
          <w:kern w:val="0"/>
          <w:szCs w:val="32"/>
          <w:lang w:bidi="ar"/>
        </w:rPr>
        <w:t>深入实施张峰水库水源涵养区生态保护与修复，加大河道整治力度，加强流域水管理，提高区域水源涵养、水土保持、生物多样性等功能与作用。</w:t>
      </w:r>
      <w:r>
        <w:rPr>
          <w:rFonts w:hint="eastAsia" w:ascii="仿宋_GB2312" w:hAnsi="仿宋_GB2312" w:cs="仿宋_GB2312"/>
          <w:b/>
          <w:bCs/>
          <w:kern w:val="0"/>
          <w:szCs w:val="32"/>
          <w:lang w:bidi="ar"/>
        </w:rPr>
        <w:t>“一带”</w:t>
      </w:r>
      <w:r>
        <w:rPr>
          <w:rFonts w:hint="eastAsia" w:ascii="仿宋_GB2312" w:hAnsi="仿宋_GB2312" w:cs="仿宋_GB2312"/>
          <w:kern w:val="0"/>
          <w:szCs w:val="32"/>
          <w:lang w:bidi="ar"/>
        </w:rPr>
        <w:t>建设沁河生态带，加强饮用水水源地保护，严控生活和生产对水质的污染，</w:t>
      </w:r>
    </w:p>
    <w:p w14:paraId="61D3D370">
      <w:pPr>
        <w:overflowPunct w:val="0"/>
        <w:spacing w:line="594" w:lineRule="exact"/>
        <w:ind w:firstLine="0" w:firstLineChars="0"/>
        <w:rPr>
          <w:rFonts w:hint="eastAsia" w:ascii="仿宋_GB2312" w:hAnsi="仿宋_GB2312" w:cs="仿宋_GB2312"/>
          <w:kern w:val="0"/>
          <w:szCs w:val="32"/>
          <w:lang w:bidi="ar"/>
        </w:rPr>
      </w:pPr>
      <w:r>
        <w:rPr>
          <w:rFonts w:hint="eastAsia" w:ascii="仿宋_GB2312" w:hAnsi="仿宋_GB2312" w:cs="仿宋_GB2312"/>
          <w:szCs w:val="32"/>
        </w:rPr>
        <w:t>适度发展生态文化旅游</w:t>
      </w:r>
      <w:r>
        <w:rPr>
          <w:rFonts w:hint="eastAsia" w:ascii="仿宋_GB2312" w:hAnsi="仿宋_GB2312" w:cs="仿宋_GB2312"/>
          <w:kern w:val="0"/>
          <w:szCs w:val="32"/>
          <w:lang w:bidi="ar"/>
        </w:rPr>
        <w:t>。推进还河，还湿工程，实施河湖沿岸绿化造林，形成绿道相连、林木成带的绿色生态岸线。</w:t>
      </w:r>
      <w:r>
        <w:rPr>
          <w:rFonts w:hint="eastAsia" w:ascii="仿宋_GB2312" w:hAnsi="仿宋_GB2312" w:cs="仿宋_GB2312"/>
          <w:b/>
          <w:bCs/>
          <w:kern w:val="0"/>
          <w:szCs w:val="32"/>
          <w:lang w:bidi="ar"/>
        </w:rPr>
        <w:t>“多点”</w:t>
      </w:r>
      <w:r>
        <w:rPr>
          <w:rFonts w:hint="eastAsia" w:ascii="仿宋_GB2312" w:hAnsi="仿宋_GB2312" w:cs="仿宋_GB2312"/>
          <w:kern w:val="0"/>
          <w:szCs w:val="32"/>
          <w:lang w:bidi="ar"/>
        </w:rPr>
        <w:t>以山西历山国家级自然保护区、中条山国家森林自然公园、太行洪谷国家级森林自然公园、沁水历山省级地质自然公园、山西沁水示范牧场国家草原公园等自然保护区</w:t>
      </w:r>
      <w:r>
        <w:rPr>
          <w:rFonts w:hint="eastAsia" w:ascii="仿宋_GB2312" w:hAnsi="仿宋_GB2312" w:cs="仿宋_GB2312"/>
          <w:spacing w:val="6"/>
          <w:kern w:val="0"/>
          <w:szCs w:val="32"/>
          <w:lang w:bidi="ar"/>
        </w:rPr>
        <w:t>等为重要生态节点，加强生态保护和修复，提升生态服务功能</w:t>
      </w:r>
      <w:r>
        <w:rPr>
          <w:rFonts w:hint="eastAsia" w:ascii="仿宋_GB2312" w:hAnsi="仿宋_GB2312" w:cs="仿宋_GB2312"/>
          <w:kern w:val="0"/>
          <w:szCs w:val="32"/>
          <w:lang w:bidi="ar"/>
        </w:rPr>
        <w:t>。</w:t>
      </w:r>
    </w:p>
    <w:p w14:paraId="10C539D1">
      <w:pPr>
        <w:overflowPunct w:val="0"/>
        <w:spacing w:line="622" w:lineRule="exact"/>
        <w:ind w:firstLine="640"/>
        <w:rPr>
          <w:rFonts w:hint="eastAsia" w:ascii="仿宋_GB2312" w:hAnsi="仿宋_GB2312" w:cs="仿宋_GB2312"/>
          <w:kern w:val="0"/>
          <w:szCs w:val="32"/>
          <w:lang w:bidi="ar"/>
        </w:rPr>
      </w:pPr>
      <w:r>
        <w:rPr>
          <w:rFonts w:hint="eastAsia" w:ascii="仿宋_GB2312" w:hAnsi="仿宋_GB2312" w:cs="仿宋_GB2312"/>
          <w:b/>
          <w:bCs/>
          <w:lang w:val="en-US" w:eastAsia="zh-CN"/>
        </w:rPr>
        <w:t>统筹推进全域水土流失系统治理。</w:t>
      </w:r>
      <w:r>
        <w:rPr>
          <w:rFonts w:hint="eastAsia" w:ascii="仿宋_GB2312" w:hAnsi="仿宋_GB2312" w:cs="仿宋_GB2312"/>
          <w:lang w:val="en-US" w:eastAsia="zh-CN"/>
        </w:rPr>
        <w:t>坚持“预防为主、保护优先、全面规划、综合治理、因地制宜、突出重点、科学管理、注重效益”工作方针，统筹山水林田湖草沙一体化保护和系统治理，持续开展生态清洁小流域提质增效、大流域水土流失综合治理、一体化水土保持工程建设、矿区水土保持和生态修复等重点治理工程；健全全链条水土保持监督管理体系，构建事前严防、事中严管、事后严控的闭环监管机制，严格落实生产建设项目水土保持“三同时”制度，常态化管控人为水土流失，完善多部门及属地乡镇联动机制，健全信息共享、联合巡查、联合执法、联合惩戒工作制度，全面提升全县水土保持法治化、规范化、精细化治理水平；推动创建国家水土保持示范县，力争2027年底顺利通过国家评估验收，成功获评国家水土保持示范县，形成可复制、可推广的治理样板。持续提升县域水土保持率，筑牢黄河流域沁水段生态安全屏障，以水土保持高质量治理支撑全县生态文明与经济社会协同发展。</w:t>
      </w:r>
    </w:p>
    <w:p w14:paraId="16636567">
      <w:pPr>
        <w:pStyle w:val="16"/>
        <w:overflowPunct w:val="0"/>
        <w:spacing w:beforeAutospacing="0" w:afterAutospacing="0" w:line="594" w:lineRule="exact"/>
        <w:ind w:firstLine="643"/>
        <w:jc w:val="both"/>
        <w:rPr>
          <w:rFonts w:hint="eastAsia" w:ascii="仿宋_GB2312" w:hAnsi="仿宋_GB2312" w:cs="仿宋_GB2312"/>
          <w:sz w:val="32"/>
          <w:szCs w:val="32"/>
          <w:lang w:bidi="ar"/>
        </w:rPr>
      </w:pPr>
      <w:r>
        <w:rPr>
          <w:rFonts w:hint="eastAsia" w:ascii="仿宋_GB2312" w:hAnsi="仿宋_GB2312" w:cs="仿宋_GB2312"/>
          <w:b/>
          <w:bCs/>
          <w:sz w:val="32"/>
          <w:szCs w:val="32"/>
        </w:rPr>
        <w:t>持续推动“百里沁河”经济带生态修复治理。</w:t>
      </w:r>
      <w:r>
        <w:rPr>
          <w:rFonts w:hint="eastAsia" w:ascii="仿宋_GB2312" w:hAnsi="仿宋_GB2312" w:cs="仿宋_GB2312"/>
          <w:sz w:val="32"/>
          <w:szCs w:val="32"/>
        </w:rPr>
        <w:t>系统开展沁河流域沁水段生态修复，加大水土保持建设力度，重点推进苏庄河和龙渠河流域的水土流失综合治理，并对嘉峰项目区的小流域进行提质增效建设。实施沁河流域从张峰水库下游至殷庄段的水环境综合治理，针对县河梅河县城段、端氏河、郑村段、潘河（板掌村</w:t>
      </w:r>
      <w:r>
        <w:rPr>
          <w:rFonts w:hint="eastAsia" w:ascii="仿宋_GB2312" w:hAnsi="仿宋_GB2312" w:cs="仿宋_GB2312"/>
          <w:szCs w:val="32"/>
        </w:rPr>
        <w:t>—</w:t>
      </w:r>
      <w:r>
        <w:rPr>
          <w:rFonts w:hint="eastAsia" w:ascii="仿宋_GB2312" w:hAnsi="仿宋_GB2312" w:cs="仿宋_GB2312"/>
          <w:sz w:val="32"/>
          <w:szCs w:val="32"/>
        </w:rPr>
        <w:t>野鹿村段）以及胡底河等一级支流开展针对性的水生态或水环境综合治理工程，包括获泽河（沁水段）的幸福河湖建设，以及针对矿山生态环境的集中连片治理，并计划推进寺河区块潘河及周边区域和嘉峰镇马庄河、柿沟河等支流的生态环境治理项目。统筹推进沁河沿线干支流村镇环境整治与水生态文明，构建“河畅、岸绿、村美”的流域生态格局。筑牢度汛安全防线，有序实施湾则水库库区清淤、沁水县山泽水库清淤、沁水县湾则水库安全监测和樊村河、杨庄河、十里河等山洪沟治理，全面提升流域防洪减灾能力。加快构建智能高效水利体系，聚力建成全县一体化数字孪生水利体系，打通防洪、供水、水生态、水管理四大领域的数字化融合应用，全面实现水利智能化升级，提升河流治理现代化水平。</w:t>
      </w:r>
      <w:r>
        <w:rPr>
          <w:rFonts w:hint="eastAsia" w:ascii="仿宋_GB2312" w:hAnsi="仿宋_GB2312" w:cs="仿宋_GB2312"/>
          <w:sz w:val="32"/>
          <w:szCs w:val="32"/>
          <w:lang w:bidi="ar"/>
        </w:rPr>
        <w:t>“十五五”末，初步建成百里沁河生态经济带沁水段水生态格局，持续扮靓沿岸生态风貌，推动沁河实现“水量丰起来、水质好起来、风光美起来”。</w:t>
      </w:r>
    </w:p>
    <w:p w14:paraId="6E9B2A74">
      <w:pPr>
        <w:overflowPunct w:val="0"/>
        <w:spacing w:line="594" w:lineRule="exact"/>
        <w:ind w:firstLine="643"/>
        <w:rPr>
          <w:rFonts w:hint="eastAsia" w:ascii="仿宋_GB2312" w:hAnsi="仿宋_GB2312" w:cs="仿宋_GB2312"/>
          <w:szCs w:val="32"/>
        </w:rPr>
      </w:pPr>
      <w:r>
        <w:rPr>
          <w:rFonts w:hint="eastAsia" w:ascii="仿宋_GB2312" w:hAnsi="仿宋_GB2312" w:cs="仿宋_GB2312"/>
          <w:b/>
          <w:bCs/>
          <w:szCs w:val="32"/>
        </w:rPr>
        <w:t>实施生态绿化品质提升行动。</w:t>
      </w:r>
      <w:r>
        <w:rPr>
          <w:rFonts w:hint="eastAsia" w:ascii="仿宋_GB2312" w:hAnsi="仿宋_GB2312" w:cs="仿宋_GB2312"/>
          <w:szCs w:val="32"/>
        </w:rPr>
        <w:t>以扩绿、提质、增效为目标，统筹推进国土绿化，抓好森林资源管护，开展城乡绿化美化行动，稳步提升绿化质量成效。大规模实施国土绿化，聚焦南太行山国土绿化示范项目重点区域，推进森林质量精准提升，持续开展国省营造林、中幼林抚育等造林工作。以太岳山—中条山为主体，构筑以水源涵养为功能的防护林体系。加强天然林、公益林管护，加大历山国家级自然保护区、历山地质公园封山禁牧和育林育草，确保森林资源安全。严格保护天然牧草地和人工牧草地，重点加强历山舜王坪、沁水示范牧场等生态系统保护，持续推进山西沁水示范牧场国家草原自然公园提质升级。强化湿地资源管控，因地制宜推进张峰湿地、污水处理厂尾水湿地、第二污水处理厂尾水湿地、沁河生态湿地等人工湿地建设。深入实施美丽乡村提质建设行动，以自然村落为基本单元，系统推进村庄绿化工程。推进城市绿道建设，串联玉皇山外环路、石楼路、滨河南路、太行洪谷国家级森林自然公园、龙岗郊野公园，形成集生态保护风景游赏为一体的城市绿道环线。持续推进公园绿地建设，实施龙脖公园二期建设，加快新建一批城市“小微绿地”和“口袋公园”。到2030年，全县水土保持率超80%，人均公园绿地面积达到18.45平方米以上，森林覆盖率达到40.25%以上。</w:t>
      </w:r>
    </w:p>
    <w:p w14:paraId="493B7A36">
      <w:pPr>
        <w:overflowPunct w:val="0"/>
        <w:spacing w:line="594" w:lineRule="exact"/>
        <w:ind w:firstLine="643"/>
        <w:rPr>
          <w:rFonts w:hint="eastAsia" w:ascii="仿宋_GB2312" w:hAnsi="仿宋_GB2312" w:cs="仿宋_GB2312"/>
          <w:szCs w:val="32"/>
        </w:rPr>
      </w:pPr>
      <w:r>
        <w:rPr>
          <w:rFonts w:hint="eastAsia" w:ascii="仿宋_GB2312" w:hAnsi="仿宋_GB2312" w:cs="仿宋_GB2312"/>
          <w:b/>
          <w:bCs/>
          <w:szCs w:val="32"/>
        </w:rPr>
        <w:t>提升生物多样性保护水平。</w:t>
      </w:r>
      <w:r>
        <w:rPr>
          <w:rFonts w:hint="eastAsia" w:ascii="仿宋_GB2312" w:hAnsi="仿宋_GB2312" w:cs="仿宋_GB2312"/>
          <w:szCs w:val="32"/>
        </w:rPr>
        <w:t>以全面提升生物多样性保护和管理水平为目标，科学推进重要生物物种和遗传资源保护，强化生物多样性治理体系和治理能力建设。以太行洪谷为重点，建立自然生态监测网络，开展物种、土壤、气象水文等常态化数据监测，加速构建气象监测预警雷击火体系。加强生物遗传资源保护和管理，开展古树名木资源管理数据库建设，持续做好古树名木投保和拓展工作，加大受损古树名木保护复壮力度。保护南方红豆杉、连香树、野大豆等珍贵植物，加快华北豹保护地建设。持续开展野生动物致害补偿保险理赔。加强林草有害生物防治。系统提升森林草原防灭火能力，通过加强人才培养、基础设施和装备科技建设，健全“人防+物防+技防”综合防控和物资保障体系。精准抓好林业有害生物防控，聚焦松材线虫病、美国白蛾等重大疫情，强化检疫执法和科学防治，阻断传播蔓延，保障生态安全。加大野生动植物保护和宣传力度，开展野生动物救助。</w:t>
      </w:r>
    </w:p>
    <w:p w14:paraId="10B8AEBE">
      <w:pPr>
        <w:overflowPunct w:val="0"/>
        <w:spacing w:line="594" w:lineRule="exact"/>
        <w:ind w:firstLine="643"/>
        <w:jc w:val="center"/>
        <w:rPr>
          <w:rFonts w:ascii="黑体" w:hAnsi="黑体" w:eastAsia="黑体" w:cs="黑体"/>
          <w:color w:val="auto"/>
          <w:szCs w:val="30"/>
        </w:rPr>
      </w:pPr>
      <w:r>
        <w:rPr>
          <w:rFonts w:ascii="黑体" w:hAnsi="黑体" w:eastAsia="黑体" w:cs="黑体"/>
          <w:color w:val="auto"/>
          <w:szCs w:val="30"/>
        </w:rPr>
        <w:t>专栏23</w:t>
      </w:r>
      <w:r>
        <w:rPr>
          <w:rFonts w:hint="eastAsia" w:ascii="黑体" w:hAnsi="黑体" w:eastAsia="黑体" w:cs="黑体"/>
          <w:color w:val="auto"/>
          <w:szCs w:val="30"/>
          <w:lang w:val="en-US" w:eastAsia="zh-CN"/>
        </w:rPr>
        <w:t xml:space="preserve">  </w:t>
      </w:r>
      <w:r>
        <w:rPr>
          <w:rFonts w:ascii="黑体" w:hAnsi="黑体" w:eastAsia="黑体" w:cs="黑体"/>
          <w:color w:val="auto"/>
          <w:szCs w:val="30"/>
        </w:rPr>
        <w:t>生态修复重大项目</w:t>
      </w:r>
    </w:p>
    <w:tbl>
      <w:tblPr>
        <w:tblStyle w:val="21"/>
        <w:tblW w:w="89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957"/>
      </w:tblGrid>
      <w:tr w14:paraId="6779F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515" w:hRule="atLeast"/>
          <w:jc w:val="center"/>
        </w:trPr>
        <w:tc>
          <w:tcPr>
            <w:tcW w:w="5000" w:type="pct"/>
            <w:tcBorders>
              <w:tl2br w:val="nil"/>
              <w:tr2bl w:val="nil"/>
            </w:tcBorders>
            <w:vAlign w:val="center"/>
          </w:tcPr>
          <w:p w14:paraId="18147C21">
            <w:pPr>
              <w:overflowPunct w:val="0"/>
              <w:spacing w:line="320" w:lineRule="exact"/>
              <w:ind w:firstLine="402"/>
              <w:rPr>
                <w:rFonts w:hint="eastAsia" w:asciiTheme="majorEastAsia" w:hAnsiTheme="majorEastAsia" w:eastAsiaTheme="majorEastAsia" w:cstheme="majorEastAsia"/>
                <w:b w:val="0"/>
                <w:bCs w:val="0"/>
                <w:sz w:val="20"/>
                <w:szCs w:val="20"/>
              </w:rPr>
            </w:pPr>
            <w:r>
              <w:rPr>
                <w:rFonts w:hint="eastAsia" w:asciiTheme="majorEastAsia" w:hAnsiTheme="majorEastAsia" w:eastAsiaTheme="majorEastAsia" w:cstheme="majorEastAsia"/>
                <w:b/>
                <w:bCs/>
                <w:sz w:val="20"/>
                <w:szCs w:val="20"/>
              </w:rPr>
              <w:t>河湖生态治理项目：</w:t>
            </w:r>
            <w:r>
              <w:rPr>
                <w:rFonts w:hint="eastAsia" w:asciiTheme="majorEastAsia" w:hAnsiTheme="majorEastAsia" w:eastAsiaTheme="majorEastAsia" w:cstheme="majorEastAsia"/>
                <w:b w:val="0"/>
                <w:bCs w:val="0"/>
                <w:sz w:val="20"/>
                <w:szCs w:val="20"/>
                <w:lang w:val="en-US" w:eastAsia="zh-CN"/>
              </w:rPr>
              <w:t>沁水县县河、梅河县城段河道综合整治工程、沁河一级支流县河水生态综合治理项目、沁水县矿山生态环境集中连片综合治理郑村河（许村-侯村段）水生态综合治理工程、沁河流域沁水县郑村段水生态综合治理、沁河一级支流潘河（板掌村--野鹿村段）水环境综合治理工程、沁河流域端氏河水生态综合治理项目;获泽河(沁水段)幸福河湖建设工程;沁河流域(张峰水库下游-殷庄段)水环境综合治理项目;寺河区块的潘河及矿区及周边生态环境治理工程;嘉峰镇马庄河支流水生态综合治理工程;嘉峰镇柿沟河支流水生态综合治理工程、沁水县县河（含梅河）生态修复与保护项目、沁水县端氏河生态修复与保护项目、沁水县胡底河生态修复与保护项目等。</w:t>
            </w:r>
          </w:p>
          <w:p w14:paraId="64EAADF1">
            <w:pPr>
              <w:overflowPunct w:val="0"/>
              <w:spacing w:line="320" w:lineRule="exact"/>
              <w:ind w:firstLine="402"/>
              <w:rPr>
                <w:rFonts w:hint="eastAsia" w:asciiTheme="majorEastAsia" w:hAnsiTheme="majorEastAsia" w:eastAsiaTheme="majorEastAsia" w:cstheme="majorEastAsia"/>
                <w:b w:val="0"/>
                <w:bCs w:val="0"/>
                <w:sz w:val="20"/>
                <w:szCs w:val="20"/>
              </w:rPr>
            </w:pPr>
            <w:r>
              <w:rPr>
                <w:rFonts w:hint="eastAsia" w:asciiTheme="majorEastAsia" w:hAnsiTheme="majorEastAsia" w:eastAsiaTheme="majorEastAsia" w:cstheme="majorEastAsia"/>
                <w:b/>
                <w:bCs/>
                <w:sz w:val="20"/>
                <w:szCs w:val="20"/>
              </w:rPr>
              <w:t>水土保持项目：</w:t>
            </w:r>
            <w:r>
              <w:rPr>
                <w:rFonts w:hint="eastAsia" w:asciiTheme="majorEastAsia" w:hAnsiTheme="majorEastAsia" w:eastAsiaTheme="majorEastAsia" w:cstheme="majorEastAsia"/>
                <w:b w:val="0"/>
                <w:bCs w:val="0"/>
                <w:sz w:val="20"/>
                <w:szCs w:val="20"/>
                <w:lang w:val="en-US" w:eastAsia="zh-CN"/>
              </w:rPr>
              <w:t>苏庄河和龙渠河流域水土流失综合治理工程、沁水县一体化推进水土保持工程建设项目、沁水县东部矿区水土保持与生态修复工程、嘉峰项目区生态清洁小流域综合治理提质增效项目等</w:t>
            </w:r>
            <w:r>
              <w:rPr>
                <w:rFonts w:hint="eastAsia" w:asciiTheme="majorEastAsia" w:hAnsiTheme="majorEastAsia" w:eastAsiaTheme="majorEastAsia" w:cstheme="majorEastAsia"/>
                <w:b w:val="0"/>
                <w:bCs w:val="0"/>
                <w:sz w:val="20"/>
                <w:szCs w:val="20"/>
              </w:rPr>
              <w:t>。</w:t>
            </w:r>
          </w:p>
          <w:p w14:paraId="1A1FD9FC">
            <w:pPr>
              <w:overflowPunct w:val="0"/>
              <w:spacing w:line="32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城市绿化项目：</w:t>
            </w:r>
            <w:r>
              <w:rPr>
                <w:rFonts w:hint="eastAsia" w:asciiTheme="majorEastAsia" w:hAnsiTheme="majorEastAsia" w:eastAsiaTheme="majorEastAsia" w:cstheme="majorEastAsia"/>
                <w:sz w:val="20"/>
                <w:szCs w:val="20"/>
              </w:rPr>
              <w:t>小微绿地及口袋公园；龙脖公园二期等项目等。</w:t>
            </w:r>
          </w:p>
          <w:p w14:paraId="52FA4D72">
            <w:pPr>
              <w:overflowPunct w:val="0"/>
              <w:spacing w:line="32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地质灾害治理项目：</w:t>
            </w:r>
            <w:r>
              <w:rPr>
                <w:rFonts w:hint="eastAsia" w:asciiTheme="majorEastAsia" w:hAnsiTheme="majorEastAsia" w:eastAsiaTheme="majorEastAsia" w:cstheme="majorEastAsia"/>
                <w:b w:val="0"/>
                <w:bCs w:val="0"/>
                <w:sz w:val="20"/>
                <w:szCs w:val="20"/>
                <w:lang w:val="en-US" w:eastAsia="zh-CN"/>
              </w:rPr>
              <w:t>龙港镇地质灾害治理项目;嘉峰镇地质灾害治理项目;县河长征隧洞扩建项目;杨庄河山洪沟治理工程;沁水县潘河山洪沟治理工程;樊村河山洪沟防洪治理工程;十里河山洪沟治理工程;湾则水库安全监测项目;湾则水库库区清淤工程;沁水县山泽水库清淤项目等。</w:t>
            </w:r>
          </w:p>
        </w:tc>
      </w:tr>
    </w:tbl>
    <w:p w14:paraId="5531F414">
      <w:pPr>
        <w:overflowPunct w:val="0"/>
        <w:spacing w:line="622" w:lineRule="exact"/>
        <w:ind w:firstLine="640"/>
        <w:rPr>
          <w:rFonts w:ascii="Times New Roman" w:hAnsi="Times New Roman" w:eastAsia="楷体_GB2312" w:cs="Times New Roman"/>
        </w:rPr>
      </w:pPr>
      <w:bookmarkStart w:id="118" w:name="_Toc18824"/>
    </w:p>
    <w:p w14:paraId="30115B92">
      <w:pPr>
        <w:overflowPunct w:val="0"/>
        <w:spacing w:line="622" w:lineRule="exact"/>
        <w:ind w:firstLine="0" w:firstLineChars="0"/>
        <w:jc w:val="center"/>
        <w:outlineLvl w:val="1"/>
        <w:rPr>
          <w:rFonts w:hint="eastAsia" w:ascii="楷体_GB2312" w:hAnsi="楷体_GB2312" w:eastAsia="楷体_GB2312" w:cs="楷体_GB2312"/>
        </w:rPr>
      </w:pPr>
      <w:bookmarkStart w:id="119" w:name="_Toc31751"/>
      <w:r>
        <w:rPr>
          <w:rFonts w:hint="eastAsia" w:ascii="楷体_GB2312" w:hAnsi="楷体_GB2312" w:eastAsia="楷体_GB2312" w:cs="楷体_GB2312"/>
        </w:rPr>
        <w:t>第三节  加强资源节约集约循环利用</w:t>
      </w:r>
      <w:bookmarkEnd w:id="118"/>
      <w:bookmarkEnd w:id="119"/>
    </w:p>
    <w:p w14:paraId="24F2C59C">
      <w:pPr>
        <w:overflowPunct w:val="0"/>
        <w:spacing w:line="622" w:lineRule="exact"/>
        <w:ind w:firstLine="640"/>
        <w:rPr>
          <w:rFonts w:ascii="Times New Roman" w:hAnsi="Times New Roman" w:cs="Times New Roman"/>
          <w:szCs w:val="32"/>
        </w:rPr>
      </w:pPr>
    </w:p>
    <w:p w14:paraId="1093B5C9">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坚持把节约资源贯穿于经济社会发展全过程、各领域，推进资源总量管理、科学配置、全面节约、循环利用，大力发展循环经济，提高资源利用效率，加快资源利用方式根本转变。</w:t>
      </w:r>
    </w:p>
    <w:p w14:paraId="0DB197C5">
      <w:pPr>
        <w:overflowPunct w:val="0"/>
        <w:spacing w:line="622" w:lineRule="exact"/>
        <w:ind w:firstLine="643"/>
        <w:rPr>
          <w:rFonts w:hint="eastAsia" w:ascii="仿宋_GB2312" w:hAnsi="仿宋_GB2312" w:cs="仿宋_GB2312"/>
          <w:spacing w:val="6"/>
          <w:szCs w:val="32"/>
        </w:rPr>
      </w:pPr>
      <w:r>
        <w:rPr>
          <w:rFonts w:hint="eastAsia" w:ascii="仿宋_GB2312" w:hAnsi="仿宋_GB2312" w:cs="仿宋_GB2312"/>
          <w:b/>
          <w:bCs/>
          <w:szCs w:val="32"/>
        </w:rPr>
        <w:t>严</w:t>
      </w:r>
      <w:r>
        <w:rPr>
          <w:rFonts w:hint="eastAsia" w:ascii="仿宋_GB2312" w:hAnsi="仿宋_GB2312" w:cs="仿宋_GB2312"/>
          <w:b/>
          <w:bCs/>
          <w:spacing w:val="6"/>
          <w:szCs w:val="32"/>
        </w:rPr>
        <w:t>格落实“四水四定”。</w:t>
      </w:r>
      <w:r>
        <w:rPr>
          <w:rFonts w:hint="eastAsia" w:ascii="仿宋_GB2312" w:hAnsi="仿宋_GB2312" w:cs="仿宋_GB2312"/>
          <w:spacing w:val="6"/>
          <w:szCs w:val="32"/>
        </w:rPr>
        <w:t>坚持“以水定城、以水定地、以水定人、以水定产”原则，加快落实水资源刚性约束制度，严控用水总量，精打细算用好水资源，推动水资源节约集约利用水平明显提升。强化水资源刚性约束，严控用水总量，“十五五”期间全县年用水总量控制在6100万立方米以下。推进工业节水，以创建节水型工业园区和节水型企业为重点，深挖工业节水潜力，加强水循环利用。完善水网建设，按照“建大、并中、减小”的原则推进城乡供水一体化，做到能联网尽联网、能扩网尽扩网、能并网尽并网。</w:t>
      </w:r>
      <w:r>
        <w:rPr>
          <w:rFonts w:hint="eastAsia" w:ascii="仿宋_GB2312" w:hAnsi="仿宋_GB2312" w:cs="仿宋_GB2312"/>
          <w:spacing w:val="6"/>
          <w:kern w:val="0"/>
          <w:szCs w:val="32"/>
          <w:lang w:bidi="ar"/>
        </w:rPr>
        <w:t>推动饮用水水源地规范化建设，深化地下水超采区综合治理。</w:t>
      </w:r>
      <w:r>
        <w:rPr>
          <w:rFonts w:hint="eastAsia" w:ascii="仿宋_GB2312" w:hAnsi="仿宋_GB2312" w:cs="仿宋_GB2312"/>
          <w:spacing w:val="6"/>
          <w:szCs w:val="32"/>
        </w:rPr>
        <w:t>严格农业用水，优化农业种植结构，推进灌溉体系现代化改造，大力推进中型灌区新建与改造工程，减少农业耗水量。加强生活节水，推广海绵城市建设，新建透水性路面、下凹绿地，完善传统雨水管渠系统，</w:t>
      </w:r>
      <w:r>
        <w:rPr>
          <w:rFonts w:hint="eastAsia" w:ascii="仿宋_GB2312" w:hAnsi="仿宋_GB2312" w:cs="仿宋_GB2312"/>
          <w:spacing w:val="6"/>
          <w:kern w:val="0"/>
          <w:szCs w:val="32"/>
          <w:lang w:bidi="ar"/>
        </w:rPr>
        <w:t>构建城市良性水循环系统，</w:t>
      </w:r>
      <w:r>
        <w:rPr>
          <w:rFonts w:hint="eastAsia" w:ascii="仿宋_GB2312" w:hAnsi="仿宋_GB2312" w:cs="仿宋_GB2312"/>
          <w:spacing w:val="6"/>
          <w:szCs w:val="32"/>
        </w:rPr>
        <w:t>增强河道、湿地等受纳水体的水资源涵养、蓄积、净化能力。扩大再生水利用范围，推广将再生水用于河道景观、城市绿化、道路湿扫、公共厕所等，确保城市再生水利用率达到40%以上。</w:t>
      </w:r>
    </w:p>
    <w:p w14:paraId="7118196F">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强化</w:t>
      </w:r>
      <w:bookmarkStart w:id="120" w:name="OLE_LINK7"/>
      <w:r>
        <w:rPr>
          <w:rFonts w:hint="eastAsia" w:ascii="仿宋_GB2312" w:hAnsi="仿宋_GB2312" w:cs="仿宋_GB2312"/>
          <w:b/>
          <w:bCs/>
          <w:szCs w:val="32"/>
        </w:rPr>
        <w:t>资源节约集约利用</w:t>
      </w:r>
      <w:bookmarkEnd w:id="120"/>
      <w:r>
        <w:rPr>
          <w:rFonts w:hint="eastAsia" w:ascii="仿宋_GB2312" w:hAnsi="仿宋_GB2312" w:cs="仿宋_GB2312"/>
          <w:b/>
          <w:bCs/>
          <w:szCs w:val="32"/>
        </w:rPr>
        <w:t>。</w:t>
      </w:r>
      <w:r>
        <w:rPr>
          <w:rFonts w:hint="eastAsia" w:ascii="仿宋_GB2312" w:hAnsi="仿宋_GB2312" w:cs="仿宋_GB2312"/>
          <w:szCs w:val="32"/>
        </w:rPr>
        <w:t>严格落实资源总量管理与全面节约制度，统筹推进节能、节地、节材、节矿协同发展。强化重点用能单位节能管理，实施能量系统优化、节能技术改造等重点工程。加强土地节约集约利用，推广节地技术与模式。持续推进耕地保护工作，落实耕地保护责任制考核，提升永久基本农田质量，落实耕地占补平衡。节约利用矿产资源，推进矿业生产基地化，建设一批矿业经济综合区、矿业产业园区和绿色产业发展示范区。因地制宜推广绿色开采技术，探索“充填开采”等更多绿色开采技术。</w:t>
      </w:r>
    </w:p>
    <w:p w14:paraId="4494B25B">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构建资源循环利用体系。</w:t>
      </w:r>
      <w:r>
        <w:rPr>
          <w:rFonts w:hint="eastAsia" w:ascii="仿宋_GB2312" w:hAnsi="仿宋_GB2312" w:cs="仿宋_GB2312"/>
          <w:szCs w:val="32"/>
        </w:rPr>
        <w:t>以国家低碳城市试点和循环经济示范城市建设为抓手，围绕工业、社会生活、农业三大领域，建立健全资源循环利用体系。强化煤炭固废资源综合利用，以建筑垃圾、粉煤灰、煤矸石为重点，发展生产绿色建材。以经济技术开发区为载体，培育环保产业，加快沁水经济技术开发区绿色低碳循环示范园区建设。构建综合性回收循环利用网络体系，合理布局废旧物资回收站点，加快生活垃圾分类与再生资源回收有效衔接。加快现代农业循环发展，推广种养结合循环新模式，重点推动养殖场与连翘、山茱萸、核桃等特色经济林基地的“场林对接”，推进农林废弃物资源化利用。</w:t>
      </w:r>
    </w:p>
    <w:p w14:paraId="178B30CA">
      <w:pPr>
        <w:overflowPunct w:val="0"/>
        <w:spacing w:after="156" w:afterLines="50" w:line="622" w:lineRule="exact"/>
        <w:ind w:firstLine="0" w:firstLineChars="0"/>
        <w:jc w:val="center"/>
        <w:rPr>
          <w:rFonts w:hint="eastAsia" w:ascii="黑体" w:hAnsi="黑体" w:eastAsia="黑体" w:cs="黑体"/>
          <w:sz w:val="30"/>
          <w:szCs w:val="30"/>
        </w:rPr>
      </w:pPr>
      <w:r>
        <w:rPr>
          <w:rFonts w:hint="eastAsia" w:ascii="黑体" w:hAnsi="黑体" w:eastAsia="黑体" w:cs="黑体"/>
          <w:sz w:val="30"/>
          <w:szCs w:val="30"/>
        </w:rPr>
        <w:t>专栏24</w:t>
      </w:r>
      <w:r>
        <w:rPr>
          <w:rFonts w:hint="eastAsia" w:ascii="黑体" w:hAnsi="黑体" w:eastAsia="黑体" w:cs="黑体"/>
          <w:sz w:val="30"/>
          <w:szCs w:val="30"/>
          <w:lang w:val="en-US" w:eastAsia="zh-CN"/>
        </w:rPr>
        <w:t xml:space="preserve">  </w:t>
      </w:r>
      <w:r>
        <w:rPr>
          <w:rFonts w:hint="eastAsia" w:ascii="黑体" w:hAnsi="黑体" w:eastAsia="黑体" w:cs="黑体"/>
          <w:sz w:val="30"/>
          <w:szCs w:val="30"/>
        </w:rPr>
        <w:t>资源节约集约利用项目</w:t>
      </w:r>
    </w:p>
    <w:tbl>
      <w:tblPr>
        <w:tblStyle w:val="21"/>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7"/>
      </w:tblGrid>
      <w:tr w14:paraId="7C35C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3" w:hRule="atLeast"/>
          <w:jc w:val="center"/>
        </w:trPr>
        <w:tc>
          <w:tcPr>
            <w:tcW w:w="31680" w:type="dxa"/>
            <w:vAlign w:val="center"/>
          </w:tcPr>
          <w:p w14:paraId="2468B230">
            <w:pPr>
              <w:overflowPunct w:val="0"/>
              <w:spacing w:line="360" w:lineRule="exact"/>
              <w:ind w:firstLine="402"/>
              <w:rPr>
                <w:rFonts w:hint="eastAsia" w:ascii="仿宋_GB2312" w:hAnsi="仿宋_GB2312" w:eastAsia="仿宋_GB2312" w:cs="仿宋_GB2312"/>
                <w:lang w:val="en-US" w:eastAsia="zh-CN"/>
              </w:rPr>
            </w:pPr>
            <w:r>
              <w:rPr>
                <w:rFonts w:ascii="Times New Roman" w:hAnsi="Times New Roman" w:cs="Times New Roman" w:eastAsiaTheme="minorEastAsia"/>
                <w:b/>
                <w:bCs/>
                <w:sz w:val="20"/>
                <w:szCs w:val="20"/>
              </w:rPr>
              <w:t>供水类项目：</w:t>
            </w:r>
            <w:r>
              <w:rPr>
                <w:rFonts w:hint="eastAsia" w:ascii="Times New Roman" w:hAnsi="Times New Roman" w:cs="Times New Roman" w:eastAsiaTheme="minorEastAsia"/>
                <w:sz w:val="20"/>
                <w:szCs w:val="20"/>
                <w:lang w:val="en-US" w:eastAsia="zh-CN"/>
              </w:rPr>
              <w:t>沁水县东部三镇一区规模化供水工程、沁水县第三水厂二期工程、沁水县城第二水源工程、中村镇规模化供水工程、沁水县郑庄镇农村供水提升工程、柿庄镇和固县乡规模化供水工程、十里乡和张村乡农村供水提升工程、山泽水库供水工程、涧河水库工程、龙渠水库工程、林村水库(必底河水库)工程、柏疙瘩水库工程、沁水县涧河水库供水工程、沁水县东部矿山生态修复农村供水保障工程、沁水县固县河供水连通工程、小型供水工程规范化建设工程、农村供水保障工程、沁水县农村供水智慧水务建设工程等。</w:t>
            </w:r>
          </w:p>
          <w:p w14:paraId="6DF6A17D">
            <w:pPr>
              <w:overflowPunct w:val="0"/>
              <w:spacing w:line="360" w:lineRule="exact"/>
              <w:ind w:firstLine="402"/>
              <w:rPr>
                <w:rFonts w:hint="eastAsia" w:ascii="仿宋_GB2312" w:hAnsi="仿宋_GB2312" w:eastAsia="仿宋_GB2312" w:cs="仿宋_GB2312"/>
                <w:lang w:val="en-US" w:eastAsia="zh-CN"/>
              </w:rPr>
            </w:pPr>
            <w:r>
              <w:rPr>
                <w:rFonts w:ascii="Times New Roman" w:hAnsi="Times New Roman" w:cs="Times New Roman" w:eastAsiaTheme="minorEastAsia"/>
                <w:b/>
                <w:bCs/>
                <w:sz w:val="20"/>
                <w:szCs w:val="20"/>
              </w:rPr>
              <w:t>水资源优化类项目：</w:t>
            </w:r>
            <w:r>
              <w:rPr>
                <w:rFonts w:hint="eastAsia" w:ascii="Times New Roman" w:hAnsi="Times New Roman" w:cs="Times New Roman" w:eastAsiaTheme="minorEastAsia"/>
                <w:sz w:val="20"/>
                <w:szCs w:val="20"/>
                <w:lang w:val="en-US" w:eastAsia="zh-CN"/>
              </w:rPr>
              <w:t>沁水县东部三镇一区规模化供水工程、沁水县第三水厂二期工程、沁水县城第二水源工程、中村镇规模化供水工程、郑庄镇规模化供水工程、柿庄镇和固县乡规模化供水工程、十里乡中部集中供水工程、十里乡北部集中供水工程、山泽水库供水工程、张村乡集中供水工程、涧河水库及配套工程、龙渠水库及配套工程、林村水库(必底河水库)及配套工程、柏疙瘩水库及配套工程、沁水县东部矿山生态修复农村供水保障工程、沁水县固县河供水连通工程、小型供水工程规范化建设工程、农村供水保障工程、沁水县山泽灌区续建配套与节水改造项目、山西省晋城市沁水县下泊灌区项目、小型农田水利设施维修工程、沁水县曲堤灌区引水渠(零二街口至端氏村委段)周边环境提升工程、沁水县曲堤灌区东灌区骨干工程等。</w:t>
            </w:r>
          </w:p>
          <w:p w14:paraId="0D3408DC">
            <w:pPr>
              <w:overflowPunct w:val="0"/>
              <w:spacing w:line="360" w:lineRule="exact"/>
              <w:ind w:firstLine="402"/>
              <w:rPr>
                <w:rFonts w:ascii="Times New Roman" w:hAnsi="Times New Roman" w:cs="Times New Roman" w:eastAsiaTheme="minorEastAsia"/>
                <w:sz w:val="20"/>
                <w:szCs w:val="20"/>
              </w:rPr>
            </w:pPr>
            <w:r>
              <w:rPr>
                <w:rFonts w:ascii="Times New Roman" w:hAnsi="Times New Roman" w:cs="Times New Roman" w:eastAsiaTheme="minorEastAsia"/>
                <w:b/>
                <w:bCs/>
                <w:sz w:val="20"/>
                <w:szCs w:val="20"/>
              </w:rPr>
              <w:t>智慧水利类：</w:t>
            </w:r>
            <w:r>
              <w:rPr>
                <w:rFonts w:ascii="Times New Roman" w:hAnsi="Times New Roman" w:cs="Times New Roman" w:eastAsiaTheme="minorEastAsia"/>
                <w:sz w:val="20"/>
                <w:szCs w:val="20"/>
              </w:rPr>
              <w:t>智慧水利提升工程。</w:t>
            </w:r>
          </w:p>
          <w:p w14:paraId="2044A72E">
            <w:pPr>
              <w:overflowPunct w:val="0"/>
              <w:spacing w:line="360" w:lineRule="exact"/>
              <w:ind w:firstLine="402"/>
              <w:rPr>
                <w:rFonts w:ascii="Times New Roman" w:hAnsi="Times New Roman" w:cs="Times New Roman" w:eastAsiaTheme="minorEastAsia"/>
                <w:sz w:val="20"/>
                <w:szCs w:val="20"/>
              </w:rPr>
            </w:pPr>
            <w:r>
              <w:rPr>
                <w:rFonts w:ascii="Times New Roman" w:hAnsi="Times New Roman" w:cs="Times New Roman" w:eastAsiaTheme="minorEastAsia"/>
                <w:b/>
                <w:bCs/>
                <w:sz w:val="20"/>
                <w:szCs w:val="20"/>
              </w:rPr>
              <w:t>垃圾循环利用类：</w:t>
            </w:r>
            <w:r>
              <w:rPr>
                <w:rFonts w:ascii="Times New Roman" w:hAnsi="Times New Roman" w:cs="Times New Roman" w:eastAsiaTheme="minorEastAsia"/>
                <w:sz w:val="20"/>
                <w:szCs w:val="20"/>
              </w:rPr>
              <w:t>璟盛生活垃圾资源化更新改造项目；建筑垃圾资源化利用项目；沁水县建筑垃圾资源化再生利用项目。</w:t>
            </w:r>
          </w:p>
          <w:p w14:paraId="04CE5F97">
            <w:pPr>
              <w:overflowPunct w:val="0"/>
              <w:spacing w:line="360" w:lineRule="exact"/>
              <w:ind w:firstLine="402"/>
              <w:rPr>
                <w:rFonts w:ascii="Times New Roman" w:hAnsi="Times New Roman" w:cs="Times New Roman"/>
                <w:sz w:val="20"/>
                <w:szCs w:val="20"/>
              </w:rPr>
            </w:pPr>
            <w:r>
              <w:rPr>
                <w:rFonts w:ascii="Times New Roman" w:hAnsi="Times New Roman" w:cs="Times New Roman" w:eastAsiaTheme="minorEastAsia"/>
                <w:b/>
                <w:bCs/>
                <w:sz w:val="20"/>
                <w:szCs w:val="20"/>
              </w:rPr>
              <w:t>循环经济类项目：</w:t>
            </w:r>
            <w:r>
              <w:rPr>
                <w:rFonts w:ascii="Times New Roman" w:hAnsi="Times New Roman" w:cs="Times New Roman" w:eastAsiaTheme="minorEastAsia"/>
                <w:sz w:val="20"/>
                <w:szCs w:val="20"/>
              </w:rPr>
              <w:t>循环经济产业园（三期）建设项目。</w:t>
            </w:r>
          </w:p>
        </w:tc>
      </w:tr>
    </w:tbl>
    <w:p w14:paraId="36708220">
      <w:pPr>
        <w:overflowPunct w:val="0"/>
        <w:spacing w:line="622" w:lineRule="exact"/>
        <w:ind w:firstLine="640"/>
        <w:rPr>
          <w:rFonts w:ascii="Times New Roman" w:hAnsi="Times New Roman" w:eastAsia="楷体_GB2312" w:cs="Times New Roman"/>
        </w:rPr>
      </w:pPr>
      <w:bookmarkStart w:id="121" w:name="_Toc23926"/>
    </w:p>
    <w:p w14:paraId="153CC864">
      <w:pPr>
        <w:overflowPunct w:val="0"/>
        <w:spacing w:line="622" w:lineRule="exact"/>
        <w:ind w:firstLine="0" w:firstLineChars="0"/>
        <w:jc w:val="center"/>
        <w:outlineLvl w:val="1"/>
        <w:rPr>
          <w:rFonts w:hint="eastAsia" w:ascii="楷体_GB2312" w:hAnsi="楷体_GB2312" w:eastAsia="楷体_GB2312" w:cs="楷体_GB2312"/>
        </w:rPr>
      </w:pPr>
      <w:bookmarkStart w:id="122" w:name="_Toc7854"/>
      <w:r>
        <w:rPr>
          <w:rFonts w:hint="eastAsia" w:ascii="楷体_GB2312" w:hAnsi="楷体_GB2312" w:eastAsia="楷体_GB2312" w:cs="楷体_GB2312"/>
        </w:rPr>
        <w:t>第四节  积极稳妥推进碳达峰沁水行动</w:t>
      </w:r>
      <w:bookmarkEnd w:id="121"/>
      <w:bookmarkEnd w:id="122"/>
    </w:p>
    <w:p w14:paraId="57E051BC">
      <w:pPr>
        <w:tabs>
          <w:tab w:val="left" w:pos="312"/>
        </w:tabs>
        <w:overflowPunct w:val="0"/>
        <w:spacing w:line="622" w:lineRule="exact"/>
        <w:ind w:firstLine="640"/>
        <w:rPr>
          <w:rFonts w:ascii="Times New Roman" w:hAnsi="Times New Roman" w:cs="Times New Roman"/>
          <w:szCs w:val="32"/>
        </w:rPr>
      </w:pPr>
    </w:p>
    <w:p w14:paraId="53AC75FB">
      <w:pPr>
        <w:tabs>
          <w:tab w:val="left" w:pos="312"/>
        </w:tabs>
        <w:overflowPunct w:val="0"/>
        <w:spacing w:line="622" w:lineRule="exact"/>
        <w:ind w:firstLine="640"/>
        <w:rPr>
          <w:rFonts w:ascii="Times New Roman" w:hAnsi="Times New Roman" w:cs="Times New Roman"/>
          <w:szCs w:val="32"/>
        </w:rPr>
      </w:pPr>
      <w:r>
        <w:rPr>
          <w:rFonts w:ascii="Times New Roman" w:hAnsi="Times New Roman" w:cs="Times New Roman"/>
          <w:szCs w:val="32"/>
        </w:rPr>
        <w:t>严格落实省市碳达峰行动，全面实施以强度控制为主、总量控制为辅的碳排放双控制度，深入推进重点行业节能降碳，</w:t>
      </w:r>
      <w:r>
        <w:rPr>
          <w:rFonts w:hint="eastAsia" w:ascii="Times New Roman" w:hAnsi="Times New Roman" w:cs="Times New Roman"/>
          <w:szCs w:val="32"/>
        </w:rPr>
        <w:t>确保</w:t>
      </w:r>
      <w:r>
        <w:rPr>
          <w:rFonts w:ascii="Times New Roman" w:hAnsi="Times New Roman" w:cs="Times New Roman"/>
          <w:szCs w:val="32"/>
        </w:rPr>
        <w:t>实现碳排放达峰</w:t>
      </w:r>
      <w:r>
        <w:rPr>
          <w:rFonts w:hint="eastAsia" w:ascii="Times New Roman" w:hAnsi="Times New Roman" w:cs="Times New Roman"/>
          <w:szCs w:val="32"/>
        </w:rPr>
        <w:t>目标</w:t>
      </w:r>
      <w:r>
        <w:rPr>
          <w:rFonts w:ascii="Times New Roman" w:hAnsi="Times New Roman" w:cs="Times New Roman"/>
          <w:szCs w:val="32"/>
        </w:rPr>
        <w:t>。</w:t>
      </w:r>
    </w:p>
    <w:p w14:paraId="1A37127A">
      <w:pPr>
        <w:overflowPunct w:val="0"/>
        <w:spacing w:line="622" w:lineRule="exact"/>
        <w:ind w:firstLine="643"/>
        <w:rPr>
          <w:rStyle w:val="24"/>
          <w:rFonts w:ascii="Times New Roman" w:hAnsi="Times New Roman" w:cs="Times New Roman"/>
          <w:i w:val="0"/>
          <w:szCs w:val="32"/>
          <w:shd w:val="clear" w:color="auto" w:fill="FFFFFF"/>
        </w:rPr>
      </w:pPr>
      <w:r>
        <w:rPr>
          <w:rFonts w:ascii="Times New Roman" w:hAnsi="Times New Roman" w:cs="Times New Roman"/>
          <w:b/>
          <w:bCs/>
          <w:szCs w:val="32"/>
        </w:rPr>
        <w:t>推进重点领域节能降碳增效。</w:t>
      </w:r>
      <w:r>
        <w:rPr>
          <w:rFonts w:ascii="Times New Roman" w:hAnsi="Times New Roman" w:cs="Times New Roman"/>
        </w:rPr>
        <w:t>工业领域深入实施煤炭、焦化、建材等重点行业节能降碳专项行动，全面推进清洁生产，推动产业用能结构优化，鼓励企业开展节能降碳技术改造，严格能效和排放约束。城乡建设领域全面推广绿色建筑标准，推动既有建筑节能改造，鼓励使用可再生能源供暖。交通领域优化交通运输结构，完善城市公共交通网络，加快充电桩等配套设施建设，推广新能源汽车在公共领域的应用。农业领域推进化肥农药减量增效，加强畜禽养殖废弃物资源化利用，有效控制非二氧化碳温室气体排放。</w:t>
      </w:r>
    </w:p>
    <w:p w14:paraId="4DCC8233">
      <w:pPr>
        <w:overflowPunct w:val="0"/>
        <w:spacing w:line="622" w:lineRule="exact"/>
        <w:ind w:firstLine="643"/>
        <w:rPr>
          <w:rFonts w:ascii="Times New Roman" w:hAnsi="Times New Roman" w:cs="Times New Roman"/>
          <w:kern w:val="0"/>
          <w:szCs w:val="32"/>
          <w:lang w:bidi="ar"/>
        </w:rPr>
      </w:pPr>
      <w:r>
        <w:rPr>
          <w:rFonts w:ascii="Times New Roman" w:hAnsi="Times New Roman" w:cs="Times New Roman"/>
          <w:b/>
          <w:bCs/>
          <w:szCs w:val="32"/>
        </w:rPr>
        <w:t>构建碳排放双控制度体系。</w:t>
      </w:r>
      <w:r>
        <w:rPr>
          <w:rFonts w:ascii="Times New Roman" w:hAnsi="Times New Roman" w:cs="Times New Roman"/>
          <w:szCs w:val="32"/>
        </w:rPr>
        <w:t>围绕目标刚性管控、机制创新突破、市场有效赋能、监管精准高效，构建覆盖重点行业及企业的碳排放双控体系，实现二氧化碳排放稳中有降。做好能耗双控向碳排放双控过渡的衔接，探索建立重点行业碳足迹背景数据库，支持企业挖掘节能降碳潜力。探索建立生态系统碳汇监测核算体系，开展森林、草原、湿地等碳汇本底调查和源汇动态评估。鼓励重点排放企业开展碳资产管理。积极推进煤矿瓦斯综合利用、煤层气行业甲烷减排、可再生能源开发和生态碳汇等领域的国家温室气体自愿减排项目开发。积极参与电力市场化改革，促进企业参与绿电交易。强化碳排放双控统计核算与监督管理，落实碳排放统计核算制度。</w:t>
      </w:r>
      <w:r>
        <w:rPr>
          <w:rFonts w:ascii="Times New Roman" w:hAnsi="Times New Roman" w:cs="Times New Roman"/>
          <w:kern w:val="0"/>
          <w:szCs w:val="32"/>
          <w:lang w:bidi="ar"/>
        </w:rPr>
        <w:t>稳步实施地方碳考核、行业碳管控、企业碳管理、项目碳评价、产品碳足迹等政策制度和管理机制，深入实施重点领域节能降碳改造。</w:t>
      </w:r>
    </w:p>
    <w:p w14:paraId="39ABBAFD">
      <w:pPr>
        <w:overflowPunct w:val="0"/>
        <w:spacing w:line="622" w:lineRule="exact"/>
        <w:ind w:firstLine="640"/>
        <w:rPr>
          <w:rFonts w:ascii="Times New Roman" w:hAnsi="Times New Roman" w:cs="Times New Roman"/>
        </w:rPr>
      </w:pPr>
      <w:bookmarkStart w:id="123" w:name="_Toc19527"/>
    </w:p>
    <w:p w14:paraId="0C315B4C">
      <w:pPr>
        <w:overflowPunct w:val="0"/>
        <w:spacing w:line="622" w:lineRule="exact"/>
        <w:ind w:firstLine="0" w:firstLineChars="0"/>
        <w:jc w:val="center"/>
        <w:rPr>
          <w:rFonts w:ascii="Times New Roman" w:hAnsi="Times New Roman" w:cs="Times New Roman"/>
        </w:rPr>
      </w:pPr>
    </w:p>
    <w:p w14:paraId="5C882EDA">
      <w:pPr>
        <w:overflowPunct w:val="0"/>
        <w:spacing w:line="622" w:lineRule="exact"/>
        <w:ind w:firstLine="0" w:firstLineChars="0"/>
        <w:jc w:val="center"/>
        <w:outlineLvl w:val="1"/>
        <w:rPr>
          <w:rFonts w:hint="eastAsia" w:ascii="楷体_GB2312" w:hAnsi="楷体_GB2312" w:eastAsia="楷体_GB2312" w:cs="楷体_GB2312"/>
        </w:rPr>
      </w:pPr>
      <w:bookmarkStart w:id="124" w:name="_Toc26774"/>
      <w:r>
        <w:rPr>
          <w:rFonts w:hint="eastAsia" w:ascii="楷体_GB2312" w:hAnsi="楷体_GB2312" w:eastAsia="楷体_GB2312" w:cs="楷体_GB2312"/>
        </w:rPr>
        <w:t>第五节  培育全社会绿色生产生活方式</w:t>
      </w:r>
      <w:bookmarkEnd w:id="123"/>
      <w:bookmarkEnd w:id="124"/>
    </w:p>
    <w:p w14:paraId="6F7A3C88">
      <w:pPr>
        <w:overflowPunct w:val="0"/>
        <w:spacing w:line="622" w:lineRule="exact"/>
        <w:ind w:firstLine="640"/>
        <w:textAlignment w:val="baseline"/>
        <w:rPr>
          <w:rFonts w:ascii="Times New Roman" w:hAnsi="Times New Roman" w:cs="Times New Roman"/>
        </w:rPr>
      </w:pPr>
    </w:p>
    <w:p w14:paraId="3F71175B">
      <w:pPr>
        <w:overflowPunct w:val="0"/>
        <w:spacing w:line="622" w:lineRule="exact"/>
        <w:ind w:firstLine="640"/>
        <w:textAlignment w:val="baseline"/>
        <w:rPr>
          <w:rFonts w:hint="eastAsia" w:ascii="仿宋_GB2312" w:hAnsi="仿宋_GB2312" w:cs="仿宋_GB2312"/>
          <w:b/>
          <w:bCs/>
        </w:rPr>
      </w:pPr>
      <w:r>
        <w:rPr>
          <w:rFonts w:hint="eastAsia" w:ascii="仿宋_GB2312" w:hAnsi="仿宋_GB2312" w:cs="仿宋_GB2312"/>
        </w:rPr>
        <w:t>积极探索绿色发展新路径，推进产业生态化、生态产业化，加快形成绿色生产方式和生活方式。</w:t>
      </w:r>
    </w:p>
    <w:p w14:paraId="7099D1E7">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rPr>
        <w:t>构</w:t>
      </w:r>
      <w:r>
        <w:rPr>
          <w:rFonts w:hint="eastAsia" w:ascii="仿宋_GB2312" w:hAnsi="仿宋_GB2312" w:cs="仿宋_GB2312"/>
          <w:b/>
          <w:bCs/>
          <w:spacing w:val="-6"/>
        </w:rPr>
        <w:t>建绿色低碳产业体系。</w:t>
      </w:r>
      <w:r>
        <w:rPr>
          <w:rFonts w:hint="eastAsia" w:ascii="仿宋_GB2312" w:hAnsi="仿宋_GB2312" w:cs="仿宋_GB2312"/>
          <w:spacing w:val="-6"/>
          <w:szCs w:val="32"/>
        </w:rPr>
        <w:t>全面推行“生态+”“+生态”融合发展新模式，</w:t>
      </w:r>
      <w:r>
        <w:rPr>
          <w:rFonts w:hint="eastAsia" w:ascii="仿宋_GB2312" w:hAnsi="仿宋_GB2312" w:cs="仿宋_GB2312"/>
          <w:spacing w:val="-6"/>
          <w:kern w:val="0"/>
          <w:szCs w:val="32"/>
          <w:lang w:bidi="ar"/>
        </w:rPr>
        <w:t>推动工业、城乡建设、交通运输、能源、公共机构等重点领域绿色低碳转型，培育壮大绿色产业集群。</w:t>
      </w:r>
      <w:r>
        <w:rPr>
          <w:rFonts w:hint="eastAsia" w:ascii="仿宋_GB2312" w:hAnsi="仿宋_GB2312" w:cs="仿宋_GB2312"/>
          <w:spacing w:val="-6"/>
          <w:szCs w:val="32"/>
        </w:rPr>
        <w:t>推动传统产业绿色转型升级，构建以产业生态化和生态产业化为核心的生态经济体系。聚焦节能环保、清洁生产、清洁能源等重点领域，培育壮大绿色产业集群。构建市场导向的绿色技术创新体系，落地实施绿色技术研发示范工程，以科技创新赋能产业绿色发展。开展工业园区清洁生产试点建设，推进绿色工厂、绿色园区创建，持续提升园区综合能效，健全绿色工业体系。推动商贸物流、交通运输、餐饮住宿等服务业绿色转型，倡导绿色消费理念。依托县域山地、林地、水域等特色资源，因地制宜发展气候经济、山上经济、水中经济、林下经济，实现生态保护与产业发展协同共进。</w:t>
      </w:r>
    </w:p>
    <w:p w14:paraId="58166E92">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践行绿色低碳生活方式。</w:t>
      </w:r>
      <w:r>
        <w:rPr>
          <w:rFonts w:hint="eastAsia" w:ascii="仿宋_GB2312" w:hAnsi="仿宋_GB2312" w:cs="仿宋_GB2312"/>
          <w:szCs w:val="32"/>
        </w:rPr>
        <w:t>倡导简约适度、绿色低碳生活方式，营造健康文明生活新风尚。积极培育“美丽细胞”，开展“美丽系列”建设，重点推进美丽河流、美丽乡村、美丽园区、美丽庭院等。推动公共机构节能降碳，推广光伏供电、节水器具等节能技术，建设绿色机关。全面建设绿色低碳交通体系，持续推进城市公交车电动化替代。大力推广绿色低碳建筑，城镇新建建筑全面执行绿色建筑标准。推进城镇既有居住建筑和市政基础设施节能改造。推动消费品以旧换新，推广应用绿色低碳消费品。全面推进生活垃圾分类，</w:t>
      </w:r>
      <w:r>
        <w:rPr>
          <w:rFonts w:hint="eastAsia" w:ascii="仿宋_GB2312" w:hAnsi="仿宋_GB2312" w:cs="仿宋_GB2312"/>
          <w:kern w:val="0"/>
          <w:szCs w:val="32"/>
          <w:lang w:bidi="ar"/>
        </w:rPr>
        <w:t>提高垃圾资源化利用水平</w:t>
      </w:r>
      <w:r>
        <w:rPr>
          <w:rFonts w:hint="eastAsia" w:ascii="仿宋_GB2312" w:hAnsi="仿宋_GB2312" w:cs="仿宋_GB2312"/>
          <w:spacing w:val="6"/>
          <w:kern w:val="0"/>
          <w:szCs w:val="32"/>
          <w:lang w:bidi="ar"/>
        </w:rPr>
        <w:t>，</w:t>
      </w:r>
      <w:r>
        <w:rPr>
          <w:rFonts w:hint="eastAsia" w:ascii="仿宋_GB2312" w:hAnsi="仿宋_GB2312" w:cs="仿宋_GB2312"/>
          <w:spacing w:val="6"/>
          <w:szCs w:val="32"/>
        </w:rPr>
        <w:t>加快生活垃圾和餐厨垃圾回收利用，有效促进垃圾源头减量</w:t>
      </w:r>
      <w:r>
        <w:rPr>
          <w:rFonts w:hint="eastAsia" w:ascii="仿宋_GB2312" w:hAnsi="仿宋_GB2312" w:cs="仿宋_GB2312"/>
          <w:szCs w:val="32"/>
        </w:rPr>
        <w:t>。</w:t>
      </w:r>
    </w:p>
    <w:p w14:paraId="6F9CC75B">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创</w:t>
      </w:r>
      <w:r>
        <w:rPr>
          <w:rFonts w:hint="eastAsia" w:ascii="仿宋_GB2312" w:hAnsi="仿宋_GB2312" w:cs="仿宋_GB2312"/>
          <w:b/>
          <w:bCs/>
          <w:spacing w:val="6"/>
          <w:szCs w:val="32"/>
        </w:rPr>
        <w:t>新绿色发展体制机制。</w:t>
      </w:r>
      <w:r>
        <w:rPr>
          <w:rFonts w:hint="eastAsia" w:ascii="仿宋_GB2312" w:hAnsi="仿宋_GB2312" w:cs="仿宋_GB2312"/>
          <w:spacing w:val="6"/>
          <w:kern w:val="0"/>
          <w:szCs w:val="32"/>
          <w:lang w:bidi="ar"/>
        </w:rPr>
        <w:t>完善生态保护补偿制度和生态产品价值实现机制，落实促进绿色低碳发展的财税、金融、投资、价格、科技、环保政策。</w:t>
      </w:r>
      <w:r>
        <w:rPr>
          <w:rFonts w:hint="eastAsia" w:ascii="仿宋_GB2312" w:hAnsi="仿宋_GB2312" w:cs="仿宋_GB2312"/>
          <w:spacing w:val="6"/>
          <w:szCs w:val="32"/>
        </w:rPr>
        <w:t>健全绿色消费激励机制，优化政府绿色采购制度。深化生态产品价值实现机制改革，开展生态产品价值实现试点示范，推动生态资源向经济价值有效转化。创新以生态环境为导向的城市开发模式（EOD），构建以价值开发为核心的生态价值转化路径，实现生态保护与城市发展良性互动。健全生态文明市场机制，完善市场化、多元化生态补偿模式，建立健全地区间横向生态保护补偿机制，强化生态保护责任落实。深入开展环境强制责任保险试点，提升生态环境风险防控能力。建立健全吸引社会资本投入生态环境保护的市场机制，鼓励和引导社会资本参与绿色基础设施建设，积极探索绿色信贷、绿色债券等金融产品开发，为沁水县生态保护与绿色发展持续注入金融“活水”。</w:t>
      </w:r>
    </w:p>
    <w:p w14:paraId="6C98D29C">
      <w:pPr>
        <w:overflowPunct w:val="0"/>
        <w:spacing w:line="622" w:lineRule="exact"/>
        <w:ind w:firstLine="640"/>
        <w:rPr>
          <w:rFonts w:ascii="Times New Roman" w:hAnsi="Times New Roman" w:cs="Times New Roman"/>
        </w:rPr>
      </w:pPr>
      <w:r>
        <w:rPr>
          <w:rFonts w:hint="eastAsia" w:ascii="Times New Roman" w:hAnsi="Times New Roman" w:cs="Times New Roman"/>
        </w:rPr>
        <w:br w:type="page"/>
      </w:r>
    </w:p>
    <w:p w14:paraId="3DD4A1E2">
      <w:pPr>
        <w:overflowPunct w:val="0"/>
        <w:spacing w:line="622" w:lineRule="exact"/>
        <w:ind w:firstLine="640"/>
        <w:rPr>
          <w:rFonts w:ascii="Times New Roman" w:hAnsi="Times New Roman" w:cs="Times New Roman"/>
        </w:rPr>
      </w:pPr>
      <w:bookmarkStart w:id="125" w:name="_Toc23285"/>
    </w:p>
    <w:p w14:paraId="215334A5">
      <w:pPr>
        <w:overflowPunct w:val="0"/>
        <w:spacing w:line="622" w:lineRule="exact"/>
        <w:ind w:firstLine="0" w:firstLineChars="0"/>
        <w:jc w:val="center"/>
        <w:outlineLvl w:val="0"/>
        <w:rPr>
          <w:rFonts w:hint="eastAsia" w:ascii="黑体" w:hAnsi="黑体" w:eastAsia="黑体" w:cs="黑体"/>
          <w:szCs w:val="32"/>
        </w:rPr>
      </w:pPr>
      <w:bookmarkStart w:id="126" w:name="_Toc26616"/>
      <w:r>
        <w:rPr>
          <w:rFonts w:hint="eastAsia" w:ascii="黑体" w:hAnsi="黑体" w:eastAsia="黑体" w:cs="黑体"/>
          <w:szCs w:val="32"/>
        </w:rPr>
        <w:t>第十一章</w:t>
      </w:r>
      <w:r>
        <w:rPr>
          <w:rFonts w:hint="eastAsia" w:ascii="黑体" w:hAnsi="黑体" w:eastAsia="黑体" w:cs="黑体"/>
          <w:szCs w:val="32"/>
          <w:lang w:val="en-US" w:eastAsia="zh-CN"/>
        </w:rPr>
        <w:t xml:space="preserve"> </w:t>
      </w:r>
      <w:r>
        <w:rPr>
          <w:rFonts w:hint="eastAsia" w:ascii="黑体" w:hAnsi="黑体" w:eastAsia="黑体" w:cs="黑体"/>
          <w:szCs w:val="32"/>
        </w:rPr>
        <w:t>着力增强民生福祉</w:t>
      </w:r>
      <w:r>
        <w:rPr>
          <w:rFonts w:hint="eastAsia" w:ascii="黑体" w:hAnsi="黑体" w:eastAsia="黑体" w:cs="黑体"/>
          <w:szCs w:val="32"/>
          <w:lang w:val="en-US" w:eastAsia="zh-CN"/>
        </w:rPr>
        <w:t xml:space="preserve"> </w:t>
      </w:r>
      <w:r>
        <w:rPr>
          <w:rFonts w:hint="eastAsia" w:ascii="黑体" w:hAnsi="黑体" w:eastAsia="黑体" w:cs="黑体"/>
          <w:szCs w:val="32"/>
        </w:rPr>
        <w:t>全面打造共同富裕“沁水样板”</w:t>
      </w:r>
      <w:bookmarkEnd w:id="125"/>
      <w:bookmarkEnd w:id="126"/>
    </w:p>
    <w:p w14:paraId="101753BE">
      <w:pPr>
        <w:overflowPunct w:val="0"/>
        <w:spacing w:line="622" w:lineRule="exact"/>
        <w:ind w:firstLine="640"/>
        <w:rPr>
          <w:rFonts w:ascii="Times New Roman" w:hAnsi="Times New Roman" w:cs="Times New Roman"/>
          <w:szCs w:val="32"/>
        </w:rPr>
      </w:pPr>
    </w:p>
    <w:p w14:paraId="69F46388">
      <w:pPr>
        <w:overflowPunct w:val="0"/>
        <w:spacing w:line="622" w:lineRule="exact"/>
        <w:ind w:firstLine="640"/>
        <w:rPr>
          <w:rFonts w:ascii="Times New Roman" w:hAnsi="Times New Roman" w:cs="Times New Roman"/>
          <w:szCs w:val="32"/>
        </w:rPr>
      </w:pPr>
      <w:r>
        <w:rPr>
          <w:rFonts w:ascii="Times New Roman" w:hAnsi="Times New Roman" w:cs="Times New Roman"/>
          <w:szCs w:val="32"/>
        </w:rPr>
        <w:t>锚定人民日益增长的美好生活需要，统筹推进普惠性、基础性、兜底性民生建设，持续提升公共服务的品质与效率，切实</w:t>
      </w:r>
      <w:r>
        <w:rPr>
          <w:rFonts w:ascii="Times New Roman" w:hAnsi="Times New Roman" w:cs="Times New Roman"/>
        </w:rPr>
        <w:t>增强人民群众的获得感、幸福感和安全感，</w:t>
      </w:r>
      <w:r>
        <w:rPr>
          <w:rFonts w:ascii="Times New Roman" w:hAnsi="Times New Roman" w:cs="Times New Roman"/>
          <w:szCs w:val="32"/>
        </w:rPr>
        <w:t>推动民生福祉全面跃升。</w:t>
      </w:r>
    </w:p>
    <w:p w14:paraId="5F9B4B7F">
      <w:pPr>
        <w:overflowPunct w:val="0"/>
        <w:spacing w:line="622" w:lineRule="exact"/>
        <w:ind w:firstLine="640"/>
        <w:rPr>
          <w:rFonts w:ascii="Times New Roman" w:hAnsi="Times New Roman" w:cs="Times New Roman"/>
        </w:rPr>
      </w:pPr>
      <w:bookmarkStart w:id="127" w:name="_Toc19638"/>
    </w:p>
    <w:p w14:paraId="63AC20F9">
      <w:pPr>
        <w:overflowPunct w:val="0"/>
        <w:spacing w:line="622" w:lineRule="exact"/>
        <w:ind w:firstLine="0" w:firstLineChars="0"/>
        <w:jc w:val="center"/>
        <w:outlineLvl w:val="1"/>
        <w:rPr>
          <w:rFonts w:hint="eastAsia" w:ascii="楷体_GB2312" w:hAnsi="楷体_GB2312" w:eastAsia="楷体_GB2312" w:cs="楷体_GB2312"/>
        </w:rPr>
      </w:pPr>
      <w:bookmarkStart w:id="128" w:name="_Toc14965"/>
      <w:r>
        <w:rPr>
          <w:rFonts w:hint="eastAsia" w:ascii="楷体_GB2312" w:hAnsi="楷体_GB2312" w:eastAsia="楷体_GB2312" w:cs="楷体_GB2312"/>
        </w:rPr>
        <w:t>第一节  促进更加充分更高质量就业</w:t>
      </w:r>
      <w:bookmarkEnd w:id="127"/>
      <w:bookmarkEnd w:id="128"/>
    </w:p>
    <w:p w14:paraId="5D79E87E">
      <w:pPr>
        <w:overflowPunct w:val="0"/>
        <w:spacing w:line="622" w:lineRule="exact"/>
        <w:ind w:firstLine="640"/>
        <w:rPr>
          <w:rFonts w:ascii="Times New Roman" w:hAnsi="Times New Roman" w:cs="Times New Roman"/>
          <w:szCs w:val="32"/>
          <w14:ligatures w14:val="standardContextual"/>
        </w:rPr>
      </w:pPr>
    </w:p>
    <w:p w14:paraId="28D9032A">
      <w:pPr>
        <w:overflowPunct w:val="0"/>
        <w:spacing w:line="622" w:lineRule="exact"/>
        <w:ind w:firstLine="640"/>
        <w:rPr>
          <w:rFonts w:hint="eastAsia" w:ascii="仿宋_GB2312" w:hAnsi="仿宋_GB2312" w:cs="仿宋_GB2312"/>
          <w:szCs w:val="32"/>
          <w14:ligatures w14:val="standardContextual"/>
        </w:rPr>
      </w:pPr>
      <w:r>
        <w:rPr>
          <w:rFonts w:hint="eastAsia" w:ascii="仿宋_GB2312" w:hAnsi="仿宋_GB2312" w:cs="仿宋_GB2312"/>
          <w:szCs w:val="32"/>
          <w14:ligatures w14:val="standardContextual"/>
        </w:rPr>
        <w:t>紧紧围绕“民生为本，人才优先”战略方针，坚持实施更加积极的就业政策，促进以创业带动就业，全力拓展就业新空间，不断提高城乡居民收入水平。</w:t>
      </w:r>
    </w:p>
    <w:p w14:paraId="285B307C">
      <w:pPr>
        <w:overflowPunct w:val="0"/>
        <w:spacing w:line="622" w:lineRule="exact"/>
        <w:ind w:firstLine="643"/>
        <w:rPr>
          <w:rFonts w:hint="eastAsia" w:ascii="仿宋_GB2312" w:hAnsi="仿宋_GB2312" w:cs="仿宋_GB2312"/>
          <w:szCs w:val="32"/>
          <w14:ligatures w14:val="standardContextual"/>
        </w:rPr>
      </w:pPr>
      <w:r>
        <w:rPr>
          <w:rFonts w:hint="eastAsia" w:ascii="仿宋_GB2312" w:hAnsi="仿宋_GB2312" w:cs="仿宋_GB2312"/>
          <w:b/>
          <w:bCs/>
          <w:szCs w:val="32"/>
          <w14:ligatures w14:val="standardContextual"/>
        </w:rPr>
        <w:t>多向发力稳住就业基本盘。</w:t>
      </w:r>
      <w:r>
        <w:rPr>
          <w:rFonts w:hint="eastAsia" w:ascii="仿宋_GB2312" w:hAnsi="仿宋_GB2312" w:cs="仿宋_GB2312"/>
          <w:szCs w:val="32"/>
        </w:rPr>
        <w:t>加强产业和就业协同，全面落实各项减负稳岗扩就业政策，支持传统产业和新兴产业经营主体稳定和扩大就业容量。实施重点领域岗位挖潜扩容计划</w:t>
      </w:r>
      <w:r>
        <w:rPr>
          <w:rFonts w:hint="eastAsia" w:ascii="仿宋_GB2312" w:hAnsi="仿宋_GB2312" w:cs="仿宋_GB2312"/>
          <w:szCs w:val="32"/>
          <w14:ligatures w14:val="standardContextual"/>
        </w:rPr>
        <w:t>，协同培育数字经济、绿色经济、银发经济、夜间经济等新兴就业增长点，挖掘培育就业增量。全面落实就业补贴、税费减免、创业担保贷款等扶持政策，推广“一键申领、直补快办”，支持稳定就业存量。扎实推进精准帮扶专项行动，稳定和扩大高校毕业生、农民工、退役军人等重点群体，推动灵活就业、新就业形态健康发展。进一步加大以工代赈项目谋划储备，最大力度吸纳困难群众参与建设，实现就地就近就业。推进以科技为支撑、以乡情为纽带的青年返乡创业，激发创业带动就业新动能。</w:t>
      </w:r>
    </w:p>
    <w:p w14:paraId="4D5FD0CD">
      <w:pPr>
        <w:overflowPunct w:val="0"/>
        <w:spacing w:line="622" w:lineRule="exact"/>
        <w:ind w:firstLine="643"/>
        <w:rPr>
          <w:rFonts w:hint="eastAsia" w:ascii="仿宋_GB2312" w:hAnsi="仿宋_GB2312" w:cs="仿宋_GB2312"/>
          <w:szCs w:val="32"/>
          <w14:ligatures w14:val="standardContextual"/>
        </w:rPr>
      </w:pPr>
      <w:r>
        <w:rPr>
          <w:rFonts w:hint="eastAsia" w:ascii="仿宋_GB2312" w:hAnsi="仿宋_GB2312" w:cs="仿宋_GB2312"/>
          <w:b/>
          <w:bCs/>
          <w:szCs w:val="32"/>
          <w14:ligatures w14:val="standardContextual"/>
        </w:rPr>
        <w:t>健全终身职业技能培训体系</w:t>
      </w:r>
      <w:r>
        <w:rPr>
          <w:rFonts w:hint="eastAsia" w:ascii="仿宋_GB2312" w:hAnsi="仿宋_GB2312" w:cs="仿宋_GB2312"/>
          <w:szCs w:val="32"/>
          <w14:ligatures w14:val="standardContextual"/>
        </w:rPr>
        <w:t>。立足县域产业发展需求和市场紧缺工种导向，高质量开展职业技能培训，推动“岗位需求+技能培训+技能评价+就业服务”四位一体联动贯通，持续推进“技能沁水”建设。探索“基地+院校+企业”共建共享模式，健全“产业需求动态跟踪—培训方案实时优化—人才质量闭环评价”机制，着力打造“全国煤层气产业人才培育与技术研发高地”。围绕“提技能、强队伍”目标，积极争取各类培训项目，不断提升增强“沁河采掘工”劳务品牌市场竞争力和影响力，培育一批特色鲜明、就业稳定、经济效益突出的新兴劳务品牌。到“十五五”末，全县专业技术人才总量突破6500人，实现年均增长4%。</w:t>
      </w:r>
    </w:p>
    <w:p w14:paraId="6FDA1473">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14:ligatures w14:val="standardContextual"/>
        </w:rPr>
        <w:t>构建完善的就业创业服务体系。</w:t>
      </w:r>
      <w:r>
        <w:rPr>
          <w:rFonts w:hint="eastAsia" w:ascii="仿宋_GB2312" w:hAnsi="仿宋_GB2312" w:cs="仿宋_GB2312"/>
          <w:szCs w:val="32"/>
          <w14:ligatures w14:val="standardContextual"/>
        </w:rPr>
        <w:t>持</w:t>
      </w:r>
      <w:r>
        <w:rPr>
          <w:rFonts w:hint="eastAsia" w:ascii="仿宋_GB2312" w:hAnsi="仿宋_GB2312" w:cs="仿宋_GB2312"/>
          <w:szCs w:val="32"/>
        </w:rPr>
        <w:t>续拓展线上业务经办功能，实现就业创业政策“一键查询”、服务事项“一网通办”，打造覆盖全民、贯穿全程、辐射全域、便捷高效的全方位公共就业服务新格局。促进服务平台一体化联动，推进公共就业服务信息平台与零工市场等互联互通，实现供需高效对接。加密招聘活动频次，举办形式多样的“小而美”“专</w:t>
      </w:r>
      <w:r>
        <w:rPr>
          <w:rFonts w:hint="eastAsia" w:ascii="仿宋_GB2312" w:hAnsi="仿宋_GB2312" w:cs="仿宋_GB2312"/>
          <w:szCs w:val="32"/>
          <w14:ligatures w14:val="standardContextual"/>
        </w:rPr>
        <w:t>而精”招聘，鼓励市场机构围绕重点群体和重点领域开展精准就业服务，</w:t>
      </w:r>
      <w:r>
        <w:rPr>
          <w:rFonts w:hint="eastAsia" w:ascii="仿宋_GB2312" w:hAnsi="仿宋_GB2312" w:cs="仿宋_GB2312"/>
          <w:szCs w:val="32"/>
        </w:rPr>
        <w:t>完善就业服务生态，多渠道增加城乡收入，优化收入分配结构。</w:t>
      </w:r>
    </w:p>
    <w:p w14:paraId="1C4F60AA">
      <w:pPr>
        <w:pStyle w:val="10"/>
        <w:overflowPunct w:val="0"/>
        <w:spacing w:after="0" w:line="622" w:lineRule="exact"/>
        <w:ind w:firstLine="643"/>
        <w:rPr>
          <w:rFonts w:hint="eastAsia" w:ascii="仿宋_GB2312" w:hAnsi="仿宋_GB2312" w:cs="仿宋_GB2312"/>
          <w:color w:val="000000" w:themeColor="text1"/>
          <w:szCs w:val="32"/>
          <w14:textFill>
            <w14:solidFill>
              <w14:schemeClr w14:val="tx1"/>
            </w14:solidFill>
          </w14:textFill>
        </w:rPr>
      </w:pPr>
      <w:r>
        <w:rPr>
          <w:rFonts w:hint="eastAsia" w:ascii="仿宋_GB2312" w:hAnsi="仿宋_GB2312" w:cs="仿宋_GB2312"/>
          <w:b/>
          <w:bCs/>
          <w:szCs w:val="32"/>
          <w14:ligatures w14:val="standardContextual"/>
        </w:rPr>
        <w:t>提高城乡居民收入水平。</w:t>
      </w:r>
      <w:r>
        <w:rPr>
          <w:rFonts w:hint="eastAsia" w:ascii="仿宋_GB2312" w:hAnsi="仿宋_GB2312" w:cs="仿宋_GB2312"/>
          <w:color w:val="000000" w:themeColor="text1"/>
          <w:szCs w:val="32"/>
          <w14:textFill>
            <w14:solidFill>
              <w14:schemeClr w14:val="tx1"/>
            </w14:solidFill>
          </w14:textFill>
        </w:rPr>
        <w:t>坚持按劳分配为主体、多种分配方式并存的基本制度，提高居民收入在国民收入分配中的比重，提高劳动报酬在初次分配中的比重，鼓励先富带后富促共富。健全各类要素由市场评价贡献、按贡献决定报酬的初次分配机制，促进多劳者多得、技高者多得、创新者多得。完善劳动者工资决定、合理增长、支付保障机制，推行工资集体协商制度，严格落实最低工资标准，加强企业工资分配宏观指导，深入推进公立医院薪酬制度改革。多渠道增加城乡居民财产性收入，加强税收、社会保障、转移支付等再分配调节。促进和规范公益慈善事业发展。加大以工代赈政策实施力度，促进群众就地参与建设，就近就业增收。</w:t>
      </w:r>
    </w:p>
    <w:p w14:paraId="2C3C07FD">
      <w:pPr>
        <w:overflowPunct w:val="0"/>
        <w:spacing w:line="622" w:lineRule="exact"/>
        <w:ind w:firstLine="640"/>
        <w:rPr>
          <w:rFonts w:ascii="Times New Roman" w:hAnsi="Times New Roman" w:cs="Times New Roman"/>
        </w:rPr>
      </w:pPr>
      <w:bookmarkStart w:id="129" w:name="_Toc20615"/>
    </w:p>
    <w:p w14:paraId="160B5186">
      <w:pPr>
        <w:overflowPunct w:val="0"/>
        <w:spacing w:line="622" w:lineRule="exact"/>
        <w:ind w:firstLine="0" w:firstLineChars="0"/>
        <w:jc w:val="center"/>
        <w:outlineLvl w:val="1"/>
        <w:rPr>
          <w:rFonts w:hint="eastAsia" w:ascii="楷体_GB2312" w:hAnsi="楷体_GB2312" w:eastAsia="楷体_GB2312" w:cs="楷体_GB2312"/>
        </w:rPr>
      </w:pPr>
      <w:bookmarkStart w:id="130" w:name="_Toc22849"/>
      <w:r>
        <w:rPr>
          <w:rFonts w:hint="eastAsia" w:ascii="楷体_GB2312" w:hAnsi="楷体_GB2312" w:eastAsia="楷体_GB2312" w:cs="楷体_GB2312"/>
        </w:rPr>
        <w:t>第二节  全力打造一流教育强县</w:t>
      </w:r>
      <w:bookmarkEnd w:id="129"/>
      <w:bookmarkEnd w:id="130"/>
    </w:p>
    <w:p w14:paraId="4B4348A3">
      <w:pPr>
        <w:overflowPunct w:val="0"/>
        <w:spacing w:line="622" w:lineRule="exact"/>
        <w:ind w:firstLine="640"/>
        <w:rPr>
          <w:rFonts w:ascii="Times New Roman" w:hAnsi="Times New Roman" w:cs="Times New Roman"/>
          <w:szCs w:val="32"/>
          <w14:ligatures w14:val="standardContextual"/>
        </w:rPr>
      </w:pPr>
    </w:p>
    <w:p w14:paraId="6F466F93">
      <w:pPr>
        <w:overflowPunct w:val="0"/>
        <w:spacing w:line="622" w:lineRule="exact"/>
        <w:ind w:firstLine="640"/>
        <w:rPr>
          <w:rFonts w:hint="eastAsia" w:ascii="仿宋_GB2312" w:hAnsi="仿宋_GB2312" w:cs="仿宋_GB2312"/>
          <w:szCs w:val="32"/>
          <w14:ligatures w14:val="standardContextual"/>
        </w:rPr>
      </w:pPr>
      <w:r>
        <w:rPr>
          <w:rFonts w:hint="eastAsia" w:ascii="仿宋_GB2312" w:hAnsi="仿宋_GB2312" w:cs="仿宋_GB2312"/>
          <w:szCs w:val="32"/>
          <w14:ligatures w14:val="standardContextual"/>
        </w:rPr>
        <w:t>坚持以高质量发展为主线、以公平普惠为基石，以办好人民满意</w:t>
      </w:r>
      <w:r>
        <w:rPr>
          <w:rFonts w:hint="eastAsia" w:ascii="仿宋_GB2312" w:hAnsi="仿宋_GB2312" w:cs="仿宋_GB2312"/>
          <w:szCs w:val="32"/>
          <w:lang w:eastAsia="zh-CN"/>
          <w14:ligatures w14:val="standardContextual"/>
        </w:rPr>
        <w:t>的</w:t>
      </w:r>
      <w:r>
        <w:rPr>
          <w:rFonts w:hint="eastAsia" w:ascii="仿宋_GB2312" w:hAnsi="仿宋_GB2312" w:cs="仿宋_GB2312"/>
          <w:szCs w:val="32"/>
          <w14:ligatures w14:val="standardContextual"/>
        </w:rPr>
        <w:t>教育为目标，深入实施“八大工程”，率先建设教育强县，为沁水高质量发展提供坚实的人才根基和智力支持。</w:t>
      </w:r>
    </w:p>
    <w:p w14:paraId="7C335CD9">
      <w:pPr>
        <w:overflowPunct w:val="0"/>
        <w:spacing w:line="622" w:lineRule="exact"/>
        <w:ind w:firstLine="643"/>
        <w:rPr>
          <w:rFonts w:hint="eastAsia" w:ascii="仿宋_GB2312" w:hAnsi="仿宋_GB2312" w:cs="仿宋_GB2312"/>
          <w:szCs w:val="32"/>
          <w14:ligatures w14:val="standardContextual"/>
        </w:rPr>
      </w:pPr>
      <w:r>
        <w:rPr>
          <w:rFonts w:hint="eastAsia" w:ascii="仿宋_GB2312" w:hAnsi="仿宋_GB2312" w:cs="仿宋_GB2312"/>
          <w:b/>
          <w:bCs/>
          <w:szCs w:val="32"/>
          <w14:ligatures w14:val="standardContextual"/>
        </w:rPr>
        <w:t>实</w:t>
      </w:r>
      <w:r>
        <w:rPr>
          <w:rFonts w:hint="eastAsia" w:ascii="仿宋_GB2312" w:hAnsi="仿宋_GB2312" w:cs="仿宋_GB2312"/>
          <w:b/>
          <w:bCs/>
          <w:spacing w:val="-6"/>
          <w:szCs w:val="32"/>
          <w14:ligatures w14:val="standardContextual"/>
        </w:rPr>
        <w:t>施学前教育优质普惠工程。</w:t>
      </w:r>
      <w:r>
        <w:rPr>
          <w:rFonts w:hint="eastAsia" w:ascii="仿宋_GB2312" w:hAnsi="仿宋_GB2312" w:cs="仿宋_GB2312"/>
          <w:spacing w:val="-6"/>
          <w:szCs w:val="32"/>
          <w14:ligatures w14:val="standardContextual"/>
        </w:rPr>
        <w:t>精准适配人口发展趋势，动态调整配置结构，推进学前教育普及普惠安全优质发展，</w:t>
      </w:r>
      <w:r>
        <w:rPr>
          <w:rFonts w:hint="eastAsia" w:ascii="仿宋_GB2312" w:hAnsi="仿宋_GB2312" w:cs="仿宋_GB2312"/>
          <w:spacing w:val="-6"/>
          <w:szCs w:val="32"/>
        </w:rPr>
        <w:t>确保2027年各项指标均达到标准，2028年通过国家学前教育普及普惠县评估认定。</w:t>
      </w:r>
      <w:r>
        <w:rPr>
          <w:rFonts w:hint="eastAsia" w:ascii="仿宋_GB2312" w:hAnsi="仿宋_GB2312" w:cs="仿宋_GB2312"/>
          <w:spacing w:val="-6"/>
          <w:szCs w:val="32"/>
          <w14:ligatures w14:val="standardContextual"/>
        </w:rPr>
        <w:t>有序扩大2—3岁幼儿托位供给，延伸学前教育服务链条，实现托幼一体化发展</w:t>
      </w:r>
      <w:r>
        <w:rPr>
          <w:rFonts w:hint="eastAsia" w:ascii="仿宋_GB2312" w:hAnsi="仿宋_GB2312" w:cs="仿宋_GB2312"/>
          <w:spacing w:val="-6"/>
          <w:szCs w:val="32"/>
          <w:lang w:eastAsia="zh-CN"/>
          <w14:ligatures w14:val="standardContextual"/>
        </w:rPr>
        <w:t>，</w:t>
      </w:r>
      <w:r>
        <w:rPr>
          <w:rFonts w:hint="eastAsia" w:ascii="仿宋_GB2312" w:hAnsi="仿宋_GB2312" w:cs="仿宋_GB2312"/>
          <w:spacing w:val="-6"/>
          <w:szCs w:val="32"/>
          <w:highlight w:val="none"/>
          <w14:ligatures w14:val="standardContextual"/>
        </w:rPr>
        <w:t>逐步推行免费学前教育</w:t>
      </w:r>
      <w:r>
        <w:rPr>
          <w:rFonts w:hint="eastAsia" w:ascii="仿宋_GB2312" w:hAnsi="仿宋_GB2312" w:cs="仿宋_GB2312"/>
          <w:spacing w:val="-6"/>
          <w:szCs w:val="32"/>
          <w:highlight w:val="none"/>
          <w:lang w:eastAsia="zh-CN"/>
          <w14:ligatures w14:val="standardContextual"/>
        </w:rPr>
        <w:t>。</w:t>
      </w:r>
      <w:r>
        <w:rPr>
          <w:rFonts w:hint="eastAsia" w:ascii="仿宋_GB2312" w:hAnsi="仿宋_GB2312" w:cs="仿宋_GB2312"/>
          <w:spacing w:val="-6"/>
          <w:szCs w:val="32"/>
          <w14:ligatures w14:val="standardContextual"/>
        </w:rPr>
        <w:t>持续提升保教质量，促进城乡协同共进，推动学前教育由“幼有所育”向“幼有优育”迈进。到“十五五”末，学前教育毛入园率达99.5%，普惠性幼儿园覆盖率达100%。</w:t>
      </w:r>
    </w:p>
    <w:p w14:paraId="597DFA2D">
      <w:pPr>
        <w:overflowPunct w:val="0"/>
        <w:spacing w:line="622" w:lineRule="exact"/>
        <w:ind w:firstLine="643"/>
        <w:rPr>
          <w:rFonts w:hint="eastAsia" w:ascii="仿宋_GB2312" w:hAnsi="仿宋_GB2312" w:cs="仿宋_GB2312"/>
          <w:szCs w:val="32"/>
          <w14:ligatures w14:val="standardContextual"/>
        </w:rPr>
      </w:pPr>
      <w:r>
        <w:rPr>
          <w:rFonts w:hint="eastAsia" w:ascii="仿宋_GB2312" w:hAnsi="仿宋_GB2312" w:cs="仿宋_GB2312"/>
          <w:b/>
          <w:bCs/>
          <w:szCs w:val="32"/>
          <w14:ligatures w14:val="standardContextual"/>
        </w:rPr>
        <w:t>实施义务教育优质均衡工程。</w:t>
      </w:r>
      <w:r>
        <w:rPr>
          <w:rFonts w:hint="eastAsia" w:ascii="仿宋_GB2312" w:hAnsi="仿宋_GB2312" w:cs="仿宋_GB2312"/>
          <w:szCs w:val="32"/>
          <w14:ligatures w14:val="standardContextual"/>
        </w:rPr>
        <w:t>稳步推进城乡义务教育一体化发展，建好9个协作型共同体和3个融合型共同体，促进城乡资源共享互通。加快义务教育优质均衡县创建，以示范初中、城镇初中新优质初中建设为标杆，深入开展新优质学校建设行动。积极推动特殊教育与普通教育、职业教育、医疗康复相结合，加强校际资源共享，切实保障特殊群体平等教育权利。到“十五五”末，全县新优质学校覆盖率达到80%以上。</w:t>
      </w:r>
    </w:p>
    <w:p w14:paraId="50F3683D">
      <w:pPr>
        <w:overflowPunct w:val="0"/>
        <w:spacing w:line="622" w:lineRule="exact"/>
        <w:ind w:firstLine="643"/>
        <w:rPr>
          <w:rFonts w:hint="eastAsia" w:ascii="仿宋_GB2312" w:hAnsi="仿宋_GB2312" w:cs="仿宋_GB2312"/>
          <w:szCs w:val="32"/>
          <w14:ligatures w14:val="standardContextual"/>
        </w:rPr>
      </w:pPr>
      <w:r>
        <w:rPr>
          <w:rFonts w:hint="eastAsia" w:ascii="仿宋_GB2312" w:hAnsi="仿宋_GB2312" w:cs="仿宋_GB2312"/>
          <w:b/>
          <w:bCs/>
          <w:szCs w:val="32"/>
          <w14:ligatures w14:val="standardContextual"/>
        </w:rPr>
        <w:t>实施高中教育优质特色工程。</w:t>
      </w:r>
      <w:r>
        <w:rPr>
          <w:rFonts w:hint="eastAsia" w:ascii="仿宋_GB2312" w:hAnsi="仿宋_GB2312" w:cs="仿宋_GB2312"/>
          <w:szCs w:val="32"/>
          <w14:ligatures w14:val="standardContextual"/>
        </w:rPr>
        <w:t>实施普通高中振兴计划，加强沁水中学与高等师范院校的交流合作，提升高中整体办学质量。加大教育信息化基础设施投入，推进智能化教学环境建设，扩大优质普高资源供给。全面深化育人方式改革，健全特色高中评价体系，促进高中教育多样特色发展。到“十五五”末，高中阶段教育完成率达94%。</w:t>
      </w:r>
    </w:p>
    <w:p w14:paraId="24F2C879">
      <w:pPr>
        <w:overflowPunct w:val="0"/>
        <w:spacing w:line="622" w:lineRule="exact"/>
        <w:ind w:firstLine="643"/>
        <w:rPr>
          <w:rFonts w:hint="eastAsia" w:ascii="仿宋_GB2312" w:hAnsi="仿宋_GB2312" w:cs="仿宋_GB2312"/>
          <w:szCs w:val="32"/>
          <w14:ligatures w14:val="standardContextual"/>
        </w:rPr>
      </w:pPr>
      <w:r>
        <w:rPr>
          <w:rFonts w:hint="eastAsia" w:ascii="仿宋_GB2312" w:hAnsi="仿宋_GB2312" w:cs="仿宋_GB2312"/>
          <w:b/>
          <w:bCs/>
          <w:szCs w:val="32"/>
          <w14:ligatures w14:val="standardContextual"/>
        </w:rPr>
        <w:t>实施职业教育产教融合工程。</w:t>
      </w:r>
      <w:r>
        <w:rPr>
          <w:rFonts w:hint="eastAsia" w:ascii="仿宋_GB2312" w:hAnsi="仿宋_GB2312" w:cs="仿宋_GB2312"/>
          <w:szCs w:val="32"/>
          <w14:ligatures w14:val="standardContextual"/>
        </w:rPr>
        <w:t>紧扣沁水经济发展战略，优化调整专业设置，</w:t>
      </w:r>
      <w:r>
        <w:rPr>
          <w:rFonts w:hint="eastAsia" w:ascii="仿宋_GB2312" w:hAnsi="仿宋_GB2312" w:cs="仿宋_GB2312"/>
          <w:szCs w:val="32"/>
        </w:rPr>
        <w:t>办好综合高中试点班，</w:t>
      </w:r>
      <w:r>
        <w:rPr>
          <w:rFonts w:hint="eastAsia" w:ascii="仿宋_GB2312" w:hAnsi="仿宋_GB2312" w:cs="仿宋_GB2312"/>
          <w:szCs w:val="32"/>
          <w14:ligatures w14:val="standardContextual"/>
        </w:rPr>
        <w:t>构建纵向贯通、横向融通、育训并举的现代职业教育体系。持续优化职业教育发展环境，深入推进产教融合发展，创新拓展校企合作模式。持续优化职业教育发展环境，强化政策支持和资源投入，提升职业教育办学水平。坚持以高质量就业为导向，积极推进职普融通改革，</w:t>
      </w:r>
      <w:r>
        <w:rPr>
          <w:rFonts w:hint="eastAsia" w:ascii="仿宋_GB2312" w:hAnsi="仿宋_GB2312" w:cs="仿宋_GB2312"/>
          <w:szCs w:val="32"/>
        </w:rPr>
        <w:t>支持职业中学选择优势专业试点开展五年制职业教育，</w:t>
      </w:r>
      <w:r>
        <w:rPr>
          <w:rFonts w:hint="eastAsia" w:ascii="仿宋_GB2312" w:hAnsi="仿宋_GB2312" w:cs="仿宋_GB2312"/>
          <w:szCs w:val="32"/>
          <w14:ligatures w14:val="standardContextual"/>
        </w:rPr>
        <w:t>增强职业教育吸引力和适应性。</w:t>
      </w:r>
    </w:p>
    <w:p w14:paraId="11019B68">
      <w:pPr>
        <w:overflowPunct w:val="0"/>
        <w:spacing w:line="622" w:lineRule="exact"/>
        <w:ind w:firstLine="643"/>
        <w:rPr>
          <w:rFonts w:hint="eastAsia" w:ascii="仿宋_GB2312" w:hAnsi="仿宋_GB2312" w:cs="仿宋_GB2312"/>
          <w:szCs w:val="32"/>
          <w14:ligatures w14:val="standardContextual"/>
        </w:rPr>
      </w:pPr>
      <w:r>
        <w:rPr>
          <w:rFonts w:hint="eastAsia" w:ascii="仿宋_GB2312" w:hAnsi="仿宋_GB2312" w:cs="仿宋_GB2312"/>
          <w:b/>
          <w:bCs/>
          <w:szCs w:val="32"/>
          <w14:ligatures w14:val="standardContextual"/>
        </w:rPr>
        <w:t>实施教师队伍“三优”培育工程。</w:t>
      </w:r>
      <w:r>
        <w:rPr>
          <w:rFonts w:hint="eastAsia" w:ascii="仿宋_GB2312" w:hAnsi="仿宋_GB2312" w:cs="仿宋_GB2312"/>
          <w:szCs w:val="32"/>
          <w14:ligatures w14:val="standardContextual"/>
        </w:rPr>
        <w:t>坚持师德师风第一标准，建立教师师德承诺和师德档案制度，健全师德师风长效机制。实施优秀队伍领航计划，开展“</w:t>
      </w:r>
      <w:r>
        <w:rPr>
          <w:rFonts w:hint="eastAsia" w:ascii="仿宋_GB2312" w:hAnsi="仿宋_GB2312" w:cs="仿宋_GB2312"/>
          <w:szCs w:val="32"/>
        </w:rPr>
        <w:t>优秀校长、优秀班主任、优秀教师</w:t>
      </w:r>
      <w:r>
        <w:rPr>
          <w:rFonts w:hint="eastAsia" w:ascii="仿宋_GB2312" w:hAnsi="仿宋_GB2312" w:cs="仿宋_GB2312"/>
          <w:szCs w:val="32"/>
          <w14:ligatures w14:val="standardContextual"/>
        </w:rPr>
        <w:t>”培塑活动，完善教师表彰激励机制。深化中小学教师“县管校聘”管理改革和职称制度改革，加强教职工编制和岗位动态管理，优化教师资源配置与流动机制。</w:t>
      </w:r>
    </w:p>
    <w:p w14:paraId="05B3A945">
      <w:pPr>
        <w:overflowPunct w:val="0"/>
        <w:spacing w:line="622" w:lineRule="exact"/>
        <w:ind w:firstLine="643"/>
        <w:rPr>
          <w:rFonts w:hint="eastAsia" w:ascii="仿宋_GB2312" w:hAnsi="仿宋_GB2312" w:cs="仿宋_GB2312"/>
          <w:szCs w:val="32"/>
          <w14:ligatures w14:val="standardContextual"/>
        </w:rPr>
      </w:pPr>
      <w:r>
        <w:rPr>
          <w:rFonts w:hint="eastAsia" w:ascii="仿宋_GB2312" w:hAnsi="仿宋_GB2312" w:cs="仿宋_GB2312"/>
          <w:b/>
          <w:bCs/>
          <w:szCs w:val="32"/>
          <w14:ligatures w14:val="standardContextual"/>
        </w:rPr>
        <w:t>实施教育资源优化保障工程。</w:t>
      </w:r>
      <w:r>
        <w:rPr>
          <w:rFonts w:hint="eastAsia" w:ascii="仿宋_GB2312" w:hAnsi="仿宋_GB2312" w:cs="仿宋_GB2312"/>
          <w:szCs w:val="32"/>
        </w:rPr>
        <w:t>大力支持教育事业发展，加大一般公共预算对教育的投入力度，持续实施十五年免费教育。</w:t>
      </w:r>
      <w:r>
        <w:rPr>
          <w:rFonts w:hint="eastAsia" w:ascii="仿宋_GB2312" w:hAnsi="仿宋_GB2312" w:cs="仿宋_GB2312"/>
          <w:szCs w:val="32"/>
          <w14:ligatures w14:val="standardContextual"/>
        </w:rPr>
        <w:t>优化全域教育布局，着力构建城市“3+6”优质教育集群，系统推进乡镇学校分类整合与提质增效。进一步整合基础教育资源，全面加强教学教辅设施的标准化配备与升级改造。加快推进教育数字化转型发展，建成“万兆到县、千兆到校、百兆到班”高标准教育网络，实现教育资源从“有”向“优”的全面提升。</w:t>
      </w:r>
    </w:p>
    <w:p w14:paraId="5871704A">
      <w:pPr>
        <w:overflowPunct w:val="0"/>
        <w:spacing w:line="622" w:lineRule="exact"/>
        <w:ind w:firstLine="643"/>
        <w:rPr>
          <w:rFonts w:hint="eastAsia" w:ascii="仿宋_GB2312" w:hAnsi="仿宋_GB2312" w:cs="仿宋_GB2312"/>
          <w:szCs w:val="32"/>
          <w14:ligatures w14:val="standardContextual"/>
        </w:rPr>
      </w:pPr>
      <w:r>
        <w:rPr>
          <w:rFonts w:hint="eastAsia" w:ascii="仿宋_GB2312" w:hAnsi="仿宋_GB2312" w:cs="仿宋_GB2312"/>
          <w:b/>
          <w:bCs/>
          <w:szCs w:val="32"/>
          <w14:ligatures w14:val="standardContextual"/>
        </w:rPr>
        <w:t>实施立德树人铸魂育人工程。</w:t>
      </w:r>
      <w:r>
        <w:rPr>
          <w:rFonts w:hint="eastAsia" w:ascii="仿宋_GB2312" w:hAnsi="仿宋_GB2312" w:cs="仿宋_GB2312"/>
          <w:szCs w:val="32"/>
          <w14:ligatures w14:val="standardContextual"/>
        </w:rPr>
        <w:t>开展“一校一案”德育工作提升行动，积极构建“大思政课”育人格局，加快推进大中小学思政课一体化建设，强化思政课实践教学，推动思政小课堂与社会大课堂深度融合。坚持以美育人、以文化人，全面实施学校美育浸润行动，</w:t>
      </w:r>
      <w:r>
        <w:rPr>
          <w:rFonts w:hint="eastAsia" w:ascii="仿宋_GB2312" w:hAnsi="仿宋_GB2312" w:cs="仿宋_GB2312"/>
          <w:szCs w:val="32"/>
        </w:rPr>
        <w:t>开发一批劳动教育实践特色项目，</w:t>
      </w:r>
      <w:r>
        <w:rPr>
          <w:rFonts w:hint="eastAsia" w:ascii="仿宋_GB2312" w:hAnsi="仿宋_GB2312" w:cs="仿宋_GB2312"/>
          <w:szCs w:val="32"/>
          <w14:ligatures w14:val="standardContextual"/>
        </w:rPr>
        <w:t>提升劳动教育实践实效。</w:t>
      </w:r>
      <w:r>
        <w:rPr>
          <w:rFonts w:hint="eastAsia" w:ascii="仿宋_GB2312" w:hAnsi="仿宋_GB2312" w:cs="仿宋_GB2312"/>
          <w:szCs w:val="32"/>
        </w:rPr>
        <w:t>强化心理健康教育，实现中小学校心理辅导室配备全覆盖、专（兼）职心理教师配备全覆盖。</w:t>
      </w:r>
      <w:r>
        <w:rPr>
          <w:rFonts w:hint="eastAsia" w:ascii="仿宋_GB2312" w:hAnsi="仿宋_GB2312" w:cs="仿宋_GB2312"/>
          <w:szCs w:val="32"/>
          <w14:ligatures w14:val="standardContextual"/>
        </w:rPr>
        <w:t>落实健康第一教育理念，强化“四位一体”学</w:t>
      </w:r>
      <w:r>
        <w:rPr>
          <w:rFonts w:hint="eastAsia" w:ascii="仿宋_GB2312" w:hAnsi="仿宋_GB2312" w:cs="仿宋_GB2312"/>
          <w:spacing w:val="-6"/>
          <w:szCs w:val="32"/>
          <w14:ligatures w14:val="standardContextual"/>
        </w:rPr>
        <w:t>生心理健康工作体系，确保学生体质健康及格率达到90%以上</w:t>
      </w:r>
      <w:r>
        <w:rPr>
          <w:rFonts w:hint="eastAsia" w:ascii="仿宋_GB2312" w:hAnsi="仿宋_GB2312" w:cs="仿宋_GB2312"/>
          <w:szCs w:val="32"/>
          <w14:ligatures w14:val="standardContextual"/>
        </w:rPr>
        <w:t>。</w:t>
      </w:r>
    </w:p>
    <w:p w14:paraId="44B3E2EB">
      <w:pPr>
        <w:overflowPunct w:val="0"/>
        <w:spacing w:after="156" w:afterLines="50" w:line="622" w:lineRule="exact"/>
        <w:ind w:firstLine="0" w:firstLineChars="0"/>
        <w:jc w:val="center"/>
        <w:rPr>
          <w:rFonts w:hint="eastAsia" w:ascii="黑体" w:hAnsi="黑体" w:eastAsia="黑体" w:cs="黑体"/>
          <w:bCs/>
          <w:sz w:val="30"/>
          <w:szCs w:val="30"/>
          <w14:ligatures w14:val="standardContextual"/>
        </w:rPr>
      </w:pPr>
      <w:r>
        <w:rPr>
          <w:rFonts w:hint="eastAsia" w:ascii="黑体" w:hAnsi="黑体" w:eastAsia="黑体" w:cs="黑体"/>
          <w:bCs/>
          <w:sz w:val="30"/>
          <w:szCs w:val="30"/>
        </w:rPr>
        <w:t>专栏25</w:t>
      </w:r>
      <w:r>
        <w:rPr>
          <w:rFonts w:hint="eastAsia" w:ascii="黑体" w:hAnsi="黑体" w:eastAsia="黑体" w:cs="黑体"/>
          <w:bCs/>
          <w:sz w:val="30"/>
          <w:szCs w:val="30"/>
          <w:lang w:val="en-US" w:eastAsia="zh-CN"/>
        </w:rPr>
        <w:t xml:space="preserve">  </w:t>
      </w:r>
      <w:r>
        <w:rPr>
          <w:rFonts w:hint="eastAsia" w:ascii="黑体" w:hAnsi="黑体" w:eastAsia="黑体" w:cs="黑体"/>
          <w:bCs/>
          <w:sz w:val="30"/>
          <w:szCs w:val="30"/>
        </w:rPr>
        <w:t>教育高质量发展工程</w:t>
      </w:r>
    </w:p>
    <w:tbl>
      <w:tblPr>
        <w:tblStyle w:val="21"/>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7F8E5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60" w:type="dxa"/>
            <w:vAlign w:val="center"/>
          </w:tcPr>
          <w:p w14:paraId="44152358">
            <w:pPr>
              <w:overflowPunct w:val="0"/>
              <w:snapToGrid w:val="0"/>
              <w:spacing w:line="44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教育资源优化保障工程：</w:t>
            </w:r>
            <w:r>
              <w:rPr>
                <w:rFonts w:hint="eastAsia" w:asciiTheme="majorEastAsia" w:hAnsiTheme="majorEastAsia" w:eastAsiaTheme="majorEastAsia" w:cstheme="majorEastAsia"/>
                <w:sz w:val="20"/>
                <w:szCs w:val="20"/>
              </w:rPr>
              <w:t>在县城范围内构建“3+6”优质教育集群。即3所县直初中（示范初中、城镇初中、龙港初中）与6所县直小学（实验小学、西关小学、东关小学、定都小学、桃园小学、新城小学）。在生源集中的嘉峰镇、端氏镇，构建“1+2”教育格局。分别办好1所初中和2所小学（端氏镇办好端氏初中、端氏小学、端氏寄宿制小学；嘉峰镇办好嘉峰初中、嘉峰小学、潘庄小学）；在生源比较集中的郑村镇、郑庄镇、中村镇、胡底乡，因地制宜建好九年一贯制学校，整合基础教育资源，提升办学效益；在生源较少的土沃乡、张村乡、固县乡、柿庄镇、十里乡，保留必要的教学点，根据生源情况适时进行动态撤并。</w:t>
            </w:r>
          </w:p>
          <w:p w14:paraId="79F9B5DD">
            <w:pPr>
              <w:overflowPunct w:val="0"/>
              <w:snapToGrid w:val="0"/>
              <w:spacing w:line="44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教育提质增效工程：</w:t>
            </w:r>
            <w:r>
              <w:rPr>
                <w:rFonts w:hint="eastAsia" w:asciiTheme="majorEastAsia" w:hAnsiTheme="majorEastAsia" w:eastAsiaTheme="majorEastAsia" w:cstheme="majorEastAsia"/>
                <w:sz w:val="20"/>
                <w:szCs w:val="20"/>
              </w:rPr>
              <w:t>新建1所高标准幼儿园(杏园幼儿园);完成2所新优质初中教学教辅装备配套和基础设施提升改造项目;完成19所义务教育学校优质均衡教学教辅装备配套项目，16所义务教育学校优质均衡基础设施提升改造项目;完成1个乡镇(郑庄镇)九年一贯制学校提升改造项目;实施沁水中学2个提升改造项目(餐厅、宿舍楼提升改造项目、操场提升改造项目)；实施职业中学普通高中班教学装备配套项目；配套建设南山新区小学、幼儿园。</w:t>
            </w:r>
          </w:p>
          <w:p w14:paraId="7BC2E9C0">
            <w:pPr>
              <w:overflowPunct w:val="0"/>
              <w:snapToGrid w:val="0"/>
              <w:spacing w:line="44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教育数字化信息化建设工程：</w:t>
            </w:r>
            <w:r>
              <w:rPr>
                <w:rFonts w:hint="eastAsia" w:asciiTheme="majorEastAsia" w:hAnsiTheme="majorEastAsia" w:eastAsiaTheme="majorEastAsia" w:cstheme="majorEastAsia"/>
                <w:sz w:val="20"/>
                <w:szCs w:val="20"/>
              </w:rPr>
              <w:t>升级改造智慧教育城域网网络，实现教育网络“万兆到县、千兆到校、百兆到班”。</w:t>
            </w:r>
          </w:p>
        </w:tc>
      </w:tr>
    </w:tbl>
    <w:p w14:paraId="7A7EBD83">
      <w:pPr>
        <w:overflowPunct w:val="0"/>
        <w:spacing w:line="622" w:lineRule="exact"/>
        <w:ind w:firstLine="643"/>
        <w:rPr>
          <w:rFonts w:hint="eastAsia" w:ascii="仿宋_GB2312" w:hAnsi="仿宋_GB2312" w:cs="仿宋_GB2312"/>
          <w:szCs w:val="32"/>
          <w14:ligatures w14:val="standardContextual"/>
        </w:rPr>
      </w:pPr>
      <w:bookmarkStart w:id="131" w:name="_Toc25228"/>
      <w:r>
        <w:rPr>
          <w:rFonts w:hint="eastAsia" w:ascii="仿宋_GB2312" w:hAnsi="仿宋_GB2312" w:cs="仿宋_GB2312"/>
          <w:b/>
          <w:bCs/>
          <w:szCs w:val="32"/>
          <w14:ligatures w14:val="standardContextual"/>
        </w:rPr>
        <w:t>实施教育综合改革攻坚工程。</w:t>
      </w:r>
      <w:r>
        <w:rPr>
          <w:rFonts w:hint="eastAsia" w:ascii="仿宋_GB2312" w:hAnsi="仿宋_GB2312" w:cs="仿宋_GB2312"/>
          <w:szCs w:val="32"/>
          <w14:ligatures w14:val="standardContextual"/>
        </w:rPr>
        <w:t>深化新时代教育评价改革，构建科学完善的教育评价与学校治理体系，协同推进新高考综合改革与新课程方案落地。加快教育督导体制机制创新，优化督导运行流程，健全以督政、督学、评估监测“三位一体”教育督导体系，推动各项教育政策全面落地。</w:t>
      </w:r>
    </w:p>
    <w:p w14:paraId="555E8788">
      <w:pPr>
        <w:overflowPunct w:val="0"/>
        <w:spacing w:line="622" w:lineRule="exact"/>
        <w:ind w:firstLine="643"/>
        <w:rPr>
          <w:rFonts w:hint="eastAsia"/>
          <w:color w:val="auto"/>
        </w:rPr>
      </w:pPr>
      <w:r>
        <w:rPr>
          <w:rFonts w:hint="eastAsia" w:ascii="仿宋_GB2312" w:hAnsi="仿宋_GB2312" w:cs="仿宋_GB2312"/>
          <w:b/>
          <w:bCs/>
          <w:color w:val="auto"/>
          <w:szCs w:val="32"/>
          <w:lang w:eastAsia="zh-CN"/>
          <w14:ligatures w14:val="standardContextual"/>
        </w:rPr>
        <w:t>实施</w:t>
      </w:r>
      <w:r>
        <w:rPr>
          <w:rFonts w:hint="eastAsia" w:ascii="仿宋_GB2312" w:hAnsi="仿宋_GB2312" w:cs="仿宋_GB2312"/>
          <w:b/>
          <w:bCs/>
          <w:color w:val="auto"/>
          <w:szCs w:val="32"/>
          <w14:ligatures w14:val="standardContextual"/>
        </w:rPr>
        <w:t>服务全民终身学习的教育</w:t>
      </w:r>
      <w:r>
        <w:rPr>
          <w:rFonts w:hint="eastAsia" w:ascii="仿宋_GB2312" w:hAnsi="仿宋_GB2312" w:cs="仿宋_GB2312"/>
          <w:b/>
          <w:bCs/>
          <w:color w:val="auto"/>
          <w:szCs w:val="32"/>
          <w:lang w:eastAsia="zh-CN"/>
          <w14:ligatures w14:val="standardContextual"/>
        </w:rPr>
        <w:t>工程。</w:t>
      </w:r>
      <w:r>
        <w:rPr>
          <w:rFonts w:hint="eastAsia" w:ascii="仿宋_GB2312" w:hAnsi="仿宋_GB2312" w:cs="仿宋_GB2312"/>
          <w:b w:val="0"/>
          <w:bCs w:val="0"/>
          <w:color w:val="auto"/>
          <w:szCs w:val="32"/>
          <w14:ligatures w14:val="standardContextual"/>
        </w:rPr>
        <w:t>坚持学历继续教育质量提升与非学历教育规模扩展，完善继续教育发展体制机制。依托高等院校、科研院所和大型国有企业，建设一批示范性专业技术人员继续教育基地。推动社区教育、农村成人教育协调发展，丰富继续教育资源供给，满足社会成员多样化学习需求。加快构建覆盖城乡的老年教育体系。搭建“1+N”老年教育架构，分批开办“社区老年学堂”，推进老年大学扩容提质，推动乡镇和行政村建立老年学校和教学点，持续扩大老年教育供给。发挥好老年教育联盟的统筹协调作用，建立老年教育师资库，定期组织适老化教学能力培训，建强优秀老年教育师资队伍。打造“云上老年大学”，有效利用线上课程，构建线上线下相融合的老年教育服务新形态。</w:t>
      </w:r>
    </w:p>
    <w:p w14:paraId="064FEE39">
      <w:pPr>
        <w:overflowPunct w:val="0"/>
        <w:spacing w:line="622" w:lineRule="exact"/>
        <w:ind w:firstLine="1928" w:firstLineChars="600"/>
        <w:rPr>
          <w:rFonts w:ascii="Times New Roman" w:hAnsi="Times New Roman" w:eastAsia="楷体_GB2312" w:cs="Times New Roman"/>
          <w:b/>
        </w:rPr>
      </w:pPr>
    </w:p>
    <w:p w14:paraId="53760CC4">
      <w:pPr>
        <w:overflowPunct w:val="0"/>
        <w:spacing w:line="622" w:lineRule="exact"/>
        <w:ind w:firstLine="0" w:firstLineChars="0"/>
        <w:jc w:val="center"/>
        <w:outlineLvl w:val="1"/>
        <w:rPr>
          <w:rFonts w:ascii="Times New Roman" w:hAnsi="Times New Roman" w:eastAsia="楷体_GB2312" w:cs="Times New Roman"/>
          <w:bCs/>
        </w:rPr>
      </w:pPr>
      <w:bookmarkStart w:id="132" w:name="_Toc24964"/>
      <w:r>
        <w:rPr>
          <w:rFonts w:ascii="Times New Roman" w:hAnsi="Times New Roman" w:eastAsia="楷体_GB2312" w:cs="Times New Roman"/>
          <w:bCs/>
        </w:rPr>
        <w:t>第</w:t>
      </w:r>
      <w:r>
        <w:rPr>
          <w:rFonts w:hint="eastAsia" w:ascii="Times New Roman" w:hAnsi="Times New Roman" w:eastAsia="楷体_GB2312" w:cs="Times New Roman"/>
          <w:bCs/>
        </w:rPr>
        <w:t>三</w:t>
      </w:r>
      <w:r>
        <w:rPr>
          <w:rFonts w:ascii="Times New Roman" w:hAnsi="Times New Roman" w:eastAsia="楷体_GB2312" w:cs="Times New Roman"/>
          <w:bCs/>
        </w:rPr>
        <w:t>节</w:t>
      </w:r>
      <w:r>
        <w:rPr>
          <w:rFonts w:hint="eastAsia" w:ascii="楷体_GB2312" w:hAnsi="楷体_GB2312" w:eastAsia="楷体_GB2312" w:cs="楷体_GB2312"/>
        </w:rPr>
        <w:t xml:space="preserve">  </w:t>
      </w:r>
      <w:r>
        <w:rPr>
          <w:rFonts w:ascii="Times New Roman" w:hAnsi="Times New Roman" w:eastAsia="楷体_GB2312" w:cs="Times New Roman"/>
          <w:bCs/>
        </w:rPr>
        <w:t>健全多层次社会保障体系</w:t>
      </w:r>
      <w:bookmarkEnd w:id="131"/>
      <w:bookmarkEnd w:id="132"/>
    </w:p>
    <w:p w14:paraId="72D49A0F">
      <w:pPr>
        <w:overflowPunct w:val="0"/>
        <w:spacing w:line="622" w:lineRule="exact"/>
        <w:ind w:firstLine="640"/>
        <w:rPr>
          <w:rFonts w:ascii="Times New Roman" w:hAnsi="Times New Roman" w:cs="Times New Roman"/>
          <w:szCs w:val="32"/>
        </w:rPr>
      </w:pPr>
    </w:p>
    <w:p w14:paraId="61273000">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按照“兜牢底、织密网、建机制”的要求，加快构建覆盖全民、城乡一体、权责清晰、保障适度、运行高效、更可持续的多层次社会保障体系，切实提升社会保障制度的公平性和有效性。</w:t>
      </w:r>
    </w:p>
    <w:p w14:paraId="37696843">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织密织牢社会保障网。</w:t>
      </w:r>
      <w:r>
        <w:rPr>
          <w:rFonts w:hint="eastAsia" w:ascii="仿宋_GB2312" w:hAnsi="仿宋_GB2312" w:cs="仿宋_GB2312"/>
          <w:szCs w:val="32"/>
        </w:rPr>
        <w:t>聚焦城乡居民、灵活就业人员、新就业形态就业人员等重点群体，深入实施全民参保计划，完善基本医保筹资机制，推动法定人群应保尽保，实现新就业形态劳动者职业伤害保障全覆盖。持续实施城乡居民基本医疗保险补贴，推进城乡居民基本养老保险省级统筹，稳妥实施渐进式延迟法定退休年龄政策，确保改革平稳落地。健全基本养老金合理调整机制，根据经济发展和物价变动情况，适时提高城乡居民基础养老金和企业退休人员基本养老金水平。构建“1+3+N”多层次医疗保障体系，推进完善生育保险与基本医保合并实施，落实好生育津贴，健全精准、规范的救助机制。紧盯低保、特困、残疾、返贫致贫等重点困难群体，全力落实城乡居民养老保险政府代缴政策，持续做好特殊困难群体社会帮扶工作。加强退役军人服务保障，帮扶关爱优抚对象，推进军民融合发展，持续巩固省级“双拥模范县”创建成果。构建“人防+技防+智防”一体化监管体系，推动建立跨部门数据共享平台，强化基金风险防控。力争到“十五五”末，全县城乡居民基础养老金待遇提高至每人每月260元，惠及城乡居民约5万人，基本养老保险参保率稳定在98%以上。</w:t>
      </w:r>
    </w:p>
    <w:p w14:paraId="61D19A45">
      <w:pPr>
        <w:overflowPunct w:val="0"/>
        <w:spacing w:line="622" w:lineRule="exact"/>
        <w:ind w:firstLine="643"/>
        <w:rPr>
          <w:rFonts w:hint="eastAsia" w:ascii="仿宋_GB2312" w:hAnsi="仿宋_GB2312" w:cs="仿宋_GB2312"/>
          <w:szCs w:val="32"/>
          <w14:ligatures w14:val="standardContextual"/>
        </w:rPr>
      </w:pPr>
      <w:r>
        <w:rPr>
          <w:rFonts w:hint="eastAsia" w:ascii="仿宋_GB2312" w:hAnsi="仿宋_GB2312" w:cs="仿宋_GB2312"/>
          <w:b/>
          <w:bCs/>
          <w:szCs w:val="32"/>
        </w:rPr>
        <w:t>构建更加和谐的劳动关系。</w:t>
      </w:r>
      <w:r>
        <w:rPr>
          <w:rFonts w:hint="eastAsia" w:ascii="仿宋_GB2312" w:hAnsi="仿宋_GB2312" w:cs="仿宋_GB2312"/>
          <w:szCs w:val="32"/>
        </w:rPr>
        <w:t>全面规范企业用工行为，推动用人单位严格落实劳动法律法规，依法签订并履行劳动合同。强化对新就业形态劳动者权益的保护，落实劳动报酬、休息休假、劳动安全等权益保障指引，提升用工透明度与公平性。健全工资正常增长和支付保障机制，加大劳动保障监察执法力度，依法查处拖欠劳动报酬等违法行为。</w:t>
      </w:r>
      <w:r>
        <w:rPr>
          <w:rFonts w:hint="eastAsia" w:ascii="仿宋_GB2312" w:hAnsi="仿宋_GB2312" w:cs="仿宋_GB2312"/>
          <w:szCs w:val="32"/>
          <w:lang w:eastAsia="zh-CN"/>
        </w:rPr>
        <w:t>健全</w:t>
      </w:r>
      <w:r>
        <w:rPr>
          <w:rFonts w:hint="eastAsia" w:ascii="仿宋_GB2312" w:hAnsi="仿宋_GB2312" w:cs="仿宋_GB2312"/>
          <w:szCs w:val="32"/>
        </w:rPr>
        <w:t>农民工工资争议“快立、快调、快审、快结”长效机制，推进“互联网+调解仲裁”，提高争议处理专业化、信息化水平。</w:t>
      </w:r>
      <w:r>
        <w:rPr>
          <w:rFonts w:hint="eastAsia" w:ascii="仿宋_GB2312" w:hAnsi="仿宋_GB2312" w:cs="仿宋_GB2312"/>
          <w:szCs w:val="32"/>
          <w14:ligatures w14:val="standardContextual"/>
        </w:rPr>
        <w:t>完善劳动标准体系和劳动关系协商协调机制，健全就业影响评估和监测预警，营造公平有序就业环境。</w:t>
      </w:r>
    </w:p>
    <w:p w14:paraId="4118314B">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推进数字人社建设。</w:t>
      </w:r>
      <w:r>
        <w:rPr>
          <w:rFonts w:hint="eastAsia" w:ascii="仿宋_GB2312" w:hAnsi="仿宋_GB2312" w:cs="仿宋_GB2312"/>
          <w:szCs w:val="32"/>
        </w:rPr>
        <w:t>深化“一卡通”多场景应用，持续拓展社保卡在交通出行、文化旅游、就医购药等领域的服务功能，逐步实现“一卡通用、一码通城”。健全证明事项告知承诺制，持续优化线上办事流程，推动更多高频事项“高效办成一件事”。加快推进基层服务提质增效，打造“智慧大厅+自助服务+基层网点”多元化服务体系，构建线上线下一体融合的公共服务新格局。深化“智慧人社”平台建设，推动电子档案在社保经办、就业服务等领域的全面应用，有效推进数据互联互通、协同共享。积极构建覆盖全流程、多层次的社保基金监管体系，强化跨部门、跨层级数据比对与动态核查，筑牢社保基金安全防线。</w:t>
      </w:r>
    </w:p>
    <w:p w14:paraId="5827D71F">
      <w:pPr>
        <w:pStyle w:val="10"/>
        <w:overflowPunct w:val="0"/>
        <w:spacing w:after="0" w:line="622" w:lineRule="exact"/>
        <w:ind w:firstLine="643"/>
        <w:rPr>
          <w:color w:val="000000" w:themeColor="text1"/>
          <w14:textFill>
            <w14:solidFill>
              <w14:schemeClr w14:val="tx1"/>
            </w14:solidFill>
          </w14:textFill>
        </w:rPr>
      </w:pPr>
      <w:r>
        <w:rPr>
          <w:rFonts w:hint="eastAsia" w:ascii="仿宋_GB2312" w:hAnsi="仿宋_GB2312" w:cs="仿宋_GB2312"/>
          <w:b/>
          <w:bCs/>
          <w:color w:val="000000" w:themeColor="text1"/>
          <w14:textFill>
            <w14:solidFill>
              <w14:schemeClr w14:val="tx1"/>
            </w14:solidFill>
          </w14:textFill>
        </w:rPr>
        <w:t>推动房地产高质量发展。</w:t>
      </w:r>
      <w:r>
        <w:rPr>
          <w:rFonts w:hint="eastAsia" w:ascii="仿宋_GB2312" w:hAnsi="仿宋_GB2312" w:cs="仿宋_GB2312"/>
          <w:color w:val="000000" w:themeColor="text1"/>
          <w14:textFill>
            <w14:solidFill>
              <w14:schemeClr w14:val="tx1"/>
            </w14:solidFill>
          </w14:textFill>
        </w:rPr>
        <w:t>加快构建房地产发展新模式，完善商品房开发、融资、销售等基础制度。优化保障性住房供给，满足城镇工薪群体和各类困难家庭基本住房需求。因地制宜增加改善性住房供给。实施房屋品质提升工程和物业服务质量提升行动，着力建设安全、舒适、绿色、智慧的“好房子”。</w:t>
      </w:r>
    </w:p>
    <w:p w14:paraId="0B74A80A">
      <w:pPr>
        <w:overflowPunct w:val="0"/>
        <w:spacing w:line="622" w:lineRule="exact"/>
        <w:ind w:firstLine="1928" w:firstLineChars="600"/>
        <w:rPr>
          <w:rFonts w:ascii="Times New Roman" w:hAnsi="Times New Roman" w:eastAsia="楷体_GB2312" w:cs="Times New Roman"/>
          <w:b/>
        </w:rPr>
      </w:pPr>
      <w:bookmarkStart w:id="133" w:name="_Toc6658"/>
    </w:p>
    <w:p w14:paraId="155F5111">
      <w:pPr>
        <w:overflowPunct w:val="0"/>
        <w:spacing w:line="622" w:lineRule="exact"/>
        <w:ind w:firstLine="0" w:firstLineChars="0"/>
        <w:jc w:val="center"/>
        <w:outlineLvl w:val="1"/>
        <w:rPr>
          <w:rFonts w:ascii="Times New Roman" w:hAnsi="Times New Roman" w:eastAsia="楷体_GB2312" w:cs="Times New Roman"/>
          <w:bCs/>
        </w:rPr>
      </w:pPr>
      <w:bookmarkStart w:id="134" w:name="_Toc25718"/>
      <w:r>
        <w:rPr>
          <w:rFonts w:ascii="Times New Roman" w:hAnsi="Times New Roman" w:eastAsia="楷体_GB2312" w:cs="Times New Roman"/>
          <w:bCs/>
        </w:rPr>
        <w:t>第</w:t>
      </w:r>
      <w:r>
        <w:rPr>
          <w:rFonts w:hint="eastAsia" w:ascii="Times New Roman" w:hAnsi="Times New Roman" w:eastAsia="楷体_GB2312" w:cs="Times New Roman"/>
          <w:bCs/>
        </w:rPr>
        <w:t>四</w:t>
      </w:r>
      <w:r>
        <w:rPr>
          <w:rFonts w:ascii="Times New Roman" w:hAnsi="Times New Roman" w:eastAsia="楷体_GB2312" w:cs="Times New Roman"/>
          <w:bCs/>
        </w:rPr>
        <w:t>节</w:t>
      </w:r>
      <w:r>
        <w:rPr>
          <w:rFonts w:hint="eastAsia" w:ascii="楷体_GB2312" w:hAnsi="楷体_GB2312" w:eastAsia="楷体_GB2312" w:cs="楷体_GB2312"/>
        </w:rPr>
        <w:t xml:space="preserve">  </w:t>
      </w:r>
      <w:r>
        <w:rPr>
          <w:rFonts w:ascii="Times New Roman" w:hAnsi="Times New Roman" w:eastAsia="楷体_GB2312" w:cs="Times New Roman"/>
          <w:bCs/>
        </w:rPr>
        <w:t>扎实推进健康沁水建设</w:t>
      </w:r>
      <w:bookmarkEnd w:id="133"/>
      <w:bookmarkEnd w:id="134"/>
    </w:p>
    <w:p w14:paraId="04B5ACF5">
      <w:pPr>
        <w:overflowPunct w:val="0"/>
        <w:spacing w:line="622" w:lineRule="exact"/>
        <w:ind w:firstLine="640"/>
        <w:rPr>
          <w:rFonts w:ascii="Times New Roman" w:hAnsi="Times New Roman" w:cs="Times New Roman"/>
          <w:szCs w:val="40"/>
        </w:rPr>
      </w:pPr>
    </w:p>
    <w:p w14:paraId="48B8D3D3">
      <w:pPr>
        <w:overflowPunct w:val="0"/>
        <w:spacing w:line="622" w:lineRule="exact"/>
        <w:ind w:firstLine="640"/>
        <w:rPr>
          <w:rFonts w:hint="eastAsia" w:ascii="仿宋_GB2312" w:hAnsi="仿宋_GB2312" w:cs="仿宋_GB2312"/>
          <w:szCs w:val="40"/>
        </w:rPr>
      </w:pPr>
      <w:r>
        <w:rPr>
          <w:rFonts w:hint="eastAsia" w:ascii="仿宋_GB2312" w:hAnsi="仿宋_GB2312" w:cs="仿宋_GB2312"/>
          <w:szCs w:val="40"/>
        </w:rPr>
        <w:t>坚持把保障人民健康放在优先发展的战略位置，以强基层、提能力、优服务为重点，加快建成体系完整、布局合理、分工明确、功能互补、运行高效、富有韧性的整合型医疗卫生服务体系。</w:t>
      </w:r>
    </w:p>
    <w:p w14:paraId="75A30E8E">
      <w:pPr>
        <w:overflowPunct w:val="0"/>
        <w:spacing w:line="622" w:lineRule="exact"/>
        <w:ind w:firstLine="643"/>
        <w:rPr>
          <w:rFonts w:hint="eastAsia" w:ascii="仿宋_GB2312" w:hAnsi="仿宋_GB2312" w:cs="仿宋_GB2312"/>
          <w:szCs w:val="40"/>
        </w:rPr>
      </w:pPr>
      <w:r>
        <w:rPr>
          <w:rFonts w:hint="eastAsia" w:ascii="仿宋_GB2312" w:hAnsi="仿宋_GB2312" w:cs="仿宋_GB2312"/>
          <w:b/>
          <w:bCs/>
          <w:szCs w:val="32"/>
          <w14:ligatures w14:val="standardContextual"/>
        </w:rPr>
        <w:t>深化医药卫生体制改革。</w:t>
      </w:r>
      <w:r>
        <w:rPr>
          <w:rFonts w:hint="eastAsia" w:ascii="仿宋_GB2312" w:hAnsi="仿宋_GB2312" w:cs="仿宋_GB2312"/>
          <w:szCs w:val="32"/>
        </w:rPr>
        <w:t>以医疗、医保、医药“三医联动”改革为牵引，学习践行“三明医改”经验，健全现代医院管理制度。</w:t>
      </w:r>
      <w:r>
        <w:rPr>
          <w:rFonts w:hint="eastAsia" w:ascii="仿宋_GB2312" w:hAnsi="仿宋_GB2312" w:cs="仿宋_GB2312"/>
          <w:szCs w:val="40"/>
        </w:rPr>
        <w:t>全力推动县医院高质量发展，支持县人民医院建设三级综合医院，加快县第二人民医院跻身二级综合医院行列，力争打造3</w:t>
      </w:r>
      <w:r>
        <w:rPr>
          <w:rFonts w:hint="eastAsia" w:ascii="仿宋_GB2312" w:hAnsi="仿宋_GB2312" w:cs="仿宋_GB2312"/>
          <w:szCs w:val="32"/>
          <w14:ligatures w14:val="standardContextual"/>
        </w:rPr>
        <w:t>—</w:t>
      </w:r>
      <w:r>
        <w:rPr>
          <w:rFonts w:hint="eastAsia" w:ascii="仿宋_GB2312" w:hAnsi="仿宋_GB2312" w:cs="仿宋_GB2312"/>
          <w:szCs w:val="40"/>
        </w:rPr>
        <w:t>5个市级重点优势专科和2</w:t>
      </w:r>
      <w:r>
        <w:rPr>
          <w:rFonts w:hint="eastAsia" w:ascii="仿宋_GB2312" w:hAnsi="仿宋_GB2312" w:cs="仿宋_GB2312"/>
          <w:szCs w:val="32"/>
          <w14:ligatures w14:val="standardContextual"/>
        </w:rPr>
        <w:t>—</w:t>
      </w:r>
      <w:r>
        <w:rPr>
          <w:rFonts w:hint="eastAsia" w:ascii="仿宋_GB2312" w:hAnsi="仿宋_GB2312" w:cs="仿宋_GB2312"/>
          <w:szCs w:val="40"/>
        </w:rPr>
        <w:t>3个省级重点优势专科。积极推进优质医疗资源向农村和边远地区下沉，提升乡镇卫生院基层医疗和公共卫生服务能力，促进医疗卫生资源区域均衡布局。健全上下级医疗机构用药衔接联动机制，构建现代药品流通网络和短缺药品监测预警机制，持续完善药品供应保障体系。发展远程医疗和智慧医疗，拓展“互联网+医疗健康”场景应用，真正实现“基层检查、上级诊断、结果互认”。到“十五五”末，全县12所乡镇卫生院、130所以上卫生室村卫生室实现远程医疗全覆盖，其中30所以上基层医疗机构具备远程心电监护功能。</w:t>
      </w:r>
    </w:p>
    <w:p w14:paraId="0B7253AD">
      <w:pPr>
        <w:overflowPunct w:val="0"/>
        <w:spacing w:line="622" w:lineRule="exact"/>
        <w:ind w:firstLine="643"/>
        <w:rPr>
          <w:rFonts w:hint="eastAsia" w:ascii="仿宋_GB2312" w:hAnsi="仿宋_GB2312" w:cs="仿宋_GB2312"/>
          <w:szCs w:val="32"/>
          <w14:ligatures w14:val="standardContextual"/>
        </w:rPr>
      </w:pPr>
      <w:r>
        <w:rPr>
          <w:rFonts w:hint="eastAsia" w:ascii="仿宋_GB2312" w:hAnsi="仿宋_GB2312" w:cs="仿宋_GB2312"/>
          <w:b/>
          <w:bCs/>
          <w:szCs w:val="40"/>
        </w:rPr>
        <w:t>强化</w:t>
      </w:r>
      <w:r>
        <w:rPr>
          <w:rFonts w:hint="eastAsia" w:ascii="仿宋_GB2312" w:hAnsi="仿宋_GB2312" w:cs="仿宋_GB2312"/>
          <w:b/>
          <w:bCs/>
          <w:spacing w:val="9"/>
        </w:rPr>
        <w:t>基本公共卫生服务体系</w:t>
      </w:r>
      <w:r>
        <w:rPr>
          <w:rFonts w:hint="eastAsia" w:ascii="仿宋_GB2312" w:hAnsi="仿宋_GB2312" w:cs="仿宋_GB2312"/>
          <w:b/>
          <w:bCs/>
          <w:szCs w:val="40"/>
        </w:rPr>
        <w:t>建设。</w:t>
      </w:r>
      <w:r>
        <w:rPr>
          <w:rFonts w:hint="eastAsia" w:ascii="仿宋_GB2312" w:hAnsi="仿宋_GB2312" w:eastAsia="仿宋_GB2312" w:cs="仿宋_GB2312"/>
          <w:b w:val="0"/>
          <w:bCs w:val="0"/>
          <w:color w:val="auto"/>
          <w:sz w:val="32"/>
          <w:szCs w:val="32"/>
          <w:shd w:val="clear" w:color="auto" w:fill="FFFFFF"/>
          <w:lang w:val="en-US" w:eastAsia="zh-CN"/>
        </w:rPr>
        <w:t>持续深入开展爱国卫生运动，以全国健康城镇创建为抓手，推动工作重心从单纯的环境卫生治理向全面社会健康管理转变，全方位构建健康促进新格局，全力推进健康沁水建设。</w:t>
      </w:r>
      <w:r>
        <w:rPr>
          <w:rFonts w:hint="eastAsia" w:ascii="仿宋_GB2312" w:hAnsi="仿宋_GB2312" w:cs="仿宋_GB2312"/>
          <w:szCs w:val="32"/>
          <w14:ligatures w14:val="standardContextual"/>
        </w:rPr>
        <w:t>坚持防治结合、联防联控、群防群控，不断完善疾病预防控制体系建设，全面提升公共服务效能。促进和规范“人工智能+医疗卫生”发展，推进全民健康数智化建设。依托国家传染病智能监测预警前置软件等平台，建立健全“监测—预警—干预—评估”闭环管理机制，确保疫情早发现、早处置，降低传播风险。聚焦不同年龄阶段的健康需求，以孕产妇、儿童青少年、职业人群、老年人及高血压、糖尿病等慢性病患者为重点，推动县域医疗机构规范开展风险评估、早期筛查和分级干预，提供针对性、个性化健康服务。完善医防融合机制，强化资源协同，加强心理健康和精神卫生服务，推动健康工作重心由“治已病”向“治未病”前移，切实护佑群众生命健康。</w:t>
      </w:r>
    </w:p>
    <w:p w14:paraId="3C00D184">
      <w:pPr>
        <w:overflowPunct w:val="0"/>
        <w:spacing w:line="622" w:lineRule="exact"/>
        <w:ind w:firstLine="643"/>
        <w:rPr>
          <w:rFonts w:hint="eastAsia" w:ascii="仿宋_GB2312" w:hAnsi="仿宋_GB2312" w:cs="仿宋_GB2312"/>
          <w:szCs w:val="32"/>
          <w14:ligatures w14:val="standardContextual"/>
        </w:rPr>
      </w:pPr>
      <w:r>
        <w:rPr>
          <w:rFonts w:hint="eastAsia" w:ascii="仿宋_GB2312" w:hAnsi="仿宋_GB2312" w:cs="仿宋_GB2312"/>
          <w:b/>
          <w:bCs/>
          <w:szCs w:val="32"/>
        </w:rPr>
        <w:t>着力打造中医药强县。</w:t>
      </w:r>
      <w:r>
        <w:rPr>
          <w:rFonts w:hint="eastAsia" w:ascii="仿宋_GB2312" w:hAnsi="仿宋_GB2312" w:cs="仿宋_GB2312"/>
          <w:szCs w:val="32"/>
          <w14:ligatures w14:val="standardContextual"/>
        </w:rPr>
        <w:t>立足县域中医药服务主阵地定位，以“传承精华、守正创新”为核心，巩固全国基层中医药示范县建设。做强专科集群，加快推进“两专科一中心”建设，重点将脑病科培育为省级中医优势专科，推动康复科达到市级重点专科水平，构建“省—市—县”三级专科发展体系。全面提升二级甲等中医医院综合服务能力，推动医疗服务、基础设施、电子病历系统等全面达标。聚焦临床需求，研发膏方、中药茶饮、药膳等特色制剂，推广中医适宜技术，建成中医适宜技术培训中心，确保基层年培训不少于300人次。加强学术传承与技术交流，推动中医药传统经验与现代诊疗融合，全面提升医疗服务质量与核心竞争力。传承名老中医学术经验，创建基层名中医工作室，到“十五五”末，力争建成全国基层名中医工作室1个。</w:t>
      </w:r>
    </w:p>
    <w:p w14:paraId="70EE952B">
      <w:pPr>
        <w:overflowPunct w:val="0"/>
        <w:spacing w:after="156" w:afterLines="50" w:line="622" w:lineRule="exact"/>
        <w:ind w:firstLine="0" w:firstLineChars="0"/>
        <w:jc w:val="center"/>
        <w:rPr>
          <w:rFonts w:hint="eastAsia" w:ascii="黑体" w:hAnsi="黑体" w:eastAsia="黑体" w:cs="黑体"/>
          <w:bCs/>
          <w:sz w:val="30"/>
          <w:szCs w:val="30"/>
        </w:rPr>
      </w:pPr>
      <w:r>
        <w:rPr>
          <w:rFonts w:hint="eastAsia" w:ascii="黑体" w:hAnsi="黑体" w:eastAsia="黑体" w:cs="黑体"/>
          <w:bCs/>
          <w:sz w:val="30"/>
          <w:szCs w:val="30"/>
        </w:rPr>
        <w:t>专栏26</w:t>
      </w:r>
      <w:r>
        <w:rPr>
          <w:rFonts w:hint="eastAsia" w:ascii="黑体" w:hAnsi="黑体" w:eastAsia="黑体" w:cs="黑体"/>
          <w:bCs/>
          <w:sz w:val="30"/>
          <w:szCs w:val="30"/>
          <w:lang w:val="en-US" w:eastAsia="zh-CN"/>
        </w:rPr>
        <w:t xml:space="preserve">  </w:t>
      </w:r>
      <w:r>
        <w:rPr>
          <w:rFonts w:hint="eastAsia" w:ascii="黑体" w:hAnsi="黑体" w:eastAsia="黑体" w:cs="黑体"/>
          <w:bCs/>
          <w:sz w:val="30"/>
          <w:szCs w:val="30"/>
        </w:rPr>
        <w:t>提高全民健康水平重点项目</w:t>
      </w:r>
    </w:p>
    <w:tbl>
      <w:tblPr>
        <w:tblStyle w:val="21"/>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7"/>
      </w:tblGrid>
      <w:tr w14:paraId="0996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40" w:hRule="atLeast"/>
          <w:jc w:val="center"/>
        </w:trPr>
        <w:tc>
          <w:tcPr>
            <w:tcW w:w="5000" w:type="pct"/>
            <w:vAlign w:val="center"/>
          </w:tcPr>
          <w:p w14:paraId="0BDD93CD">
            <w:pPr>
              <w:overflowPunct w:val="0"/>
              <w:spacing w:line="400" w:lineRule="exact"/>
              <w:ind w:left="0" w:leftChars="0" w:firstLine="402" w:firstLineChars="200"/>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成立120急救中心：</w:t>
            </w:r>
            <w:r>
              <w:rPr>
                <w:rFonts w:hint="eastAsia" w:asciiTheme="majorEastAsia" w:hAnsiTheme="majorEastAsia" w:eastAsiaTheme="majorEastAsia" w:cstheme="majorEastAsia"/>
                <w:sz w:val="20"/>
                <w:szCs w:val="20"/>
              </w:rPr>
              <w:t>按照“统一受理、统一指挥、就近就急，就服务能力”的工作原则，以县内二级以上承担院前急救服务的公立医院为支撑，以符合条件的基层医疗机构为补充的院前医疗急救网络。科学规划设置区域院前急救医疗网络站点，每个站点均设有专业的医疗团队、设备和救护车，为市民提供快速、精准的急救服务。</w:t>
            </w:r>
          </w:p>
          <w:p w14:paraId="4E7BD8A4">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女性健康管理中心专科建设：</w:t>
            </w:r>
            <w:r>
              <w:rPr>
                <w:rFonts w:hint="eastAsia" w:asciiTheme="majorEastAsia" w:hAnsiTheme="majorEastAsia" w:eastAsiaTheme="majorEastAsia" w:cstheme="majorEastAsia"/>
                <w:sz w:val="20"/>
                <w:szCs w:val="20"/>
              </w:rPr>
              <w:t>建成“防</w:t>
            </w:r>
            <w:r>
              <w:rPr>
                <w:rFonts w:hint="eastAsia" w:ascii="仿宋_GB2312" w:hAnsi="仿宋_GB2312" w:eastAsiaTheme="majorEastAsia" w:cstheme="majorEastAsia"/>
                <w:sz w:val="20"/>
                <w:szCs w:val="20"/>
              </w:rPr>
              <w:t>—</w:t>
            </w:r>
            <w:r>
              <w:rPr>
                <w:rFonts w:hint="eastAsia" w:asciiTheme="majorEastAsia" w:hAnsiTheme="majorEastAsia" w:eastAsiaTheme="majorEastAsia" w:cstheme="majorEastAsia"/>
                <w:sz w:val="20"/>
                <w:szCs w:val="20"/>
              </w:rPr>
              <w:t>筛</w:t>
            </w:r>
            <w:r>
              <w:rPr>
                <w:rFonts w:hint="eastAsia" w:ascii="仿宋_GB2312" w:hAnsi="仿宋_GB2312" w:eastAsiaTheme="majorEastAsia" w:cstheme="majorEastAsia"/>
                <w:sz w:val="20"/>
                <w:szCs w:val="20"/>
              </w:rPr>
              <w:t>—</w:t>
            </w:r>
            <w:r>
              <w:rPr>
                <w:rFonts w:hint="eastAsia" w:asciiTheme="majorEastAsia" w:hAnsiTheme="majorEastAsia" w:eastAsiaTheme="majorEastAsia" w:cstheme="majorEastAsia"/>
                <w:sz w:val="20"/>
                <w:szCs w:val="20"/>
              </w:rPr>
              <w:t>治</w:t>
            </w:r>
            <w:r>
              <w:rPr>
                <w:rFonts w:hint="eastAsia" w:ascii="仿宋_GB2312" w:hAnsi="仿宋_GB2312" w:eastAsiaTheme="majorEastAsia" w:cstheme="majorEastAsia"/>
                <w:sz w:val="20"/>
                <w:szCs w:val="20"/>
              </w:rPr>
              <w:t>—</w:t>
            </w:r>
            <w:r>
              <w:rPr>
                <w:rFonts w:hint="eastAsia" w:asciiTheme="majorEastAsia" w:hAnsiTheme="majorEastAsia" w:eastAsiaTheme="majorEastAsia" w:cstheme="majorEastAsia"/>
                <w:sz w:val="20"/>
                <w:szCs w:val="20"/>
              </w:rPr>
              <w:t>管</w:t>
            </w:r>
            <w:r>
              <w:rPr>
                <w:rFonts w:hint="eastAsia" w:ascii="仿宋_GB2312" w:hAnsi="仿宋_GB2312" w:eastAsiaTheme="majorEastAsia" w:cstheme="majorEastAsia"/>
                <w:sz w:val="20"/>
                <w:szCs w:val="20"/>
              </w:rPr>
              <w:t>—</w:t>
            </w:r>
            <w:r>
              <w:rPr>
                <w:rFonts w:hint="eastAsia" w:asciiTheme="majorEastAsia" w:hAnsiTheme="majorEastAsia" w:eastAsiaTheme="majorEastAsia" w:cstheme="majorEastAsia"/>
                <w:sz w:val="20"/>
                <w:szCs w:val="20"/>
              </w:rPr>
              <w:t>访”一体化的县域女性全生命周期健康管理中心专科。围绕女性全生命周期健康管理，采取中西医结合特色防治方法，针对青春期、育龄期、更年期、老年期等女性群体，构建“四阶八链”服务体系（四阶：按年龄与健康需求划分，八链：每阶段两条特色服务链），服务内容主要涵盖妇女重大疾病防治、县域妇幼健康服务与质控两项内容。</w:t>
            </w:r>
          </w:p>
          <w:p w14:paraId="0032FC20">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村卫生室能力提升行动：</w:t>
            </w:r>
            <w:r>
              <w:rPr>
                <w:rFonts w:hint="eastAsia" w:asciiTheme="majorEastAsia" w:hAnsiTheme="majorEastAsia" w:eastAsiaTheme="majorEastAsia" w:cstheme="majorEastAsia"/>
                <w:sz w:val="20"/>
                <w:szCs w:val="20"/>
              </w:rPr>
              <w:t>结合《沁水县乡村建设“六统一</w:t>
            </w:r>
            <w:r>
              <w:rPr>
                <w:rFonts w:hint="eastAsia" w:asciiTheme="majorEastAsia" w:hAnsiTheme="majorEastAsia" w:eastAsiaTheme="majorEastAsia" w:cstheme="majorEastAsia"/>
                <w:sz w:val="20"/>
                <w:szCs w:val="20"/>
                <w:lang w:eastAsia="zh-CN"/>
              </w:rPr>
              <w:t>、</w:t>
            </w:r>
            <w:r>
              <w:rPr>
                <w:rFonts w:hint="eastAsia" w:asciiTheme="majorEastAsia" w:hAnsiTheme="majorEastAsia" w:eastAsiaTheme="majorEastAsia" w:cstheme="majorEastAsia"/>
                <w:sz w:val="20"/>
                <w:szCs w:val="20"/>
              </w:rPr>
              <w:t>六提质”三提</w:t>
            </w:r>
            <w:r>
              <w:rPr>
                <w:rFonts w:hint="eastAsia" w:asciiTheme="majorEastAsia" w:hAnsiTheme="majorEastAsia" w:eastAsiaTheme="majorEastAsia" w:cstheme="majorEastAsia"/>
                <w:sz w:val="20"/>
                <w:szCs w:val="20"/>
                <w:lang w:eastAsia="zh-CN"/>
              </w:rPr>
              <w:t>升</w:t>
            </w:r>
            <w:r>
              <w:rPr>
                <w:rFonts w:hint="eastAsia" w:asciiTheme="majorEastAsia" w:hAnsiTheme="majorEastAsia" w:eastAsiaTheme="majorEastAsia" w:cstheme="majorEastAsia"/>
                <w:sz w:val="20"/>
                <w:szCs w:val="20"/>
              </w:rPr>
              <w:t>行动方案》，通过完善基础建设、更新办公、诊疗设备，改善就医环境。加快推动村级卫生室能力达标建设，确保182个行政村全部达标，其中：110所以上达到“推荐标准”、3</w:t>
            </w:r>
            <w:r>
              <w:rPr>
                <w:rFonts w:hint="eastAsia" w:asciiTheme="majorEastAsia" w:hAnsiTheme="majorEastAsia" w:eastAsiaTheme="majorEastAsia" w:cstheme="majorEastAsia"/>
                <w:sz w:val="20"/>
                <w:szCs w:val="20"/>
                <w:lang w:val="en-US" w:eastAsia="zh-CN"/>
              </w:rPr>
              <w:t>0</w:t>
            </w:r>
            <w:r>
              <w:rPr>
                <w:rFonts w:hint="eastAsia" w:asciiTheme="majorEastAsia" w:hAnsiTheme="majorEastAsia" w:eastAsiaTheme="majorEastAsia" w:cstheme="majorEastAsia"/>
                <w:sz w:val="20"/>
                <w:szCs w:val="20"/>
              </w:rPr>
              <w:t>所以上达到“示范标准”。</w:t>
            </w:r>
          </w:p>
          <w:p w14:paraId="3EFF045C">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医疗机构能力提升工程：</w:t>
            </w:r>
            <w:r>
              <w:rPr>
                <w:rFonts w:hint="eastAsia" w:asciiTheme="majorEastAsia" w:hAnsiTheme="majorEastAsia" w:eastAsiaTheme="majorEastAsia" w:cstheme="majorEastAsia"/>
                <w:sz w:val="20"/>
                <w:szCs w:val="20"/>
              </w:rPr>
              <w:t>县医疗集团实施医疗卫生强基工程，推动县域医学影像、心电诊断、医学检验、消毒供应、中心药房（共享中药房）等资源共享提标扩能；县人民医院进一步完善综合服务能力，加强临床专科能力建设，争取2</w:t>
            </w:r>
            <w:r>
              <w:rPr>
                <w:rFonts w:hint="eastAsia" w:ascii="仿宋_GB2312" w:hAnsi="仿宋_GB2312" w:eastAsiaTheme="majorEastAsia" w:cstheme="majorEastAsia"/>
                <w:sz w:val="20"/>
                <w:szCs w:val="20"/>
              </w:rPr>
              <w:t>—</w:t>
            </w:r>
            <w:r>
              <w:rPr>
                <w:rFonts w:hint="eastAsia" w:asciiTheme="majorEastAsia" w:hAnsiTheme="majorEastAsia" w:eastAsiaTheme="majorEastAsia" w:cstheme="majorEastAsia"/>
                <w:sz w:val="20"/>
                <w:szCs w:val="20"/>
              </w:rPr>
              <w:t>3个市级临床重点专科；中医医院基础设施升级与信息化建设项目（含原县医院门诊楼、住院楼、医技楼改造，智慧医疗建设及脑病科专项设备购置）；妇幼保健计划生育服务中心构建“防</w:t>
            </w:r>
            <w:r>
              <w:rPr>
                <w:rFonts w:hint="eastAsia" w:ascii="仿宋_GB2312" w:hAnsi="仿宋_GB2312" w:eastAsiaTheme="majorEastAsia" w:cstheme="majorEastAsia"/>
                <w:sz w:val="20"/>
                <w:szCs w:val="20"/>
              </w:rPr>
              <w:t>—</w:t>
            </w:r>
            <w:r>
              <w:rPr>
                <w:rFonts w:hint="eastAsia" w:asciiTheme="majorEastAsia" w:hAnsiTheme="majorEastAsia" w:eastAsiaTheme="majorEastAsia" w:cstheme="majorEastAsia"/>
                <w:sz w:val="20"/>
                <w:szCs w:val="20"/>
              </w:rPr>
              <w:t>筛</w:t>
            </w:r>
            <w:r>
              <w:rPr>
                <w:rFonts w:hint="eastAsia" w:ascii="仿宋_GB2312" w:hAnsi="仿宋_GB2312" w:eastAsiaTheme="majorEastAsia" w:cstheme="majorEastAsia"/>
                <w:sz w:val="20"/>
                <w:szCs w:val="20"/>
              </w:rPr>
              <w:t>—</w:t>
            </w:r>
            <w:r>
              <w:rPr>
                <w:rFonts w:hint="eastAsia" w:asciiTheme="majorEastAsia" w:hAnsiTheme="majorEastAsia" w:eastAsiaTheme="majorEastAsia" w:cstheme="majorEastAsia"/>
                <w:sz w:val="20"/>
                <w:szCs w:val="20"/>
              </w:rPr>
              <w:t>治</w:t>
            </w:r>
            <w:r>
              <w:rPr>
                <w:rFonts w:hint="eastAsia" w:ascii="仿宋_GB2312" w:hAnsi="仿宋_GB2312" w:eastAsiaTheme="majorEastAsia" w:cstheme="majorEastAsia"/>
                <w:sz w:val="20"/>
                <w:szCs w:val="20"/>
              </w:rPr>
              <w:t>—</w:t>
            </w:r>
            <w:r>
              <w:rPr>
                <w:rFonts w:hint="eastAsia" w:asciiTheme="majorEastAsia" w:hAnsiTheme="majorEastAsia" w:eastAsiaTheme="majorEastAsia" w:cstheme="majorEastAsia"/>
                <w:sz w:val="20"/>
                <w:szCs w:val="20"/>
              </w:rPr>
              <w:t>管</w:t>
            </w:r>
            <w:r>
              <w:rPr>
                <w:rFonts w:hint="eastAsia" w:ascii="仿宋_GB2312" w:hAnsi="仿宋_GB2312" w:eastAsiaTheme="majorEastAsia" w:cstheme="majorEastAsia"/>
                <w:sz w:val="20"/>
                <w:szCs w:val="20"/>
              </w:rPr>
              <w:t>—</w:t>
            </w:r>
            <w:r>
              <w:rPr>
                <w:rFonts w:hint="eastAsia" w:asciiTheme="majorEastAsia" w:hAnsiTheme="majorEastAsia" w:eastAsiaTheme="majorEastAsia" w:cstheme="majorEastAsia"/>
                <w:sz w:val="20"/>
                <w:szCs w:val="20"/>
              </w:rPr>
              <w:t>访”一体化的县域女性健康管理中心，围绕不同生理阶段健康需求，提供整合型医疗保健服务；在端氏镇新建沁水县县域医疗次中心，提升城东片区医疗服务能力；加强公立医院医养结合机构建设，对中村镇卫生院、嘉峰镇卫生院、十里乡卫生院、固县乡卫生院等乡镇卫生院开展基础建设工程提升。</w:t>
            </w:r>
          </w:p>
          <w:p w14:paraId="585701C2">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疾病预防控制强化工程。</w:t>
            </w:r>
            <w:r>
              <w:rPr>
                <w:rFonts w:hint="eastAsia" w:asciiTheme="majorEastAsia" w:hAnsiTheme="majorEastAsia" w:eastAsiaTheme="majorEastAsia" w:cstheme="majorEastAsia"/>
                <w:sz w:val="20"/>
                <w:szCs w:val="20"/>
              </w:rPr>
              <w:t>疾病预防控制中心试点性创建一套协同高效的医防融合服务平台和体系。完成智慧疾控建设项目：一方面依托国家传染病智能监测预警前置软件、慢病管理医防融合系统等，通过大数据分析和人工智能技术对患者病情进行精准评估，另一方面力争50%以上预防接种门诊数字化，持续提升接种服务规范化便捷化水平，同时在200多个重点场所部署物联网传感器，构建“全域覆盖、全程可控、全链协同”的智慧卫监平台。创建智能化实验室（智能样本、设备管理、环境智能监控、数据分析）。推行HPV、带状疱疹免费免疫项目，对全县9</w:t>
            </w:r>
            <w:r>
              <w:rPr>
                <w:rFonts w:hint="eastAsia" w:ascii="仿宋_GB2312" w:hAnsi="仿宋_GB2312" w:eastAsiaTheme="majorEastAsia" w:cstheme="majorEastAsia"/>
                <w:sz w:val="20"/>
                <w:szCs w:val="20"/>
              </w:rPr>
              <w:t>—</w:t>
            </w:r>
            <w:r>
              <w:rPr>
                <w:rFonts w:hint="eastAsia" w:asciiTheme="majorEastAsia" w:hAnsiTheme="majorEastAsia" w:eastAsiaTheme="majorEastAsia" w:cstheme="majorEastAsia"/>
                <w:sz w:val="20"/>
                <w:szCs w:val="20"/>
              </w:rPr>
              <w:t>45岁适龄女性和50岁以上人群分别实施九价HPV、带状疱疹疫苗免费接种。</w:t>
            </w:r>
          </w:p>
          <w:p w14:paraId="1CEB4A84">
            <w:pPr>
              <w:overflowPunct w:val="0"/>
              <w:spacing w:line="40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全民健身设施建设工程</w:t>
            </w:r>
            <w:r>
              <w:rPr>
                <w:rFonts w:hint="eastAsia" w:asciiTheme="majorEastAsia" w:hAnsiTheme="majorEastAsia" w:eastAsiaTheme="majorEastAsia" w:cstheme="majorEastAsia"/>
                <w:sz w:val="20"/>
                <w:szCs w:val="20"/>
              </w:rPr>
              <w:t>。在县城建成区建设标准化体育场，不断满足群众健身需求。积极推进乡镇小型全民健身中心建设，持续构建“全民共享”的健身体系。</w:t>
            </w:r>
          </w:p>
        </w:tc>
      </w:tr>
    </w:tbl>
    <w:p w14:paraId="0A1F888F">
      <w:pPr>
        <w:pStyle w:val="10"/>
        <w:overflowPunct w:val="0"/>
        <w:spacing w:after="0" w:line="622" w:lineRule="exact"/>
        <w:ind w:firstLine="643"/>
        <w:textAlignment w:val="baseline"/>
        <w:rPr>
          <w:rFonts w:hint="eastAsia" w:ascii="仿宋_GB2312" w:hAnsi="仿宋_GB2312" w:cs="仿宋_GB2312"/>
          <w:szCs w:val="32"/>
          <w14:ligatures w14:val="standardContextual"/>
        </w:rPr>
      </w:pPr>
      <w:bookmarkStart w:id="135" w:name="_Toc6462"/>
      <w:r>
        <w:rPr>
          <w:rFonts w:hint="eastAsia" w:ascii="仿宋_GB2312" w:hAnsi="仿宋_GB2312" w:cs="仿宋_GB2312"/>
          <w:b/>
          <w:bCs/>
          <w:szCs w:val="32"/>
          <w14:ligatures w14:val="standardContextual"/>
        </w:rPr>
        <w:t>完善基本公共体育服务体系建设。</w:t>
      </w:r>
      <w:r>
        <w:rPr>
          <w:rFonts w:hint="eastAsia" w:ascii="仿宋_GB2312" w:hAnsi="仿宋_GB2312" w:cs="仿宋_GB2312"/>
          <w:szCs w:val="32"/>
          <w14:ligatures w14:val="standardContextual"/>
        </w:rPr>
        <w:t>持续优化县、乡（镇）、行政村（社区）三级全民健身公共服务体系，推动体育场、全民健身中心、游泳馆等公共体育设施向社会公众免费或低收费开放，鼓励机关、企事业单位、中小学校体育设施向社会公众有序开放。打造“跟着赛事游沁水”文旅体融合发展金名片，持续办好</w:t>
      </w:r>
      <w:r>
        <w:rPr>
          <w:rFonts w:hint="eastAsia" w:ascii="仿宋_GB2312" w:hAnsi="仿宋_GB2312" w:cs="仿宋_GB2312"/>
          <w:szCs w:val="32"/>
          <w:lang w:eastAsia="zh-CN"/>
          <w14:ligatures w14:val="standardContextual"/>
        </w:rPr>
        <w:t>“马拉松”“自行车”“村</w:t>
      </w:r>
      <w:r>
        <w:rPr>
          <w:rFonts w:hint="eastAsia" w:ascii="仿宋_GB2312" w:hAnsi="仿宋_GB2312" w:cs="仿宋_GB2312"/>
          <w:szCs w:val="32"/>
          <w:lang w:val="en-US" w:eastAsia="zh-CN"/>
          <w14:ligatures w14:val="standardContextual"/>
        </w:rPr>
        <w:t>BA</w:t>
      </w:r>
      <w:r>
        <w:rPr>
          <w:rFonts w:hint="eastAsia" w:ascii="仿宋_GB2312" w:hAnsi="仿宋_GB2312" w:cs="仿宋_GB2312"/>
          <w:szCs w:val="32"/>
          <w:lang w:eastAsia="zh-CN"/>
          <w14:ligatures w14:val="standardContextual"/>
        </w:rPr>
        <w:t>”</w:t>
      </w:r>
      <w:r>
        <w:rPr>
          <w:rFonts w:hint="eastAsia" w:ascii="仿宋_GB2312" w:hAnsi="仿宋_GB2312" w:cs="仿宋_GB2312"/>
          <w:szCs w:val="32"/>
          <w14:ligatures w14:val="standardContextual"/>
        </w:rPr>
        <w:t>等精品体育赛事，把赛事“流量”转换为经济“增量”。制定“全民健身带头人”培训计划，加强各类社会体育指导员、裁判员队伍建设，完善体育人才培养与激励机制，推动体育志愿服务常态化、规范化发展。到“十五五”末，全县人均体育场地面积达3.2㎡，每千人拥有社会体育指导员6人，经常参加体育锻炼人数比例达45.5%，城乡居民体质测定总体达标率达到92.5%。</w:t>
      </w:r>
    </w:p>
    <w:p w14:paraId="12E1216A">
      <w:pPr>
        <w:overflowPunct w:val="0"/>
        <w:spacing w:line="622" w:lineRule="exact"/>
        <w:ind w:firstLine="640"/>
        <w:rPr>
          <w:rFonts w:ascii="Times New Roman" w:hAnsi="Times New Roman" w:cs="Times New Roman"/>
        </w:rPr>
      </w:pPr>
    </w:p>
    <w:p w14:paraId="2694F56E">
      <w:pPr>
        <w:overflowPunct w:val="0"/>
        <w:spacing w:line="622" w:lineRule="exact"/>
        <w:ind w:firstLine="0" w:firstLineChars="0"/>
        <w:jc w:val="center"/>
        <w:outlineLvl w:val="1"/>
        <w:rPr>
          <w:rFonts w:hint="eastAsia" w:ascii="楷体_GB2312" w:hAnsi="楷体_GB2312" w:eastAsia="楷体_GB2312" w:cs="楷体_GB2312"/>
        </w:rPr>
      </w:pPr>
      <w:bookmarkStart w:id="136" w:name="_Toc27485"/>
      <w:r>
        <w:rPr>
          <w:rFonts w:hint="eastAsia" w:ascii="楷体_GB2312" w:hAnsi="楷体_GB2312" w:eastAsia="楷体_GB2312" w:cs="楷体_GB2312"/>
        </w:rPr>
        <w:t>第五节  全面加强“一老一小”关爱服务</w:t>
      </w:r>
      <w:bookmarkEnd w:id="135"/>
      <w:bookmarkEnd w:id="136"/>
    </w:p>
    <w:p w14:paraId="3B9836BB">
      <w:pPr>
        <w:overflowPunct w:val="0"/>
        <w:spacing w:line="622" w:lineRule="exact"/>
        <w:ind w:firstLine="640"/>
        <w:rPr>
          <w:rFonts w:ascii="Times New Roman" w:hAnsi="Times New Roman" w:cs="Times New Roman"/>
          <w:szCs w:val="32"/>
          <w14:ligatures w14:val="standardContextual"/>
        </w:rPr>
      </w:pPr>
    </w:p>
    <w:p w14:paraId="59787F7F">
      <w:pPr>
        <w:overflowPunct w:val="0"/>
        <w:spacing w:line="622" w:lineRule="exact"/>
        <w:ind w:firstLine="640"/>
        <w:rPr>
          <w:rFonts w:hint="eastAsia" w:ascii="仿宋_GB2312" w:hAnsi="仿宋_GB2312" w:cs="仿宋_GB2312"/>
          <w:szCs w:val="32"/>
          <w14:ligatures w14:val="standardContextual"/>
        </w:rPr>
      </w:pPr>
      <w:r>
        <w:rPr>
          <w:rFonts w:hint="eastAsia" w:ascii="仿宋_GB2312" w:hAnsi="仿宋_GB2312" w:cs="仿宋_GB2312"/>
          <w:szCs w:val="32"/>
          <w14:ligatures w14:val="standardContextual"/>
        </w:rPr>
        <w:t>聚焦“一老一小”重点群体，健全覆盖全人群、全生命周期的人口高质量服务体系，加快构建居家社区机构相协调、医养康养相结合、普惠多元相补充的养老托育服务体系。</w:t>
      </w:r>
    </w:p>
    <w:p w14:paraId="7EC003A0">
      <w:pPr>
        <w:overflowPunct w:val="0"/>
        <w:spacing w:line="622" w:lineRule="exact"/>
        <w:ind w:firstLine="643"/>
        <w:rPr>
          <w:rFonts w:hint="eastAsia" w:ascii="仿宋_GB2312" w:hAnsi="仿宋_GB2312" w:cs="仿宋_GB2312"/>
          <w:szCs w:val="32"/>
          <w14:ligatures w14:val="standardContextual"/>
        </w:rPr>
      </w:pPr>
      <w:r>
        <w:rPr>
          <w:rFonts w:hint="eastAsia" w:ascii="仿宋_GB2312" w:hAnsi="仿宋_GB2312" w:cs="仿宋_GB2312"/>
          <w:b/>
          <w:bCs/>
          <w:szCs w:val="32"/>
          <w14:ligatures w14:val="standardContextual"/>
        </w:rPr>
        <w:t>积极应对人口老龄化。</w:t>
      </w:r>
      <w:r>
        <w:rPr>
          <w:rFonts w:hint="eastAsia" w:ascii="仿宋_GB2312" w:hAnsi="仿宋_GB2312" w:cs="仿宋_GB2312"/>
          <w:szCs w:val="32"/>
          <w14:ligatures w14:val="standardContextual"/>
        </w:rPr>
        <w:t>完善老年健康服务体系建设，优化城乡养老服务网络布局，</w:t>
      </w:r>
      <w:r>
        <w:rPr>
          <w:rFonts w:hint="eastAsia" w:ascii="仿宋_GB2312" w:hAnsi="仿宋_GB2312" w:cs="仿宋_GB2312"/>
          <w:szCs w:val="32"/>
          <w:shd w:val="clear" w:color="auto" w:fill="FFFFFF"/>
        </w:rPr>
        <w:t>推进城镇社区养老幸福工程，推动乡镇区域养老服务中心服务全覆盖，大力发展社区嵌入式养老服务，积极发展农村互助性养老服务。</w:t>
      </w:r>
      <w:r>
        <w:rPr>
          <w:rFonts w:hint="eastAsia" w:ascii="仿宋_GB2312" w:hAnsi="仿宋_GB2312" w:cs="仿宋_GB2312"/>
          <w:szCs w:val="32"/>
          <w14:ligatures w14:val="standardContextual"/>
        </w:rPr>
        <w:t>推进</w:t>
      </w:r>
      <w:r>
        <w:rPr>
          <w:rFonts w:hint="eastAsia" w:ascii="仿宋_GB2312" w:hAnsi="仿宋_GB2312" w:cs="仿宋_GB2312"/>
          <w:szCs w:val="32"/>
        </w:rPr>
        <w:t>县医院新址开展</w:t>
      </w:r>
      <w:r>
        <w:rPr>
          <w:rFonts w:hint="eastAsia" w:ascii="仿宋_GB2312" w:hAnsi="仿宋_GB2312" w:cs="仿宋_GB2312"/>
          <w:szCs w:val="32"/>
          <w14:ligatures w14:val="standardContextual"/>
        </w:rPr>
        <w:t>医养结合试点，推动基层康复、护理床位扩容提质。</w:t>
      </w:r>
      <w:r>
        <w:rPr>
          <w:rFonts w:hint="eastAsia" w:ascii="仿宋_GB2312" w:hAnsi="仿宋_GB2312" w:cs="仿宋_GB2312"/>
          <w:szCs w:val="32"/>
          <w:highlight w:val="none"/>
          <w:lang w:val="en-US" w:eastAsia="zh-CN"/>
        </w:rPr>
        <w:t>全面实施</w:t>
      </w:r>
      <w:r>
        <w:rPr>
          <w:rFonts w:hint="eastAsia" w:ascii="仿宋_GB2312" w:hAnsi="仿宋_GB2312" w:cs="仿宋_GB2312"/>
          <w:szCs w:val="32"/>
        </w:rPr>
        <w:t>长期护理保险制度，健全筹资、服务、监管等制度机制，不断扩大长期护理保险覆盖面，逐步推动定点医疗机构纳入定点范围。完善</w:t>
      </w:r>
      <w:r>
        <w:rPr>
          <w:rFonts w:hint="eastAsia" w:ascii="仿宋_GB2312" w:hAnsi="仿宋_GB2312" w:cs="仿宋_GB2312"/>
          <w:szCs w:val="32"/>
          <w14:ligatures w14:val="standardContextual"/>
        </w:rPr>
        <w:t>失能失智老年人照护体系，扩大康复护理、安宁疗护服务供给，</w:t>
      </w:r>
      <w:r>
        <w:rPr>
          <w:rFonts w:hint="eastAsia" w:ascii="仿宋_GB2312" w:hAnsi="仿宋_GB2312" w:cs="仿宋_GB2312"/>
          <w:szCs w:val="32"/>
          <w:shd w:val="clear" w:color="auto" w:fill="FFFFFF"/>
        </w:rPr>
        <w:t>发展医育、医养结合服务</w:t>
      </w:r>
      <w:r>
        <w:rPr>
          <w:rFonts w:hint="eastAsia" w:ascii="仿宋_GB2312" w:hAnsi="仿宋_GB2312" w:cs="仿宋_GB2312"/>
          <w:szCs w:val="32"/>
          <w14:ligatures w14:val="standardContextual"/>
        </w:rPr>
        <w:t>。健全养老事业与产业协同发展的政策机制，鼓励社会力量参与养老服务供给，加快公共设施适老化和无障碍改造。</w:t>
      </w:r>
      <w:r>
        <w:rPr>
          <w:rFonts w:hint="eastAsia" w:ascii="仿宋_GB2312" w:hAnsi="仿宋_GB2312" w:cs="仿宋_GB2312"/>
          <w:szCs w:val="32"/>
          <w:shd w:val="clear" w:color="auto" w:fill="FFFFFF"/>
        </w:rPr>
        <w:t>稳妥实施渐进式延迟法定退休年龄，优化就业、社保等方面年龄限制政策，积极开发老年人力资源，推动银发经济发展。</w:t>
      </w:r>
    </w:p>
    <w:p w14:paraId="2757FED2">
      <w:pPr>
        <w:overflowPunct w:val="0"/>
        <w:spacing w:line="622" w:lineRule="exact"/>
        <w:ind w:firstLine="643"/>
        <w:rPr>
          <w:rFonts w:ascii="Times New Roman" w:hAnsi="Times New Roman" w:cs="Times New Roman"/>
        </w:rPr>
      </w:pPr>
      <w:r>
        <w:rPr>
          <w:rFonts w:hint="eastAsia" w:ascii="仿宋_GB2312" w:hAnsi="仿宋_GB2312" w:cs="仿宋_GB2312"/>
          <w:b/>
          <w:bCs/>
          <w:szCs w:val="32"/>
          <w14:ligatures w14:val="standardContextual"/>
        </w:rPr>
        <w:t>推动生育友好型社会建设。</w:t>
      </w:r>
      <w:r>
        <w:rPr>
          <w:rFonts w:hint="eastAsia" w:ascii="仿宋_GB2312" w:hAnsi="仿宋_GB2312" w:cs="仿宋_GB2312"/>
          <w:szCs w:val="32"/>
          <w14:ligatures w14:val="standardContextual"/>
        </w:rPr>
        <w:t>大力发展普惠托育服务体系，支持社区、用人单位、产业园区等利用现有资源兴办托育点，鼓励社会力量建设一批质量有保障、价格可承受的托育服务机构。稳步推进免费学前教育，落实育儿补贴和个人所得税抵扣政策，切实减轻家庭生育、养育、教育负担。依法保障女性就业权益，全面落实延长生育假、配偶陪产假等制度，完善生育保险制度，实施早孕关爱行动、孕育和出生缺陷防治能力提升计划。加强困境、留守、流动的未成年人关爱服务，加快推进未成年人保护中心建设，改造完善乡镇未成年人工作室，健全基层未成年人保护网络。</w:t>
      </w:r>
      <w:r>
        <w:rPr>
          <w:rFonts w:hint="eastAsia" w:ascii="仿宋_GB2312" w:hAnsi="仿宋_GB2312" w:cs="仿宋_GB2312"/>
          <w:szCs w:val="32"/>
        </w:rPr>
        <w:t>加强未成年人网络保护。</w:t>
      </w:r>
      <w:r>
        <w:rPr>
          <w:rFonts w:hint="eastAsia" w:ascii="仿宋_GB2312" w:hAnsi="仿宋_GB2312" w:cs="仿宋_GB2312"/>
          <w:szCs w:val="32"/>
          <w14:ligatures w14:val="standardContextual"/>
        </w:rPr>
        <w:t>加强婚恋观、生育观引导，优化生育支持制度和激励措施，推动形成包容友好的社会共识。</w:t>
      </w:r>
    </w:p>
    <w:p w14:paraId="75D79521">
      <w:pPr>
        <w:overflowPunct w:val="0"/>
        <w:spacing w:line="622" w:lineRule="exact"/>
        <w:ind w:firstLine="640"/>
        <w:rPr>
          <w:rFonts w:ascii="Times New Roman" w:hAnsi="Times New Roman" w:cs="Times New Roman"/>
        </w:rPr>
      </w:pPr>
      <w:bookmarkStart w:id="137" w:name="_Toc8223"/>
      <w:r>
        <w:rPr>
          <w:rFonts w:ascii="Times New Roman" w:hAnsi="Times New Roman" w:cs="Times New Roman"/>
        </w:rPr>
        <w:br w:type="page"/>
      </w:r>
    </w:p>
    <w:p w14:paraId="699C9A8A">
      <w:pPr>
        <w:overflowPunct w:val="0"/>
        <w:spacing w:line="622" w:lineRule="exact"/>
        <w:ind w:firstLine="640"/>
        <w:rPr>
          <w:rFonts w:ascii="Times New Roman" w:hAnsi="Times New Roman" w:cs="Times New Roman"/>
        </w:rPr>
      </w:pPr>
    </w:p>
    <w:p w14:paraId="6A8100D5">
      <w:pPr>
        <w:overflowPunct w:val="0"/>
        <w:spacing w:line="622" w:lineRule="exact"/>
        <w:ind w:firstLine="0" w:firstLineChars="0"/>
        <w:jc w:val="center"/>
        <w:outlineLvl w:val="0"/>
        <w:rPr>
          <w:rFonts w:hint="eastAsia" w:ascii="黑体" w:hAnsi="黑体" w:eastAsia="黑体" w:cs="黑体"/>
          <w:szCs w:val="32"/>
        </w:rPr>
      </w:pPr>
      <w:bookmarkStart w:id="138" w:name="_Toc16036"/>
      <w:r>
        <w:rPr>
          <w:rFonts w:hint="eastAsia" w:ascii="黑体" w:hAnsi="黑体" w:eastAsia="黑体" w:cs="黑体"/>
          <w:szCs w:val="32"/>
        </w:rPr>
        <w:t>第十二章</w:t>
      </w:r>
      <w:r>
        <w:rPr>
          <w:rFonts w:hint="eastAsia" w:ascii="黑体" w:hAnsi="黑体" w:eastAsia="黑体" w:cs="黑体"/>
          <w:szCs w:val="32"/>
          <w:lang w:val="en-US" w:eastAsia="zh-CN"/>
        </w:rPr>
        <w:t xml:space="preserve"> </w:t>
      </w:r>
      <w:r>
        <w:rPr>
          <w:rFonts w:hint="eastAsia" w:ascii="黑体" w:hAnsi="黑体" w:eastAsia="黑体" w:cs="黑体"/>
          <w:szCs w:val="32"/>
        </w:rPr>
        <w:t>强化党建引领基层治理</w:t>
      </w:r>
      <w:r>
        <w:rPr>
          <w:rFonts w:hint="eastAsia" w:ascii="黑体" w:hAnsi="黑体" w:eastAsia="黑体" w:cs="黑体"/>
          <w:szCs w:val="32"/>
          <w:lang w:val="en-US" w:eastAsia="zh-CN"/>
        </w:rPr>
        <w:t xml:space="preserve"> </w:t>
      </w:r>
      <w:r>
        <w:rPr>
          <w:rFonts w:hint="eastAsia" w:ascii="黑体" w:hAnsi="黑体" w:eastAsia="黑体" w:cs="黑体"/>
          <w:szCs w:val="32"/>
        </w:rPr>
        <w:t>建设更高水平平安沁水</w:t>
      </w:r>
      <w:bookmarkEnd w:id="137"/>
      <w:bookmarkEnd w:id="138"/>
    </w:p>
    <w:p w14:paraId="7209D04E">
      <w:pPr>
        <w:overflowPunct w:val="0"/>
        <w:spacing w:line="622" w:lineRule="exact"/>
        <w:ind w:firstLine="640"/>
        <w:rPr>
          <w:rFonts w:ascii="Times New Roman" w:hAnsi="Times New Roman" w:cs="Times New Roman"/>
          <w:kern w:val="0"/>
          <w:szCs w:val="32"/>
        </w:rPr>
      </w:pPr>
    </w:p>
    <w:p w14:paraId="7D8933DF">
      <w:pPr>
        <w:overflowPunct w:val="0"/>
        <w:spacing w:line="622" w:lineRule="exact"/>
        <w:ind w:firstLine="640"/>
        <w:rPr>
          <w:rFonts w:hint="eastAsia" w:ascii="仿宋_GB2312" w:hAnsi="仿宋_GB2312" w:cs="仿宋_GB2312"/>
          <w:kern w:val="0"/>
          <w:szCs w:val="32"/>
        </w:rPr>
      </w:pPr>
      <w:r>
        <w:rPr>
          <w:rFonts w:hint="eastAsia" w:ascii="仿宋_GB2312" w:hAnsi="仿宋_GB2312" w:cs="仿宋_GB2312"/>
          <w:kern w:val="0"/>
          <w:szCs w:val="32"/>
        </w:rPr>
        <w:t>牢固树立“大抓平安、抓大平安”理念，全面贯彻落实总体国家安全观，坚持以人民为中心的发展思想，统筹推进国家安全、社会安定、人民安宁，积极争创“平安中国建设示范县”，筑牢沁水高质量发展的系统性安全屏障。</w:t>
      </w:r>
    </w:p>
    <w:p w14:paraId="1397F5D0">
      <w:pPr>
        <w:overflowPunct w:val="0"/>
        <w:spacing w:line="622" w:lineRule="exact"/>
        <w:ind w:firstLine="643"/>
        <w:rPr>
          <w:rFonts w:ascii="Times New Roman" w:hAnsi="Times New Roman" w:eastAsia="楷体_GB2312" w:cs="Times New Roman"/>
          <w:b/>
          <w:szCs w:val="32"/>
        </w:rPr>
      </w:pPr>
      <w:bookmarkStart w:id="139" w:name="_Toc23920"/>
    </w:p>
    <w:p w14:paraId="47BDF385">
      <w:pPr>
        <w:overflowPunct w:val="0"/>
        <w:spacing w:line="622" w:lineRule="exact"/>
        <w:ind w:firstLine="0" w:firstLineChars="0"/>
        <w:jc w:val="center"/>
        <w:outlineLvl w:val="1"/>
        <w:rPr>
          <w:rFonts w:ascii="Times New Roman" w:hAnsi="Times New Roman" w:eastAsia="楷体_GB2312" w:cs="Times New Roman"/>
          <w:bCs/>
          <w:szCs w:val="32"/>
        </w:rPr>
      </w:pPr>
      <w:bookmarkStart w:id="140" w:name="_Toc1866"/>
      <w:r>
        <w:rPr>
          <w:rFonts w:ascii="Times New Roman" w:hAnsi="Times New Roman" w:eastAsia="楷体_GB2312" w:cs="Times New Roman"/>
          <w:bCs/>
          <w:szCs w:val="32"/>
        </w:rPr>
        <w:t>第一节</w:t>
      </w:r>
      <w:r>
        <w:rPr>
          <w:rFonts w:hint="eastAsia" w:ascii="楷体_GB2312" w:hAnsi="楷体_GB2312" w:eastAsia="楷体_GB2312" w:cs="楷体_GB2312"/>
        </w:rPr>
        <w:t xml:space="preserve">  </w:t>
      </w:r>
      <w:r>
        <w:rPr>
          <w:rFonts w:ascii="Times New Roman" w:hAnsi="Times New Roman" w:eastAsia="楷体_GB2312" w:cs="Times New Roman"/>
          <w:bCs/>
          <w:szCs w:val="32"/>
        </w:rPr>
        <w:t>全面实施党建引领基层治理</w:t>
      </w:r>
      <w:bookmarkEnd w:id="139"/>
      <w:bookmarkEnd w:id="140"/>
    </w:p>
    <w:p w14:paraId="5D340FAE">
      <w:pPr>
        <w:overflowPunct w:val="0"/>
        <w:spacing w:line="622" w:lineRule="exact"/>
        <w:ind w:firstLine="640"/>
        <w:rPr>
          <w:rFonts w:ascii="Times New Roman" w:hAnsi="Times New Roman" w:cs="Times New Roman"/>
          <w:kern w:val="0"/>
          <w:szCs w:val="32"/>
        </w:rPr>
      </w:pPr>
    </w:p>
    <w:p w14:paraId="314A624D">
      <w:pPr>
        <w:overflowPunct w:val="0"/>
        <w:spacing w:line="622" w:lineRule="exact"/>
        <w:ind w:firstLine="640"/>
        <w:rPr>
          <w:rFonts w:hint="eastAsia" w:ascii="仿宋_GB2312" w:hAnsi="仿宋_GB2312" w:cs="仿宋_GB2312"/>
          <w:kern w:val="0"/>
          <w:szCs w:val="32"/>
        </w:rPr>
      </w:pPr>
      <w:r>
        <w:rPr>
          <w:rFonts w:hint="eastAsia" w:ascii="仿宋_GB2312" w:hAnsi="仿宋_GB2312" w:cs="仿宋_GB2312"/>
          <w:kern w:val="0"/>
          <w:szCs w:val="32"/>
        </w:rPr>
        <w:t>按照“一年夯基固本、两年提质增效、三年凸显成效、四年深化拓展、五年长效定型”的目标要求，以党的建设为引领，以组织提能、发展提质、治理提效、服务提优“四提协同”为抓手，以先锋行动、清风行动、润心行动、筑安行动、同心行动、善治行动“六大行动”为路径，建设人人有责、人人尽责、人人享有的社会治理共同体，推进基层治理体系和治理能力现代化，奋力打造基层治理现代化沁水样板。</w:t>
      </w:r>
    </w:p>
    <w:p w14:paraId="0DA9E085">
      <w:pPr>
        <w:overflowPunct w:val="0"/>
        <w:spacing w:line="622" w:lineRule="exact"/>
        <w:ind w:firstLine="643"/>
        <w:rPr>
          <w:rFonts w:hint="eastAsia" w:ascii="仿宋_GB2312" w:hAnsi="仿宋_GB2312" w:cs="仿宋_GB2312"/>
          <w:kern w:val="0"/>
          <w:szCs w:val="32"/>
        </w:rPr>
      </w:pPr>
      <w:r>
        <w:rPr>
          <w:rFonts w:hint="eastAsia" w:ascii="仿宋_GB2312" w:hAnsi="仿宋_GB2312" w:cs="仿宋_GB2312"/>
          <w:b/>
          <w:bCs/>
          <w:kern w:val="0"/>
          <w:szCs w:val="32"/>
        </w:rPr>
        <w:t>强化党建引领。</w:t>
      </w:r>
      <w:r>
        <w:rPr>
          <w:rFonts w:hint="eastAsia" w:ascii="仿宋_GB2312" w:hAnsi="仿宋_GB2312" w:cs="仿宋_GB2312"/>
          <w:kern w:val="0"/>
          <w:szCs w:val="32"/>
        </w:rPr>
        <w:t>强化政治引领，建立习近平总书记重要讲话和重要指示批示精神以及党中央重大决策部署贯彻落实机制，推动政治监督、政治巡察、政治建设考察相贯通，教育引导广大党员干部深刻领悟“两个确立”的决定性意义，坚决做到“两个维护”，把党的领导贯穿到基层治理创新全过程和各方面，把党的政治优势转化为治理效能。强化思想引领，持续抓好落实“第一议题”制度，统筹推动文明培育、文明实践、文明创建，加强公民思想道德建设，深入推进“清朗”“剑网”等专项行动，发挥先进典型示范引领作用，进一步形成向上向善的社会风尚。强化能力引领，建立分层培训体系，不断提升党员干部基层治理的能力，锻造一支懂治理、善治理、会服务的基层骨干力量。强化作风引领，持续深化正风肃纪，强化党性淬炼、警示教育和文化浸润，通过健全监督体系、建立以案促改机制等，扎紧制度笼子，健全防治腐败的体制机制，加强重点领域整治，深化群众身边不正之风和腐败问题整治，以党员干部优良作风带动社风民风。强化机制引领，建立县委党建引领基层治理协调机制定期研究、听取汇报、协调推动任务落实机制，建立县委工作部门、群团组织沟通协作配合机制和工作任务分工负责机制，完善处级领导包联乡镇基层治理工作定期向县委报告机制。</w:t>
      </w:r>
    </w:p>
    <w:p w14:paraId="4916F8CD">
      <w:pPr>
        <w:overflowPunct w:val="0"/>
        <w:spacing w:line="622" w:lineRule="exact"/>
        <w:ind w:firstLine="643"/>
        <w:rPr>
          <w:rFonts w:hint="eastAsia" w:ascii="仿宋_GB2312" w:hAnsi="仿宋_GB2312" w:cs="仿宋_GB2312"/>
          <w:kern w:val="0"/>
          <w:szCs w:val="32"/>
        </w:rPr>
      </w:pPr>
      <w:r>
        <w:rPr>
          <w:rFonts w:hint="eastAsia" w:ascii="仿宋_GB2312" w:hAnsi="仿宋_GB2312" w:cs="仿宋_GB2312"/>
          <w:b/>
          <w:bCs/>
          <w:kern w:val="0"/>
          <w:szCs w:val="32"/>
        </w:rPr>
        <w:t>深化“四提协同”。</w:t>
      </w:r>
      <w:r>
        <w:rPr>
          <w:rFonts w:hint="eastAsia" w:ascii="仿宋_GB2312" w:hAnsi="仿宋_GB2312" w:cs="仿宋_GB2312"/>
          <w:kern w:val="0"/>
          <w:szCs w:val="32"/>
        </w:rPr>
        <w:t>推动组织提能，制定出台《乡镇党建办工作职责与运行规范》，实行党建工作“月度融合清单制”，推行“党建+”项目化运作，推动乡镇党建办融合发力；在农村领域构建融合发展共同体，在城市领域深化区域化党建格局，在“三新”领域拓展有效覆盖，推动党组织融合聚力；强化党员教育管理，严格组织生活制度，创新年老体弱党员管理模式，搭建实践服务平台，精准实施设岗定责，深化承诺践诺活动，推动基层队伍融合蓄力。推动发展提质，实施集体经济提质增量行动，推广“10+N”发展模式，健全完善村级集体经济组织运行、财务管理、收益分配、监督管理、风险防控、激励容错等机制，围绕煤炭煤层气产业、文旅康养产业、特色种植养殖产业，因地制宜发展壮大集体经济，制定出台村集体经济发展绩效与村干部报酬挂钩政策，建立以财政投入为主的村级组织运转经费稳定增长机制，健全完善村干部保障体系。推动治理提效，修订完善村规民约、居民公约，建好道德评议会、红白理事会，深化“阳光村治”，提升农村“三资”管理水平，拓展群众性精神文明创建活动，积极推动移风易俗，倡导文明新风尚，发挥县乡村三级综治中心作用，构建多元预防调处化解矛盾纠纷机制，持续规范和优化网格设置，提升网格服务响应效率和事件办结质量，建立健全社会各界广泛参与村（社区）治理工作机制，探索“社会组织承接民生项目”模式。推动服务提优，结合“六统一</w:t>
      </w:r>
      <w:r>
        <w:rPr>
          <w:rFonts w:hint="eastAsia" w:ascii="仿宋_GB2312" w:hAnsi="仿宋_GB2312" w:cs="仿宋_GB2312"/>
          <w:kern w:val="0"/>
          <w:szCs w:val="32"/>
          <w:lang w:eastAsia="zh-CN"/>
        </w:rPr>
        <w:t>、</w:t>
      </w:r>
      <w:r>
        <w:rPr>
          <w:rFonts w:hint="eastAsia" w:ascii="仿宋_GB2312" w:hAnsi="仿宋_GB2312" w:cs="仿宋_GB2312"/>
          <w:kern w:val="0"/>
          <w:szCs w:val="32"/>
        </w:rPr>
        <w:t>六提质”三年行动，打造集党务、政务、村务、民生服务等于一体的综合服务平台，逐步提高村级组织活动场所维修基金保障标准，聚焦“一老一小一困”等重点群体，以及就业、教育、医疗、养老、托育等民生关切，通过党组织链接资源，提供个性化、精细化服务。到2030年，党建引领基层治理机制更加完善、基层党组织战斗堡垒更加坚固、基层公共服务供给更加精准高效，基层治理体系和治理能力现代化水平显著提升。</w:t>
      </w:r>
    </w:p>
    <w:p w14:paraId="1153A9F1">
      <w:pPr>
        <w:overflowPunct w:val="0"/>
        <w:spacing w:line="622" w:lineRule="exact"/>
        <w:ind w:firstLine="643"/>
        <w:rPr>
          <w:rFonts w:hint="eastAsia" w:ascii="仿宋_GB2312" w:hAnsi="仿宋_GB2312" w:cs="仿宋_GB2312"/>
          <w:kern w:val="0"/>
          <w:szCs w:val="32"/>
        </w:rPr>
      </w:pPr>
      <w:r>
        <w:rPr>
          <w:rFonts w:hint="eastAsia" w:ascii="仿宋_GB2312" w:hAnsi="仿宋_GB2312" w:cs="仿宋_GB2312"/>
          <w:b/>
          <w:bCs/>
          <w:kern w:val="0"/>
          <w:szCs w:val="32"/>
        </w:rPr>
        <w:t>实施“六大行动”。</w:t>
      </w:r>
      <w:r>
        <w:rPr>
          <w:rFonts w:hint="eastAsia" w:ascii="仿宋_GB2312" w:hAnsi="仿宋_GB2312" w:cs="仿宋_GB2312"/>
          <w:kern w:val="0"/>
          <w:szCs w:val="32"/>
        </w:rPr>
        <w:t>实施先锋行动，严密党的基层组织体系，建强农村干部队伍，落实工作运行机制，夯实农村基础保障，抓组织体系建设，抓服务体系建设，统筹推进各领域党建，强化党的创新理论武装，提升发展党员质量，创新党员队伍管理，树好典型品牌。实施清风行动推动，压紧压实管党治党政治责任，推动政治监督具体化精准化常态化，深化不正之风和腐败问题同查同治，持续整治群众身边不正之风和腐败问题，全力维护广大人民群众合法权益。实施润心行动，以文明培育、文明实践、文明创建、农村精神文明建设“四梁”搭建“润心”框架，以理想信念铸魂、核心价值引领、思想道德建设、居民素质提升、公益宣传赋能、文化文艺优化、陈规陋习破除、公共秩序规范“八柱”筑牢“润心”路径，让文明成果浸润城乡、温暖人心。实施筑安行动，推进综治中心规范化建设，推广“赵树理调解工作法”，建强矛盾纠纷调解组织，有序推进法治村居建设，优化网格设置，建强网格队伍，建强群防群治队伍，广泛开展平安宣传，全面提升平安沁水建设水平。实施同心行动，引导支持党外人士围绕多元共治、减负赋能、民生关切、产业增效等深入调查研究，积极建言献策。依法加强民族宗教事务管理，牢牢守住不发生系统性风险底线。广泛动员统战成员协助党委政府做好政策宣传、解疑释惑、理顺情绪、协调关系、化解矛盾等工作，为推进基层治理现代化贡献统战智慧和力量。实施善治行动，强化党建引领基层治理和基层政权建设，完善落实基层治理相关制度，巩固提升新兴领域“两个覆盖”质量，优化党员发展和教育管理，健全新兴领域党建工作机制，推动新就业群体进社区常态化，健全志愿服务阵地和保障体系，深化信访与人民建议征集，建设专业社会工作队伍。</w:t>
      </w:r>
    </w:p>
    <w:p w14:paraId="51AB3161">
      <w:pPr>
        <w:overflowPunct w:val="0"/>
        <w:spacing w:after="156" w:afterLines="50" w:line="622" w:lineRule="exact"/>
        <w:ind w:firstLine="0" w:firstLineChars="0"/>
        <w:jc w:val="center"/>
        <w:rPr>
          <w:rFonts w:hint="eastAsia" w:ascii="黑体" w:hAnsi="黑体" w:eastAsia="黑体" w:cs="黑体"/>
          <w:bCs/>
          <w:sz w:val="30"/>
          <w:szCs w:val="30"/>
        </w:rPr>
      </w:pPr>
      <w:r>
        <w:rPr>
          <w:rFonts w:hint="eastAsia" w:ascii="黑体" w:hAnsi="黑体" w:eastAsia="黑体" w:cs="黑体"/>
          <w:bCs/>
          <w:sz w:val="30"/>
          <w:szCs w:val="30"/>
        </w:rPr>
        <w:t>专栏27　基层治理重点项目</w:t>
      </w:r>
    </w:p>
    <w:tbl>
      <w:tblPr>
        <w:tblStyle w:val="21"/>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01441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60" w:type="dxa"/>
            <w:vAlign w:val="center"/>
          </w:tcPr>
          <w:p w14:paraId="2F92443C">
            <w:pPr>
              <w:overflowPunct w:val="0"/>
              <w:snapToGrid w:val="0"/>
              <w:spacing w:line="44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法治文化阵地建设工程：</w:t>
            </w:r>
            <w:r>
              <w:rPr>
                <w:rFonts w:hint="eastAsia" w:asciiTheme="majorEastAsia" w:hAnsiTheme="majorEastAsia" w:eastAsiaTheme="majorEastAsia" w:cstheme="majorEastAsia"/>
                <w:sz w:val="20"/>
                <w:szCs w:val="20"/>
              </w:rPr>
              <w:t>持续扩大法治文化阵地的覆盖面，建设法治广场（公园、长廊）等法治阵地，不断提升公民法治素养。</w:t>
            </w:r>
          </w:p>
          <w:p w14:paraId="19507E27">
            <w:pPr>
              <w:overflowPunct w:val="0"/>
              <w:snapToGrid w:val="0"/>
              <w:spacing w:line="44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公共法律服务建设项目：</w:t>
            </w:r>
            <w:r>
              <w:rPr>
                <w:rFonts w:hint="eastAsia" w:asciiTheme="majorEastAsia" w:hAnsiTheme="majorEastAsia" w:eastAsiaTheme="majorEastAsia" w:cstheme="majorEastAsia"/>
                <w:sz w:val="20"/>
                <w:szCs w:val="20"/>
              </w:rPr>
              <w:t>建设公共法律服务中心，完善乡镇（街道）公共法律服务工作站和村（社区）公共法律服务工作室。</w:t>
            </w:r>
          </w:p>
          <w:p w14:paraId="4004552A">
            <w:pPr>
              <w:overflowPunct w:val="0"/>
              <w:snapToGrid w:val="0"/>
              <w:spacing w:line="44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基层司法所提质改造项目：</w:t>
            </w:r>
            <w:r>
              <w:rPr>
                <w:rFonts w:hint="eastAsia" w:asciiTheme="majorEastAsia" w:hAnsiTheme="majorEastAsia" w:eastAsiaTheme="majorEastAsia" w:cstheme="majorEastAsia"/>
                <w:sz w:val="20"/>
                <w:szCs w:val="20"/>
              </w:rPr>
              <w:t>根据省司法厅“一县一所一标杆”工作要求，打造高标准示范司法所：新建标准化司法所并做好升级改造。</w:t>
            </w:r>
          </w:p>
        </w:tc>
      </w:tr>
    </w:tbl>
    <w:p w14:paraId="2B87E94A">
      <w:pPr>
        <w:overflowPunct w:val="0"/>
        <w:spacing w:line="622" w:lineRule="exact"/>
        <w:ind w:firstLine="640"/>
        <w:rPr>
          <w:rFonts w:ascii="Times New Roman" w:hAnsi="Times New Roman" w:cs="Times New Roman"/>
        </w:rPr>
      </w:pPr>
      <w:bookmarkStart w:id="141" w:name="_Toc20625"/>
    </w:p>
    <w:p w14:paraId="180D755B">
      <w:pPr>
        <w:overflowPunct w:val="0"/>
        <w:spacing w:line="622" w:lineRule="exact"/>
        <w:ind w:firstLine="0" w:firstLineChars="0"/>
        <w:jc w:val="center"/>
        <w:outlineLvl w:val="1"/>
        <w:rPr>
          <w:rFonts w:hint="eastAsia" w:ascii="楷体_GB2312" w:hAnsi="楷体_GB2312" w:eastAsia="楷体_GB2312" w:cs="楷体_GB2312"/>
        </w:rPr>
      </w:pPr>
      <w:bookmarkStart w:id="142" w:name="_Toc13973"/>
      <w:r>
        <w:rPr>
          <w:rFonts w:hint="eastAsia" w:ascii="楷体_GB2312" w:hAnsi="楷体_GB2312" w:eastAsia="楷体_GB2312" w:cs="楷体_GB2312"/>
        </w:rPr>
        <w:t>第二节  完善应急管理体系建设</w:t>
      </w:r>
      <w:bookmarkEnd w:id="141"/>
      <w:bookmarkEnd w:id="142"/>
    </w:p>
    <w:p w14:paraId="575BEF3F">
      <w:pPr>
        <w:overflowPunct w:val="0"/>
        <w:spacing w:line="622" w:lineRule="exact"/>
        <w:ind w:firstLine="640"/>
        <w:rPr>
          <w:rFonts w:ascii="Times New Roman" w:hAnsi="Times New Roman" w:cs="Times New Roman"/>
          <w:szCs w:val="32"/>
        </w:rPr>
      </w:pPr>
    </w:p>
    <w:p w14:paraId="7CF63B82">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以推进应急管理能力现代化为核心目标，全面强化安全生产系统治理，持续筑牢基层应急基础，加快构建智慧化、精准化的应急安全监管体系，切实提升全社会本质安全水平。</w:t>
      </w:r>
    </w:p>
    <w:p w14:paraId="0D55D6E0">
      <w:pPr>
        <w:overflowPunct w:val="0"/>
        <w:spacing w:line="622" w:lineRule="exact"/>
        <w:ind w:firstLine="643"/>
        <w:rPr>
          <w:rFonts w:hint="eastAsia" w:ascii="仿宋_GB2312" w:hAnsi="仿宋_GB2312" w:cs="仿宋_GB2312"/>
          <w:b/>
          <w:bCs/>
          <w:kern w:val="0"/>
          <w:szCs w:val="32"/>
        </w:rPr>
      </w:pPr>
      <w:r>
        <w:rPr>
          <w:rFonts w:hint="eastAsia" w:ascii="仿宋_GB2312" w:hAnsi="仿宋_GB2312" w:cs="仿宋_GB2312"/>
          <w:b/>
          <w:bCs/>
          <w:kern w:val="0"/>
          <w:szCs w:val="32"/>
        </w:rPr>
        <w:t>持续加强重点行业安全生产保障。</w:t>
      </w:r>
      <w:r>
        <w:rPr>
          <w:rFonts w:hint="eastAsia" w:ascii="仿宋_GB2312" w:hAnsi="仿宋_GB2312" w:cs="仿宋_GB2312"/>
          <w:szCs w:val="32"/>
        </w:rPr>
        <w:t>坚持抓责任、抓重点、抓基础、抓应急，夯实安全生产责任体系，落实“三管三必须”要求，聚焦煤矿、煤层气、城镇燃气、护林防火、建筑施工、交通运输等重点行业领域，强化风险隐患排查整治，坚决防范安全生产事故发生。</w:t>
      </w:r>
      <w:r>
        <w:rPr>
          <w:rFonts w:hint="eastAsia" w:ascii="仿宋_GB2312" w:hAnsi="仿宋_GB2312" w:cs="仿宋_GB2312"/>
          <w:kern w:val="0"/>
          <w:szCs w:val="32"/>
        </w:rPr>
        <w:t>完善安全生产体制机制，压实安全生产责任，牢牢守住不发生重特大安全事故的底线。加快高危行业安全生产智能化改造，深入推进安全技能提升行动，有效提升本质安全水平。加强危化行业标准化建设，规范所有危化（储存）和一般化工企业规章制度，推进行业安全管理向精细化、长效化迈进。</w:t>
      </w:r>
      <w:r>
        <w:rPr>
          <w:rFonts w:hint="eastAsia" w:ascii="仿宋_GB2312" w:hAnsi="仿宋_GB2312" w:cs="仿宋_GB2312"/>
          <w:szCs w:val="32"/>
        </w:rPr>
        <w:t>深入推进安全技能提升行动，提升全民安全素质，培育全社会安全文化，推动公共安全治理模式向事前预防转型。</w:t>
      </w:r>
    </w:p>
    <w:p w14:paraId="3121118A">
      <w:pPr>
        <w:overflowPunct w:val="0"/>
        <w:spacing w:line="622" w:lineRule="exact"/>
        <w:ind w:firstLine="643"/>
        <w:rPr>
          <w:rFonts w:hint="eastAsia" w:ascii="仿宋_GB2312" w:hAnsi="仿宋_GB2312" w:cs="仿宋_GB2312"/>
          <w:kern w:val="0"/>
          <w:szCs w:val="32"/>
        </w:rPr>
      </w:pPr>
      <w:r>
        <w:rPr>
          <w:rFonts w:hint="eastAsia" w:ascii="仿宋_GB2312" w:hAnsi="仿宋_GB2312" w:cs="仿宋_GB2312"/>
          <w:b/>
          <w:bCs/>
          <w:szCs w:val="32"/>
        </w:rPr>
        <w:t>强化安全智慧监管水平。</w:t>
      </w:r>
      <w:r>
        <w:rPr>
          <w:rFonts w:hint="eastAsia" w:ascii="仿宋_GB2312" w:hAnsi="仿宋_GB2312" w:cs="仿宋_GB2312"/>
          <w:kern w:val="0"/>
          <w:szCs w:val="32"/>
        </w:rPr>
        <w:t>推广使用“企业应急”APP，引导和督促企业常态化开展隐患自查、自报、自改，打通隐患“查”与“治”闭环管理。加快视频智能分析系统部署应用，提升风险识别与行为监管的智能化水平，在二级加油站及重点路段加油站同步完成可燃气体监测报警系统建设与升级，夯实易燃易爆环境安全防护基础。加快实施应急指挥中心（二期）项目，推动应急指挥云平台功能升级扩容，建设集监测预警、信息共享、指挥调度、辅助决策等功能于一体的应急管理综合应用云平台，实现“一云统揽、一图感知、一体调度”。</w:t>
      </w:r>
    </w:p>
    <w:p w14:paraId="5CAA9D85">
      <w:pPr>
        <w:overflowPunct w:val="0"/>
        <w:spacing w:line="622" w:lineRule="exact"/>
        <w:ind w:firstLine="643"/>
        <w:rPr>
          <w:rFonts w:hint="eastAsia" w:ascii="仿宋_GB2312" w:hAnsi="仿宋_GB2312" w:cs="仿宋_GB2312"/>
          <w:spacing w:val="6"/>
          <w:szCs w:val="32"/>
        </w:rPr>
      </w:pPr>
      <w:r>
        <w:rPr>
          <w:rFonts w:hint="eastAsia" w:ascii="仿宋_GB2312" w:hAnsi="仿宋_GB2312" w:cs="仿宋_GB2312"/>
          <w:b/>
          <w:bCs/>
          <w:szCs w:val="32"/>
        </w:rPr>
        <w:t>全</w:t>
      </w:r>
      <w:r>
        <w:rPr>
          <w:rFonts w:hint="eastAsia" w:ascii="仿宋_GB2312" w:hAnsi="仿宋_GB2312" w:cs="仿宋_GB2312"/>
          <w:b/>
          <w:bCs/>
          <w:spacing w:val="6"/>
          <w:szCs w:val="32"/>
        </w:rPr>
        <w:t>面提升基层应急保障能力。</w:t>
      </w:r>
      <w:r>
        <w:rPr>
          <w:rFonts w:hint="eastAsia" w:ascii="仿宋_GB2312" w:hAnsi="仿宋_GB2312" w:cs="仿宋_GB2312"/>
          <w:spacing w:val="6"/>
          <w:szCs w:val="32"/>
        </w:rPr>
        <w:t>按照“专常兼备、平战结合”原则，配齐配强现代化救援防护装备，重点加强地震救援、抗洪抢险、森林灭火等专业救援分队建设，着力打造专业化应急救援力量体系。完善灾害监测预警、应急响应、救灾物资储备调拨等机制，</w:t>
      </w:r>
      <w:r>
        <w:rPr>
          <w:rFonts w:hint="eastAsia" w:ascii="仿宋_GB2312" w:hAnsi="仿宋_GB2312" w:cs="仿宋_GB2312"/>
          <w:spacing w:val="6"/>
          <w:kern w:val="0"/>
          <w:szCs w:val="32"/>
        </w:rPr>
        <w:t>加快视频智能分析与监测预警系统部署</w:t>
      </w:r>
      <w:r>
        <w:rPr>
          <w:rFonts w:hint="eastAsia" w:ascii="仿宋_GB2312" w:hAnsi="仿宋_GB2312" w:cs="仿宋_GB2312"/>
          <w:spacing w:val="6"/>
          <w:szCs w:val="32"/>
        </w:rPr>
        <w:t>，构建集监测预警、信息共享、指挥调度、辅助决策于一体的应急管理综合体系。全面提升洪涝干旱、森林火灾等自然灾害综合防范能力，强化气象、水文、地质灾害监测预报预警，提升应对极端天气能力。加快应急避难场所建设，以乡镇、行政村为重点，以应对洪水、地震等灾害为目标，构建城乡布局合理、资源统筹共享、功能设施齐备、平急（疫/战）综合利用、管理运维规范的全县应急避难场所体系。</w:t>
      </w:r>
    </w:p>
    <w:p w14:paraId="2E28019A">
      <w:pPr>
        <w:overflowPunct w:val="0"/>
        <w:spacing w:line="622" w:lineRule="exact"/>
        <w:ind w:firstLine="640"/>
        <w:rPr>
          <w:rFonts w:hint="eastAsia" w:ascii="黑体" w:hAnsi="黑体" w:eastAsia="黑体" w:cs="黑体"/>
          <w:bCs/>
          <w:sz w:val="28"/>
          <w:szCs w:val="28"/>
        </w:rPr>
      </w:pPr>
      <w:r>
        <w:rPr>
          <w:rFonts w:hint="eastAsia" w:ascii="仿宋_GB2312" w:hAnsi="仿宋_GB2312" w:cs="仿宋_GB2312"/>
          <w:szCs w:val="32"/>
        </w:rPr>
        <w:t>到“十五五”末，建成1处县级综合性长期应急避难场所，建成12处乡（镇）级综合性应急避难场所和224处村（社区）级应急避难场所。</w:t>
      </w:r>
    </w:p>
    <w:p w14:paraId="4FD23CFF">
      <w:pPr>
        <w:overflowPunct w:val="0"/>
        <w:spacing w:after="156" w:afterLines="50" w:line="622" w:lineRule="exact"/>
        <w:ind w:firstLine="0" w:firstLineChars="0"/>
        <w:jc w:val="center"/>
        <w:rPr>
          <w:rFonts w:hint="eastAsia" w:ascii="黑体" w:hAnsi="黑体" w:eastAsia="黑体" w:cs="黑体"/>
          <w:bCs/>
          <w:sz w:val="30"/>
          <w:szCs w:val="30"/>
        </w:rPr>
      </w:pPr>
      <w:r>
        <w:rPr>
          <w:rFonts w:hint="eastAsia" w:ascii="黑体" w:hAnsi="黑体" w:eastAsia="黑体" w:cs="黑体"/>
          <w:bCs/>
          <w:sz w:val="30"/>
          <w:szCs w:val="30"/>
        </w:rPr>
        <w:t>专栏28</w:t>
      </w:r>
      <w:r>
        <w:rPr>
          <w:rFonts w:hint="eastAsia" w:ascii="黑体" w:hAnsi="黑体" w:eastAsia="黑体" w:cs="黑体"/>
          <w:bCs/>
          <w:sz w:val="30"/>
          <w:szCs w:val="30"/>
          <w:lang w:val="en-US" w:eastAsia="zh-CN"/>
        </w:rPr>
        <w:t xml:space="preserve">  </w:t>
      </w:r>
      <w:r>
        <w:rPr>
          <w:rFonts w:hint="eastAsia" w:ascii="黑体" w:hAnsi="黑体" w:eastAsia="黑体" w:cs="黑体"/>
          <w:bCs/>
          <w:sz w:val="30"/>
          <w:szCs w:val="30"/>
        </w:rPr>
        <w:t>应急体系建设重点项目</w:t>
      </w:r>
    </w:p>
    <w:tbl>
      <w:tblPr>
        <w:tblStyle w:val="21"/>
        <w:tblW w:w="89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957"/>
      </w:tblGrid>
      <w:tr w14:paraId="391F6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95" w:hRule="atLeast"/>
          <w:jc w:val="center"/>
        </w:trPr>
        <w:tc>
          <w:tcPr>
            <w:tcW w:w="5000" w:type="pct"/>
            <w:tcBorders>
              <w:tl2br w:val="nil"/>
              <w:tr2bl w:val="nil"/>
            </w:tcBorders>
            <w:vAlign w:val="center"/>
          </w:tcPr>
          <w:p w14:paraId="4F7AEA7D">
            <w:pPr>
              <w:overflowPunct w:val="0"/>
              <w:spacing w:line="36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应急指挥中心二期建设项目：</w:t>
            </w:r>
            <w:r>
              <w:rPr>
                <w:rFonts w:hint="eastAsia" w:asciiTheme="majorEastAsia" w:hAnsiTheme="majorEastAsia" w:eastAsiaTheme="majorEastAsia" w:cstheme="majorEastAsia"/>
                <w:sz w:val="20"/>
                <w:szCs w:val="20"/>
              </w:rPr>
              <w:t>完善应急处置现场类保障能力，接入自然灾害类县安委会成员单位现有系统，接入城市安全类市政服务部门现有系统，建设应急管理综合应用云平台、安全生产类监测预警感知平台、应急指挥调度等业务系统。</w:t>
            </w:r>
          </w:p>
          <w:p w14:paraId="39828DCF">
            <w:pPr>
              <w:overflowPunct w:val="0"/>
              <w:spacing w:line="36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空中应急救援基础设施建设项目：</w:t>
            </w:r>
            <w:r>
              <w:rPr>
                <w:rFonts w:hint="eastAsia" w:asciiTheme="majorEastAsia" w:hAnsiTheme="majorEastAsia" w:eastAsiaTheme="majorEastAsia" w:cstheme="majorEastAsia"/>
                <w:sz w:val="20"/>
                <w:szCs w:val="20"/>
              </w:rPr>
              <w:t>顺应旅游资源和低空经济快速发展的趋势，按照“平时观光旅游商用，灾时应急救援保障”的原则，完善应急处置空中救援和物资保障快速反应能力，建设6处直升机标准化停机坪及其相关配套设施。</w:t>
            </w:r>
          </w:p>
          <w:p w14:paraId="60871437">
            <w:pPr>
              <w:overflowPunct w:val="0"/>
              <w:spacing w:line="36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应急避难场所建设项目：</w:t>
            </w:r>
            <w:r>
              <w:rPr>
                <w:rFonts w:hint="eastAsia" w:asciiTheme="majorEastAsia" w:hAnsiTheme="majorEastAsia" w:eastAsiaTheme="majorEastAsia" w:cstheme="majorEastAsia"/>
                <w:sz w:val="20"/>
                <w:szCs w:val="20"/>
              </w:rPr>
              <w:t>建成1处县级综合性长期应急避难场所，</w:t>
            </w:r>
            <w:r>
              <w:rPr>
                <w:rFonts w:hint="eastAsia" w:asciiTheme="majorEastAsia" w:hAnsiTheme="majorEastAsia" w:eastAsiaTheme="majorEastAsia" w:cstheme="majorEastAsia"/>
                <w:sz w:val="20"/>
                <w:szCs w:val="20"/>
                <w:lang w:val="en-US" w:eastAsia="zh-CN"/>
              </w:rPr>
              <w:t>27</w:t>
            </w:r>
            <w:r>
              <w:rPr>
                <w:rFonts w:hint="eastAsia" w:asciiTheme="majorEastAsia" w:hAnsiTheme="majorEastAsia" w:eastAsiaTheme="majorEastAsia" w:cstheme="majorEastAsia"/>
                <w:sz w:val="20"/>
                <w:szCs w:val="20"/>
              </w:rPr>
              <w:t>处乡（镇）级综合性应急避难场所，22</w:t>
            </w:r>
            <w:r>
              <w:rPr>
                <w:rFonts w:hint="eastAsia" w:asciiTheme="majorEastAsia" w:hAnsiTheme="majorEastAsia" w:eastAsiaTheme="majorEastAsia" w:cstheme="majorEastAsia"/>
                <w:sz w:val="20"/>
                <w:szCs w:val="20"/>
                <w:lang w:val="en-US" w:eastAsia="zh-CN"/>
              </w:rPr>
              <w:t>7</w:t>
            </w:r>
            <w:r>
              <w:rPr>
                <w:rFonts w:hint="eastAsia" w:asciiTheme="majorEastAsia" w:hAnsiTheme="majorEastAsia" w:eastAsiaTheme="majorEastAsia" w:cstheme="majorEastAsia"/>
                <w:sz w:val="20"/>
                <w:szCs w:val="20"/>
              </w:rPr>
              <w:t>处村（社区）级应急避难场所，构建城乡布局合理、资源统筹共享、功能设施完备、平急（疫/战）综合利用、管理运维规范的全县应急避难场所体系，实现应急避难场所全覆盖，满足城乡人口避难需求，进一步提升基层应急能力。</w:t>
            </w:r>
          </w:p>
        </w:tc>
      </w:tr>
    </w:tbl>
    <w:p w14:paraId="0614B64E">
      <w:pPr>
        <w:overflowPunct w:val="0"/>
        <w:spacing w:line="622" w:lineRule="exact"/>
        <w:ind w:firstLine="640"/>
        <w:rPr>
          <w:rFonts w:ascii="Times New Roman" w:hAnsi="Times New Roman" w:eastAsia="楷体_GB2312" w:cs="Times New Roman"/>
        </w:rPr>
      </w:pPr>
      <w:bookmarkStart w:id="143" w:name="_Toc21280"/>
    </w:p>
    <w:p w14:paraId="63A28974">
      <w:pPr>
        <w:overflowPunct w:val="0"/>
        <w:spacing w:line="622" w:lineRule="exact"/>
        <w:ind w:firstLine="0" w:firstLineChars="0"/>
        <w:jc w:val="center"/>
        <w:outlineLvl w:val="1"/>
        <w:rPr>
          <w:rFonts w:ascii="Times New Roman" w:hAnsi="Times New Roman" w:eastAsia="楷体_GB2312" w:cs="Times New Roman"/>
        </w:rPr>
      </w:pPr>
      <w:bookmarkStart w:id="144" w:name="_Toc23283"/>
      <w:r>
        <w:rPr>
          <w:rFonts w:ascii="Times New Roman" w:hAnsi="Times New Roman" w:eastAsia="楷体_GB2312" w:cs="Times New Roman"/>
        </w:rPr>
        <w:t>第三节</w:t>
      </w:r>
      <w:r>
        <w:rPr>
          <w:rFonts w:hint="eastAsia" w:ascii="Times New Roman" w:hAnsi="Times New Roman" w:cs="Times New Roman"/>
        </w:rPr>
        <w:t xml:space="preserve"> </w:t>
      </w:r>
      <w:r>
        <w:rPr>
          <w:rFonts w:ascii="Times New Roman" w:hAnsi="Times New Roman" w:eastAsia="楷体_GB2312" w:cs="Times New Roman"/>
        </w:rPr>
        <w:t xml:space="preserve"> 推进社会治安防控体系现代化</w:t>
      </w:r>
      <w:bookmarkEnd w:id="143"/>
      <w:bookmarkEnd w:id="144"/>
    </w:p>
    <w:p w14:paraId="6D800D0A">
      <w:pPr>
        <w:overflowPunct w:val="0"/>
        <w:spacing w:line="622" w:lineRule="exact"/>
        <w:ind w:firstLine="640"/>
        <w:rPr>
          <w:rFonts w:ascii="Times New Roman" w:hAnsi="Times New Roman" w:cs="Times New Roman"/>
          <w:szCs w:val="32"/>
        </w:rPr>
      </w:pPr>
    </w:p>
    <w:p w14:paraId="64813A08">
      <w:pPr>
        <w:overflowPunct w:val="0"/>
        <w:spacing w:line="622" w:lineRule="exact"/>
        <w:ind w:firstLine="640"/>
        <w:rPr>
          <w:rFonts w:hint="eastAsia" w:ascii="仿宋_GB2312" w:hAnsi="仿宋_GB2312" w:cs="仿宋_GB2312"/>
          <w:szCs w:val="32"/>
        </w:rPr>
      </w:pPr>
      <w:r>
        <w:rPr>
          <w:rFonts w:hint="eastAsia" w:ascii="仿宋_GB2312" w:hAnsi="仿宋_GB2312" w:cs="仿宋_GB2312"/>
          <w:szCs w:val="32"/>
        </w:rPr>
        <w:t>坚持以问题为导向，以体制机制创新为动力，以信息化为引领，着力构建多维一体、联动融合的立体化社会治安防控体系，筑牢社会稳定坚实防线。</w:t>
      </w:r>
    </w:p>
    <w:p w14:paraId="4C9C396B">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打造立体化信息化社会治安防控体系。</w:t>
      </w:r>
      <w:r>
        <w:rPr>
          <w:rFonts w:hint="eastAsia" w:ascii="仿宋_GB2312" w:hAnsi="仿宋_GB2312" w:cs="仿宋_GB2312"/>
          <w:szCs w:val="32"/>
        </w:rPr>
        <w:t>优化升级“侦查中心、合成作战中心、情报导侦联勤”三中心功能，深度融合大数据、人工智能、DNA、痕检、电子物证等应用，建设新一代智慧刑侦技术平台，构建更加精准的智慧侦查打击体系。开展“雪亮三期”与“交通防控体系智慧化二期”建设，重点打造AI视频智能分析能力，通过多算法融合赋能行为识别、异常事件监测与多目标追踪，强化对各类犯罪的预警、研判与打击效能。加强信息化社会治安防控网，在城乡接合部、案件高发区、主要交通路口等关键部位增补高精度智能前端，布设边缘计算节点，实现对重点区域的实时动态预警。</w:t>
      </w:r>
    </w:p>
    <w:p w14:paraId="2053A905">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坚决防范化解重点领域风险。</w:t>
      </w:r>
      <w:r>
        <w:rPr>
          <w:rFonts w:hint="eastAsia" w:ascii="仿宋_GB2312" w:hAnsi="仿宋_GB2312" w:cs="仿宋_GB2312"/>
          <w:szCs w:val="32"/>
        </w:rPr>
        <w:t>坚定维护政治安全、公共安全、意识形态安全，健全常态化风险防范化解机制。统筹传统安全和非传统安全，加强网络、数据、人工智能、生物、生态、低空等新兴领域安全能力建设，强化食品药品安全全链条监管，持续完善安全保障体系。巩固化解房地产、地方中小型金融机构和地方政府债务风险成果，加快建立租购并举的住房制度，积极构建房地产发展新模式。全面推进地方金融组织规范整治，加快清退存量不合规机构，实现地方金融组织“减量增效”，进一步加大存量隐性债务化解力度，坚决守住不发生系统性风险的底线。</w:t>
      </w:r>
    </w:p>
    <w:p w14:paraId="4487F4EA">
      <w:pPr>
        <w:overflowPunct w:val="0"/>
        <w:spacing w:line="622" w:lineRule="exact"/>
        <w:ind w:firstLine="643"/>
        <w:rPr>
          <w:rFonts w:hint="eastAsia" w:ascii="仿宋_GB2312" w:hAnsi="仿宋_GB2312" w:cs="仿宋_GB2312"/>
          <w:szCs w:val="32"/>
        </w:rPr>
      </w:pPr>
      <w:r>
        <w:rPr>
          <w:rFonts w:hint="eastAsia" w:ascii="仿宋_GB2312" w:hAnsi="仿宋_GB2312" w:cs="仿宋_GB2312"/>
          <w:b/>
          <w:bCs/>
          <w:szCs w:val="32"/>
        </w:rPr>
        <w:t>持续深化平安沁水建设。</w:t>
      </w:r>
      <w:r>
        <w:rPr>
          <w:rFonts w:hint="eastAsia" w:ascii="仿宋_GB2312" w:hAnsi="仿宋_GB2312" w:cs="仿宋_GB2312"/>
          <w:szCs w:val="32"/>
        </w:rPr>
        <w:t>全面强化社会治安整体防控，持续深化以“扫黑恶、治电诈、打盗窃、禁毒品、护民生”为重点的专项行动，推动扫黑除恶斗争常态化开展。依法严惩涉黑涉恶、危害公共安全、电信网络诈骗、黄赌毒、盗抢骗、食药环等群众反映强烈的违法犯罪活动，对重大恶性犯罪，依法严管严查严办、快侦快诉快判。深入开展隐患排查整治，扎实推进出租屋、城中村、城乡接合部、工矿区等重点区域集中排查，严格管控民爆物品、危化品、非法枪支等重点物品，切实加强重点人群服务管理。进一步完善道路交通安全综合治理体系，全面提升管理质效，切实守护人民群众生命财产安全。统筹推进多领域、多层次的平安建设，广泛组织和动员社会力量，不断提升社会风险防控能力，全力维护政治安全、社会安定、人民安宁、网络清朗。</w:t>
      </w:r>
    </w:p>
    <w:p w14:paraId="2ECB9584">
      <w:pPr>
        <w:overflowPunct w:val="0"/>
        <w:spacing w:after="156" w:afterLines="50" w:line="622" w:lineRule="exact"/>
        <w:ind w:firstLine="0" w:firstLineChars="0"/>
        <w:jc w:val="center"/>
        <w:rPr>
          <w:rFonts w:hint="eastAsia" w:ascii="黑体" w:hAnsi="黑体" w:eastAsia="黑体" w:cs="黑体"/>
          <w:bCs/>
          <w:sz w:val="30"/>
          <w:szCs w:val="30"/>
        </w:rPr>
      </w:pPr>
      <w:r>
        <w:rPr>
          <w:rFonts w:hint="eastAsia" w:ascii="黑体" w:hAnsi="黑体" w:eastAsia="黑体" w:cs="黑体"/>
          <w:bCs/>
          <w:sz w:val="30"/>
          <w:szCs w:val="30"/>
        </w:rPr>
        <w:t>专栏29</w:t>
      </w:r>
      <w:r>
        <w:rPr>
          <w:rFonts w:hint="eastAsia" w:ascii="黑体" w:hAnsi="黑体" w:eastAsia="黑体" w:cs="黑体"/>
          <w:bCs/>
          <w:sz w:val="30"/>
          <w:szCs w:val="30"/>
          <w:lang w:val="en-US" w:eastAsia="zh-CN"/>
        </w:rPr>
        <w:t xml:space="preserve">  </w:t>
      </w:r>
      <w:r>
        <w:rPr>
          <w:rFonts w:hint="eastAsia" w:ascii="黑体" w:hAnsi="黑体" w:eastAsia="黑体" w:cs="黑体"/>
          <w:bCs/>
          <w:sz w:val="30"/>
          <w:szCs w:val="30"/>
        </w:rPr>
        <w:t>公共安全领域重点项目</w:t>
      </w:r>
    </w:p>
    <w:tbl>
      <w:tblPr>
        <w:tblStyle w:val="21"/>
        <w:tblW w:w="906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9060"/>
      </w:tblGrid>
      <w:tr w14:paraId="47AAF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060" w:type="dxa"/>
            <w:tcBorders>
              <w:tl2br w:val="nil"/>
              <w:tr2bl w:val="nil"/>
            </w:tcBorders>
            <w:vAlign w:val="center"/>
          </w:tcPr>
          <w:p w14:paraId="5333C0FE">
            <w:pPr>
              <w:overflowPunct w:val="0"/>
              <w:snapToGrid w:val="0"/>
              <w:spacing w:line="44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sz w:val="20"/>
                <w:szCs w:val="20"/>
              </w:rPr>
              <w:t>极端条件应急通信保障强化项目：</w:t>
            </w:r>
            <w:r>
              <w:rPr>
                <w:rFonts w:hint="eastAsia" w:asciiTheme="majorEastAsia" w:hAnsiTheme="majorEastAsia" w:eastAsiaTheme="majorEastAsia" w:cstheme="majorEastAsia"/>
                <w:sz w:val="20"/>
                <w:szCs w:val="20"/>
              </w:rPr>
              <w:t>购置一批高机动性、适应复杂环境的应急通信装备，推动跨运营商应急漫游、无人机空中通信等前沿技术在县域应急场景中的应用落地，实现信号在断路、断电、断网等极端状况下的稳定传输，确保在山区、洪涝灾害、火灾频发区等特殊地形与极端条件下，能迅速搭建临时通信网络。</w:t>
            </w:r>
          </w:p>
          <w:p w14:paraId="037FBA87">
            <w:pPr>
              <w:overflowPunct w:val="0"/>
              <w:snapToGrid w:val="0"/>
              <w:spacing w:line="440" w:lineRule="exact"/>
              <w:ind w:firstLine="402"/>
              <w:rPr>
                <w:rFonts w:hint="eastAsia" w:asciiTheme="majorEastAsia" w:hAnsiTheme="majorEastAsia" w:eastAsiaTheme="majorEastAsia" w:cstheme="majorEastAsia"/>
                <w:kern w:val="0"/>
                <w:sz w:val="20"/>
                <w:szCs w:val="20"/>
              </w:rPr>
            </w:pPr>
            <w:r>
              <w:rPr>
                <w:rFonts w:hint="eastAsia" w:asciiTheme="majorEastAsia" w:hAnsiTheme="majorEastAsia" w:eastAsiaTheme="majorEastAsia" w:cstheme="majorEastAsia"/>
                <w:b/>
                <w:bCs/>
                <w:kern w:val="0"/>
                <w:sz w:val="20"/>
                <w:szCs w:val="20"/>
              </w:rPr>
              <w:t>“雪</w:t>
            </w:r>
            <w:r>
              <w:rPr>
                <w:rFonts w:hint="eastAsia" w:asciiTheme="majorEastAsia" w:hAnsiTheme="majorEastAsia" w:eastAsiaTheme="majorEastAsia" w:cstheme="majorEastAsia"/>
                <w:b/>
                <w:bCs/>
                <w:spacing w:val="6"/>
                <w:kern w:val="0"/>
                <w:sz w:val="20"/>
                <w:szCs w:val="20"/>
              </w:rPr>
              <w:t>亮工程”三期项目</w:t>
            </w:r>
            <w:r>
              <w:rPr>
                <w:rFonts w:hint="eastAsia" w:asciiTheme="majorEastAsia" w:hAnsiTheme="majorEastAsia" w:eastAsiaTheme="majorEastAsia" w:cstheme="majorEastAsia"/>
                <w:b/>
                <w:bCs/>
                <w:spacing w:val="6"/>
                <w:sz w:val="20"/>
                <w:szCs w:val="20"/>
              </w:rPr>
              <w:t>：</w:t>
            </w:r>
            <w:r>
              <w:rPr>
                <w:rFonts w:hint="eastAsia" w:asciiTheme="majorEastAsia" w:hAnsiTheme="majorEastAsia" w:eastAsiaTheme="majorEastAsia" w:cstheme="majorEastAsia"/>
                <w:spacing w:val="6"/>
                <w:kern w:val="0"/>
                <w:sz w:val="20"/>
                <w:szCs w:val="20"/>
              </w:rPr>
              <w:t>新增结构化高清监控摄像头1000个，大力提升平台多算法融合，强化边缘计算节点。建设视频数据AI深度挖掘应用，实现全县域重点部位监控全覆盖，重点区域实时预警。</w:t>
            </w:r>
          </w:p>
          <w:p w14:paraId="56236FE2">
            <w:pPr>
              <w:overflowPunct w:val="0"/>
              <w:snapToGrid w:val="0"/>
              <w:spacing w:line="440" w:lineRule="exact"/>
              <w:ind w:firstLine="402"/>
              <w:rPr>
                <w:rFonts w:hint="eastAsia" w:asciiTheme="majorEastAsia" w:hAnsiTheme="majorEastAsia" w:eastAsiaTheme="majorEastAsia" w:cstheme="majorEastAsia"/>
                <w:kern w:val="0"/>
                <w:sz w:val="20"/>
                <w:szCs w:val="20"/>
              </w:rPr>
            </w:pPr>
            <w:r>
              <w:rPr>
                <w:rFonts w:hint="eastAsia" w:asciiTheme="majorEastAsia" w:hAnsiTheme="majorEastAsia" w:eastAsiaTheme="majorEastAsia" w:cstheme="majorEastAsia"/>
                <w:b/>
                <w:bCs/>
                <w:kern w:val="0"/>
                <w:sz w:val="20"/>
                <w:szCs w:val="20"/>
              </w:rPr>
              <w:t>公安数据汇总及安全防护项目</w:t>
            </w:r>
            <w:r>
              <w:rPr>
                <w:rFonts w:hint="eastAsia" w:asciiTheme="majorEastAsia" w:hAnsiTheme="majorEastAsia" w:eastAsiaTheme="majorEastAsia" w:cstheme="majorEastAsia"/>
                <w:b/>
                <w:bCs/>
                <w:sz w:val="20"/>
                <w:szCs w:val="20"/>
              </w:rPr>
              <w:t>：</w:t>
            </w:r>
            <w:r>
              <w:rPr>
                <w:rFonts w:hint="eastAsia" w:asciiTheme="majorEastAsia" w:hAnsiTheme="majorEastAsia" w:eastAsiaTheme="majorEastAsia" w:cstheme="majorEastAsia"/>
                <w:kern w:val="0"/>
                <w:sz w:val="20"/>
                <w:szCs w:val="20"/>
              </w:rPr>
              <w:t>搭建统一的数据汇总平台，打破各警种、各部门之间的数据壁垒，实现全县公安业务数据的集中汇聚与高效共享。构建“监测+防护+响应+治理”一体化的数据安全运营体系，为情报研判、指挥决策提供全面、准确的数据支撑。</w:t>
            </w:r>
          </w:p>
          <w:p w14:paraId="28881CB3">
            <w:pPr>
              <w:overflowPunct w:val="0"/>
              <w:snapToGrid w:val="0"/>
              <w:spacing w:line="440" w:lineRule="exact"/>
              <w:ind w:firstLine="402"/>
              <w:rPr>
                <w:rFonts w:hint="eastAsia" w:asciiTheme="majorEastAsia" w:hAnsiTheme="majorEastAsia" w:eastAsiaTheme="majorEastAsia" w:cstheme="majorEastAsia"/>
                <w:kern w:val="0"/>
                <w:sz w:val="20"/>
                <w:szCs w:val="20"/>
              </w:rPr>
            </w:pPr>
            <w:r>
              <w:rPr>
                <w:rFonts w:hint="eastAsia" w:asciiTheme="majorEastAsia" w:hAnsiTheme="majorEastAsia" w:eastAsiaTheme="majorEastAsia" w:cstheme="majorEastAsia"/>
                <w:b/>
                <w:bCs/>
                <w:kern w:val="0"/>
                <w:sz w:val="20"/>
                <w:szCs w:val="20"/>
              </w:rPr>
              <w:t>县公安局交巡警和土沃派出所、郑庄派出所融合业务技术用房项目</w:t>
            </w:r>
            <w:r>
              <w:rPr>
                <w:rFonts w:hint="eastAsia" w:asciiTheme="majorEastAsia" w:hAnsiTheme="majorEastAsia" w:eastAsiaTheme="majorEastAsia" w:cstheme="majorEastAsia"/>
                <w:b/>
                <w:bCs/>
                <w:sz w:val="20"/>
                <w:szCs w:val="20"/>
              </w:rPr>
              <w:t>：</w:t>
            </w:r>
            <w:r>
              <w:rPr>
                <w:rFonts w:hint="eastAsia" w:asciiTheme="majorEastAsia" w:hAnsiTheme="majorEastAsia" w:eastAsiaTheme="majorEastAsia" w:cstheme="majorEastAsia"/>
                <w:kern w:val="0"/>
                <w:sz w:val="20"/>
                <w:szCs w:val="20"/>
              </w:rPr>
              <w:t>加强窗口用房、办案用房、业务保障用房、后勤保障用房、设备用房、附属用房等工程的土建、室内外装饰、安装工程和室外配套工程等，推进交警、巡警与派出所警务力量合署办公，构建一体化联勤联动机制。</w:t>
            </w:r>
          </w:p>
          <w:p w14:paraId="08C1D293">
            <w:pPr>
              <w:overflowPunct w:val="0"/>
              <w:snapToGrid w:val="0"/>
              <w:spacing w:line="440" w:lineRule="exact"/>
              <w:ind w:firstLine="402"/>
              <w:rPr>
                <w:rFonts w:hint="eastAsia" w:asciiTheme="majorEastAsia" w:hAnsiTheme="majorEastAsia" w:eastAsiaTheme="majorEastAsia" w:cstheme="majorEastAsia"/>
                <w:kern w:val="0"/>
                <w:sz w:val="20"/>
                <w:szCs w:val="20"/>
              </w:rPr>
            </w:pPr>
            <w:r>
              <w:rPr>
                <w:rFonts w:hint="eastAsia" w:asciiTheme="majorEastAsia" w:hAnsiTheme="majorEastAsia" w:eastAsiaTheme="majorEastAsia" w:cstheme="majorEastAsia"/>
                <w:b/>
                <w:bCs/>
                <w:kern w:val="0"/>
                <w:sz w:val="20"/>
                <w:szCs w:val="20"/>
              </w:rPr>
              <w:t>县公安局基层派出所提质改造工程。</w:t>
            </w:r>
            <w:r>
              <w:rPr>
                <w:rFonts w:hint="eastAsia" w:asciiTheme="majorEastAsia" w:hAnsiTheme="majorEastAsia" w:eastAsiaTheme="majorEastAsia" w:cstheme="majorEastAsia"/>
                <w:kern w:val="0"/>
                <w:sz w:val="20"/>
                <w:szCs w:val="20"/>
              </w:rPr>
              <w:t>升级改造基层派出所业务保障用房、附属用房、室外管线等配套设施和警用设施等，打造便民高效的现代化警务阵地。</w:t>
            </w:r>
          </w:p>
          <w:p w14:paraId="0EB81930">
            <w:pPr>
              <w:overflowPunct w:val="0"/>
              <w:snapToGrid w:val="0"/>
              <w:spacing w:line="440" w:lineRule="exact"/>
              <w:ind w:firstLine="402"/>
              <w:rPr>
                <w:rFonts w:hint="eastAsia" w:asciiTheme="majorEastAsia" w:hAnsiTheme="majorEastAsia" w:eastAsiaTheme="majorEastAsia" w:cstheme="majorEastAsia"/>
                <w:sz w:val="20"/>
                <w:szCs w:val="20"/>
              </w:rPr>
            </w:pPr>
            <w:r>
              <w:rPr>
                <w:rFonts w:hint="eastAsia" w:asciiTheme="majorEastAsia" w:hAnsiTheme="majorEastAsia" w:eastAsiaTheme="majorEastAsia" w:cstheme="majorEastAsia"/>
                <w:b/>
                <w:bCs/>
                <w:kern w:val="0"/>
                <w:sz w:val="20"/>
                <w:szCs w:val="20"/>
              </w:rPr>
              <w:t>交通安全防控体系智慧化升级改造（二期）。</w:t>
            </w:r>
            <w:r>
              <w:rPr>
                <w:rFonts w:hint="eastAsia" w:asciiTheme="majorEastAsia" w:hAnsiTheme="majorEastAsia" w:eastAsiaTheme="majorEastAsia" w:cstheme="majorEastAsia"/>
                <w:kern w:val="0"/>
                <w:sz w:val="20"/>
                <w:szCs w:val="20"/>
              </w:rPr>
              <w:t>智能交通管理运维管理平台升级；车辆二次分析应用；人工智能大数据平台建设；车载视频取证设备；新建智能交通卡口；安装反向卡口；新增无人机机巢和农村交通安全劝导机器人；老旧雷达测速设备更新改造；建设全景监控设备；增加相应的后台服务器及交换设备；公安交通集成指挥平台升级改造。全力提升交通管理智慧化水平，优化通行环境。</w:t>
            </w:r>
          </w:p>
        </w:tc>
      </w:tr>
    </w:tbl>
    <w:p w14:paraId="055396E8">
      <w:pPr>
        <w:overflowPunct w:val="0"/>
        <w:spacing w:line="622" w:lineRule="exact"/>
        <w:ind w:firstLine="640"/>
        <w:rPr>
          <w:rFonts w:ascii="Times New Roman" w:hAnsi="Times New Roman" w:cs="Times New Roman"/>
        </w:rPr>
      </w:pPr>
      <w:r>
        <w:rPr>
          <w:rFonts w:hint="eastAsia" w:ascii="Times New Roman" w:hAnsi="Times New Roman" w:cs="Times New Roman"/>
        </w:rPr>
        <w:br w:type="page"/>
      </w:r>
    </w:p>
    <w:p w14:paraId="72D102F1">
      <w:pPr>
        <w:overflowPunct w:val="0"/>
        <w:spacing w:line="594" w:lineRule="exact"/>
        <w:ind w:firstLine="640"/>
        <w:rPr>
          <w:rFonts w:ascii="Times New Roman" w:hAnsi="Times New Roman" w:cs="Times New Roman"/>
        </w:rPr>
      </w:pPr>
      <w:bookmarkStart w:id="145" w:name="_Toc24596"/>
    </w:p>
    <w:p w14:paraId="576ACE63">
      <w:pPr>
        <w:overflowPunct w:val="0"/>
        <w:spacing w:line="594" w:lineRule="exact"/>
        <w:ind w:firstLine="0" w:firstLineChars="0"/>
        <w:jc w:val="center"/>
        <w:outlineLvl w:val="0"/>
        <w:rPr>
          <w:rFonts w:hint="eastAsia" w:ascii="黑体" w:hAnsi="黑体" w:eastAsia="黑体" w:cs="黑体"/>
          <w:szCs w:val="32"/>
        </w:rPr>
      </w:pPr>
      <w:bookmarkStart w:id="146" w:name="_Toc11592"/>
      <w:r>
        <w:rPr>
          <w:rFonts w:hint="eastAsia" w:ascii="黑体" w:hAnsi="黑体" w:eastAsia="黑体" w:cs="黑体"/>
          <w:szCs w:val="32"/>
        </w:rPr>
        <w:t>第十三章</w:t>
      </w:r>
      <w:r>
        <w:rPr>
          <w:rFonts w:hint="eastAsia" w:ascii="黑体" w:hAnsi="黑体" w:eastAsia="黑体" w:cs="黑体"/>
          <w:szCs w:val="32"/>
          <w:lang w:val="en-US" w:eastAsia="zh-CN"/>
        </w:rPr>
        <w:t xml:space="preserve"> </w:t>
      </w:r>
      <w:r>
        <w:rPr>
          <w:rFonts w:hint="eastAsia" w:ascii="黑体" w:hAnsi="黑体" w:eastAsia="黑体" w:cs="黑体"/>
          <w:szCs w:val="32"/>
        </w:rPr>
        <w:t>坚持和加强党的全面领导</w:t>
      </w:r>
      <w:r>
        <w:rPr>
          <w:rFonts w:hint="eastAsia" w:ascii="黑体" w:hAnsi="黑体" w:eastAsia="黑体" w:cs="黑体"/>
          <w:szCs w:val="32"/>
          <w:lang w:val="en-US" w:eastAsia="zh-CN"/>
        </w:rPr>
        <w:t xml:space="preserve"> </w:t>
      </w:r>
      <w:r>
        <w:rPr>
          <w:rFonts w:hint="eastAsia" w:ascii="黑体" w:hAnsi="黑体" w:eastAsia="黑体" w:cs="黑体"/>
          <w:szCs w:val="32"/>
        </w:rPr>
        <w:t>完善规划实施保障</w:t>
      </w:r>
      <w:bookmarkEnd w:id="145"/>
      <w:bookmarkEnd w:id="146"/>
    </w:p>
    <w:p w14:paraId="377C891A">
      <w:pPr>
        <w:overflowPunct w:val="0"/>
        <w:spacing w:line="594" w:lineRule="exact"/>
        <w:ind w:firstLine="640"/>
        <w:rPr>
          <w:rFonts w:ascii="Times New Roman" w:hAnsi="Times New Roman" w:cs="Times New Roman"/>
        </w:rPr>
      </w:pPr>
    </w:p>
    <w:p w14:paraId="3FA47BD1">
      <w:pPr>
        <w:overflowPunct w:val="0"/>
        <w:spacing w:line="594" w:lineRule="exact"/>
        <w:ind w:firstLine="640"/>
        <w:rPr>
          <w:rFonts w:ascii="Times New Roman" w:hAnsi="Times New Roman" w:cs="Times New Roman"/>
          <w:spacing w:val="-6"/>
          <w:szCs w:val="32"/>
        </w:rPr>
      </w:pPr>
      <w:r>
        <w:rPr>
          <w:rFonts w:ascii="Times New Roman" w:hAnsi="Times New Roman" w:cs="Times New Roman"/>
        </w:rPr>
        <w:t>坚</w:t>
      </w:r>
      <w:r>
        <w:rPr>
          <w:rFonts w:ascii="Times New Roman" w:hAnsi="Times New Roman" w:cs="Times New Roman"/>
          <w:spacing w:val="-6"/>
        </w:rPr>
        <w:t>持党的全面领导，发挥党总揽全局、协调各方的领导</w:t>
      </w:r>
      <w:r>
        <w:rPr>
          <w:rFonts w:hint="eastAsia" w:ascii="Times New Roman" w:hAnsi="Times New Roman" w:cs="Times New Roman"/>
          <w:spacing w:val="-6"/>
          <w:lang w:eastAsia="zh-CN"/>
        </w:rPr>
        <w:t>核心</w:t>
      </w:r>
      <w:r>
        <w:rPr>
          <w:rFonts w:ascii="Times New Roman" w:hAnsi="Times New Roman" w:cs="Times New Roman"/>
          <w:spacing w:val="-6"/>
        </w:rPr>
        <w:t>作用，</w:t>
      </w:r>
      <w:r>
        <w:rPr>
          <w:rFonts w:ascii="Times New Roman" w:hAnsi="Times New Roman" w:cs="Times New Roman"/>
          <w:spacing w:val="-6"/>
          <w:szCs w:val="32"/>
        </w:rPr>
        <w:t>广泛凝聚各方力量，形成全县上下协同推进规划实施的强大合力。</w:t>
      </w:r>
    </w:p>
    <w:p w14:paraId="242EE4CF">
      <w:pPr>
        <w:overflowPunct w:val="0"/>
        <w:spacing w:line="594" w:lineRule="exact"/>
        <w:ind w:firstLine="640"/>
        <w:rPr>
          <w:rFonts w:ascii="Times New Roman" w:hAnsi="Times New Roman" w:cs="Times New Roman"/>
        </w:rPr>
      </w:pPr>
      <w:bookmarkStart w:id="147" w:name="_Toc16896"/>
    </w:p>
    <w:p w14:paraId="360C918C">
      <w:pPr>
        <w:overflowPunct w:val="0"/>
        <w:spacing w:line="594" w:lineRule="exact"/>
        <w:ind w:firstLine="0" w:firstLineChars="0"/>
        <w:jc w:val="center"/>
        <w:outlineLvl w:val="1"/>
        <w:rPr>
          <w:rFonts w:hint="eastAsia" w:ascii="楷体_GB2312" w:hAnsi="楷体_GB2312" w:eastAsia="楷体_GB2312" w:cs="楷体_GB2312"/>
        </w:rPr>
      </w:pPr>
      <w:bookmarkStart w:id="148" w:name="_Toc13672"/>
      <w:r>
        <w:rPr>
          <w:rFonts w:hint="eastAsia" w:ascii="楷体_GB2312" w:hAnsi="楷体_GB2312" w:eastAsia="楷体_GB2312" w:cs="楷体_GB2312"/>
        </w:rPr>
        <w:t>第一节  加强党的全面领导</w:t>
      </w:r>
      <w:bookmarkEnd w:id="147"/>
      <w:bookmarkEnd w:id="148"/>
    </w:p>
    <w:p w14:paraId="1B38721E">
      <w:pPr>
        <w:overflowPunct w:val="0"/>
        <w:spacing w:line="594" w:lineRule="exact"/>
        <w:ind w:firstLine="640"/>
        <w:rPr>
          <w:rFonts w:ascii="Times New Roman" w:hAnsi="Times New Roman" w:cs="Times New Roman"/>
          <w:szCs w:val="32"/>
        </w:rPr>
      </w:pPr>
      <w:bookmarkStart w:id="149" w:name="_Toc30795"/>
      <w:bookmarkStart w:id="150" w:name="_Toc23713"/>
    </w:p>
    <w:p w14:paraId="5F7E9C99">
      <w:pPr>
        <w:overflowPunct w:val="0"/>
        <w:spacing w:line="594" w:lineRule="exact"/>
        <w:ind w:firstLine="640"/>
        <w:rPr>
          <w:rFonts w:hint="eastAsia" w:ascii="仿宋_GB2312" w:hAnsi="仿宋_GB2312" w:cs="仿宋_GB2312"/>
          <w:szCs w:val="32"/>
        </w:rPr>
      </w:pPr>
      <w:r>
        <w:rPr>
          <w:rFonts w:hint="eastAsia" w:ascii="仿宋_GB2312" w:hAnsi="仿宋_GB2312" w:cs="仿宋_GB2312"/>
          <w:szCs w:val="32"/>
        </w:rPr>
        <w:t>坚持把党的全面领导贯穿于“十五五”规划实施全过程，以党的政治建设为统领，推动组织提能、服务提优、治理提效、发展提质，不断增强党的政治领导力、思想引领力、群众组织力、社会号召力，为推进中国式现代化沁水实践凝聚磅礴力量。</w:t>
      </w:r>
    </w:p>
    <w:p w14:paraId="174A8029">
      <w:pPr>
        <w:overflowPunct w:val="0"/>
        <w:spacing w:line="594" w:lineRule="exact"/>
        <w:ind w:firstLine="643"/>
        <w:rPr>
          <w:rFonts w:hint="eastAsia" w:ascii="仿宋_GB2312" w:hAnsi="仿宋_GB2312" w:cs="仿宋_GB2312"/>
        </w:rPr>
      </w:pPr>
      <w:r>
        <w:rPr>
          <w:rFonts w:hint="eastAsia" w:ascii="仿宋_GB2312" w:hAnsi="仿宋_GB2312" w:cs="仿宋_GB2312"/>
          <w:b/>
          <w:bCs/>
        </w:rPr>
        <w:t>坚决维护党中央权威和集中统一领导。</w:t>
      </w:r>
      <w:r>
        <w:rPr>
          <w:rFonts w:hint="eastAsia" w:ascii="仿宋_GB2312" w:hAnsi="仿宋_GB2312" w:cs="仿宋_GB2312"/>
        </w:rPr>
        <w:t>深入学习贯彻习近平新时代中国特色社会主义思想，深刻领悟“两个确立”的决定性意义，增强“四个意识”、坚定“四个自信”、做到“两个维护”。全面贯彻落实习近平总书记</w:t>
      </w:r>
      <w:r>
        <w:rPr>
          <w:rFonts w:hint="eastAsia" w:ascii="仿宋_GB2312" w:hAnsi="仿宋_GB2312" w:cs="仿宋_GB2312"/>
          <w:szCs w:val="32"/>
        </w:rPr>
        <w:t>对山西工作的重要讲话重要指示精神</w:t>
      </w:r>
      <w:r>
        <w:rPr>
          <w:rFonts w:hint="eastAsia" w:ascii="仿宋_GB2312" w:hAnsi="仿宋_GB2312" w:cs="仿宋_GB2312"/>
        </w:rPr>
        <w:t>，完善党中央重大决策部署落实机制，推进政治监督具体化精准化常态化，发挥巡察利剑作用，确保党中央决策部署不折不扣落到实处。发扬党内民主，健全和落实民主集中制，严格执行请示报告制度，做到科学决策、民主决策、依法决策。</w:t>
      </w:r>
    </w:p>
    <w:p w14:paraId="202371EC">
      <w:pPr>
        <w:overflowPunct w:val="0"/>
        <w:spacing w:line="594" w:lineRule="exact"/>
        <w:ind w:firstLine="643"/>
        <w:rPr>
          <w:rFonts w:hint="eastAsia" w:ascii="仿宋_GB2312" w:hAnsi="仿宋_GB2312" w:cs="仿宋_GB2312"/>
          <w:szCs w:val="32"/>
        </w:rPr>
      </w:pPr>
      <w:r>
        <w:rPr>
          <w:rFonts w:hint="eastAsia" w:ascii="仿宋_GB2312" w:hAnsi="仿宋_GB2312" w:cs="仿宋_GB2312"/>
          <w:b/>
          <w:bCs/>
          <w:szCs w:val="32"/>
        </w:rPr>
        <w:t>持之</w:t>
      </w:r>
      <w:r>
        <w:rPr>
          <w:rFonts w:hint="eastAsia" w:ascii="仿宋_GB2312" w:hAnsi="仿宋_GB2312" w:cs="仿宋_GB2312"/>
          <w:b/>
          <w:bCs/>
          <w:spacing w:val="-6"/>
          <w:szCs w:val="32"/>
        </w:rPr>
        <w:t>以恒推进全面从严治党。</w:t>
      </w:r>
      <w:r>
        <w:rPr>
          <w:rFonts w:hint="eastAsia" w:ascii="仿宋_GB2312" w:hAnsi="仿宋_GB2312" w:cs="仿宋_GB2312"/>
          <w:spacing w:val="-6"/>
          <w:szCs w:val="32"/>
        </w:rPr>
        <w:t>坚持以党的自我革命引领社会革命，全面落实新时代党的建设总要求。坚持正确用人导向，坚持把政治标准放在首位，树立和践行正确政绩观，用好干事创业重大平台，把更多“狮子型”“老黄牛型”干部选出来、用起来；完善高质量发展考核体系和干部考核评价体系，强化教育培训和实践锻炼，提高干部队伍现代化建设本领。激励干部担当作为，坚持重实干、重担当</w:t>
      </w:r>
      <w:r>
        <w:rPr>
          <w:rFonts w:hint="eastAsia" w:ascii="仿宋_GB2312" w:hAnsi="仿宋_GB2312" w:cs="仿宋_GB2312"/>
          <w:spacing w:val="-6"/>
          <w:szCs w:val="32"/>
          <w:lang w:eastAsia="zh-CN"/>
        </w:rPr>
        <w:t>、</w:t>
      </w:r>
      <w:r>
        <w:rPr>
          <w:rFonts w:hint="eastAsia" w:ascii="仿宋_GB2312" w:hAnsi="仿宋_GB2312" w:cs="仿宋_GB2312"/>
          <w:spacing w:val="-6"/>
          <w:szCs w:val="32"/>
        </w:rPr>
        <w:t>重实绩，坚持严管厚爱结合、激励约束并重，推进干部能上能下常态化；认真落实“三个区分开来”，统筹做好容错纠错、澄清正名、打击诬告陷害等工作，激发干部队伍内生动力和整体活力。持续加强基层党建，统筹推进各领域基层党组织建设，增强党组织政治功能和组织功能，从严从实抓好党员队伍建设，发挥党员先锋模范作用，深化“一领域一主题一品牌”创建，打造坚强战斗堡垒。推进作风建设常态化长效化，锲而不舍落实中央八项规定精神，狠刹各种不正之风；深入开展整治形式主义为基层减负工作，持续为基层赋能增效；全面贯彻落实《党政机关厉行节约反对浪费条例》，扎实推进节约型机关建设，将厉行节约反对浪费要求融入“十五五”规划制定执行和年度工作谋划落实全过程，深入融入经济社会发展各方面。深化清廉沁水建设，聚焦重点领域和“关键少数”，强化审计监督，充分发挥审计在党的自我革命和反腐治乱中的重要作用。加强对权力配置、运行的规范和监督，提升纪巡审联动监督质效；保持反腐败永远在路上的清醒坚定，一体推进不敢腐、不能腐、不想腐，坚决打好反腐败斗争攻坚战、持久战、总体战，营造风清气正的政治生态。</w:t>
      </w:r>
    </w:p>
    <w:p w14:paraId="0AD63A16">
      <w:pPr>
        <w:overflowPunct w:val="0"/>
        <w:spacing w:line="622" w:lineRule="exact"/>
        <w:ind w:firstLine="643"/>
        <w:rPr>
          <w:rFonts w:hint="eastAsia" w:ascii="仿宋_GB2312" w:hAnsi="仿宋_GB2312" w:cs="仿宋_GB2312"/>
        </w:rPr>
      </w:pPr>
      <w:r>
        <w:rPr>
          <w:rFonts w:hint="eastAsia" w:ascii="仿宋_GB2312" w:hAnsi="仿宋_GB2312" w:cs="仿宋_GB2312"/>
          <w:b/>
          <w:bCs/>
          <w:szCs w:val="32"/>
        </w:rPr>
        <w:t>推进社会主义民主法治建设。</w:t>
      </w:r>
      <w:r>
        <w:rPr>
          <w:rFonts w:hint="eastAsia" w:ascii="仿宋_GB2312" w:hAnsi="仿宋_GB2312" w:cs="仿宋_GB2312"/>
          <w:szCs w:val="32"/>
        </w:rPr>
        <w:t>坚持党的领导、人民当家作主、依法治国有机统一，发展全过程人民民主。坚持好、完善好、运行好人民代表大会制度，丰富人大代表联系人民群众的内容和形式，确保人民群众民主权利、合法权益得到维护和实现。加强人民政协专门协商机构建设，发挥人民政协作为统一战线组织和专门协商机构作用，健全凝聚人心、凝聚共识、凝聚智慧、凝聚力量工作机制，加强各种协商渠道协同配合，推进协商民主广泛多层制度化发展。完善大统战工作格局，广泛动员统战成员协助党委政府做好政策宣传、解疑释惑、理顺情绪、协调关系、化解矛盾等工作，更好发挥工会、共青团、妇联等群团组织联系服务群众的桥梁纽带作用，加强宗教事务治理法治化。全面推进依法治县，保证全面有效实施宪法法律，扎实推进法治政府建设，深化行政执法体制改革，规范司法权力运行，强化检察监督，持续扩大法治文化阵地的覆盖面，推进法治社会建设，营造全社会崇尚法治、恪守规则、尊重契约、维护公正的良好环境。</w:t>
      </w:r>
    </w:p>
    <w:bookmarkEnd w:id="149"/>
    <w:bookmarkEnd w:id="150"/>
    <w:p w14:paraId="577F1F2E">
      <w:pPr>
        <w:overflowPunct w:val="0"/>
        <w:spacing w:line="622" w:lineRule="exact"/>
        <w:ind w:firstLine="640"/>
        <w:rPr>
          <w:rFonts w:ascii="Times New Roman" w:hAnsi="Times New Roman" w:cs="Times New Roman"/>
        </w:rPr>
      </w:pPr>
      <w:bookmarkStart w:id="151" w:name="_Toc7937"/>
      <w:bookmarkStart w:id="152" w:name="_Toc28110"/>
      <w:bookmarkStart w:id="153" w:name="_Toc632970336"/>
      <w:bookmarkStart w:id="154" w:name="_Toc26761"/>
      <w:bookmarkStart w:id="155" w:name="_Toc22718"/>
    </w:p>
    <w:p w14:paraId="42DC0299">
      <w:pPr>
        <w:overflowPunct w:val="0"/>
        <w:spacing w:line="622" w:lineRule="exact"/>
        <w:ind w:firstLine="0" w:firstLineChars="0"/>
        <w:jc w:val="center"/>
        <w:outlineLvl w:val="1"/>
        <w:rPr>
          <w:rFonts w:hint="eastAsia" w:ascii="楷体_GB2312" w:hAnsi="楷体_GB2312" w:eastAsia="楷体_GB2312" w:cs="楷体_GB2312"/>
        </w:rPr>
      </w:pPr>
      <w:bookmarkStart w:id="156" w:name="_Toc10079"/>
      <w:r>
        <w:rPr>
          <w:rFonts w:hint="eastAsia" w:ascii="楷体_GB2312" w:hAnsi="楷体_GB2312" w:eastAsia="楷体_GB2312" w:cs="楷体_GB2312"/>
        </w:rPr>
        <w:t>第二节  统筹规划体系建设</w:t>
      </w:r>
      <w:bookmarkEnd w:id="151"/>
      <w:bookmarkEnd w:id="152"/>
      <w:bookmarkEnd w:id="153"/>
      <w:bookmarkEnd w:id="156"/>
    </w:p>
    <w:p w14:paraId="0D5C8E16">
      <w:pPr>
        <w:overflowPunct w:val="0"/>
        <w:spacing w:line="622" w:lineRule="exact"/>
        <w:ind w:firstLine="640"/>
        <w:rPr>
          <w:rFonts w:ascii="Times New Roman" w:hAnsi="Times New Roman" w:cs="Times New Roman"/>
        </w:rPr>
      </w:pPr>
    </w:p>
    <w:p w14:paraId="32C3A80D">
      <w:pPr>
        <w:overflowPunct w:val="0"/>
        <w:spacing w:line="622" w:lineRule="exact"/>
        <w:ind w:firstLine="640"/>
        <w:rPr>
          <w:rFonts w:ascii="Times New Roman" w:hAnsi="Times New Roman" w:cs="Times New Roman"/>
        </w:rPr>
      </w:pPr>
      <w:r>
        <w:rPr>
          <w:rFonts w:ascii="Times New Roman" w:hAnsi="Times New Roman" w:cs="Times New Roman"/>
        </w:rPr>
        <w:t>充分发挥国民经济和社会发展规划</w:t>
      </w:r>
      <w:r>
        <w:rPr>
          <w:rFonts w:hint="eastAsia" w:ascii="Times New Roman" w:hAnsi="Times New Roman" w:cs="Times New Roman"/>
          <w:highlight w:val="none"/>
          <w:lang w:val="en-US" w:eastAsia="zh-CN"/>
        </w:rPr>
        <w:t>纲要</w:t>
      </w:r>
      <w:r>
        <w:rPr>
          <w:rFonts w:ascii="Times New Roman" w:hAnsi="Times New Roman" w:cs="Times New Roman"/>
        </w:rPr>
        <w:t>的统领作用，统筹协调各专项规划，建立健全严格的衔接机制，全面构建有机统一的规划体系。</w:t>
      </w:r>
    </w:p>
    <w:p w14:paraId="1712CE32">
      <w:pPr>
        <w:overflowPunct w:val="0"/>
        <w:spacing w:line="622" w:lineRule="exact"/>
        <w:ind w:firstLine="643"/>
        <w:rPr>
          <w:rFonts w:ascii="Times New Roman" w:hAnsi="Times New Roman" w:cs="Times New Roman"/>
          <w:bCs/>
        </w:rPr>
      </w:pPr>
      <w:bookmarkStart w:id="157" w:name="_Toc226944547"/>
      <w:bookmarkStart w:id="158" w:name="_Toc27136"/>
      <w:r>
        <w:rPr>
          <w:rFonts w:ascii="Times New Roman" w:hAnsi="Times New Roman" w:cs="Times New Roman"/>
          <w:b/>
        </w:rPr>
        <w:t>强化发展规划的统领作用</w:t>
      </w:r>
      <w:bookmarkEnd w:id="157"/>
      <w:bookmarkEnd w:id="158"/>
      <w:r>
        <w:rPr>
          <w:rFonts w:ascii="Times New Roman" w:hAnsi="Times New Roman" w:cs="Times New Roman"/>
          <w:b/>
        </w:rPr>
        <w:t>。</w:t>
      </w:r>
      <w:r>
        <w:rPr>
          <w:rFonts w:ascii="Times New Roman" w:hAnsi="Times New Roman" w:cs="Times New Roman"/>
          <w:bCs/>
        </w:rPr>
        <w:t>围绕经济社会发展关键领域和薄弱环节，着力解决突出问题，</w:t>
      </w:r>
      <w:r>
        <w:rPr>
          <w:rFonts w:hint="eastAsia" w:ascii="Times New Roman" w:hAnsi="Times New Roman" w:cs="Times New Roman"/>
          <w:bCs/>
          <w:lang w:val="en-US" w:eastAsia="zh-CN"/>
        </w:rPr>
        <w:t>制定</w:t>
      </w:r>
      <w:r>
        <w:rPr>
          <w:rFonts w:ascii="Times New Roman" w:hAnsi="Times New Roman" w:cs="Times New Roman"/>
          <w:bCs/>
          <w:strike w:val="0"/>
          <w:dstrike w:val="0"/>
          <w:highlight w:val="none"/>
          <w:u w:val="none"/>
        </w:rPr>
        <w:t>规划</w:t>
      </w:r>
      <w:r>
        <w:rPr>
          <w:rFonts w:hint="eastAsia" w:ascii="Times New Roman" w:hAnsi="Times New Roman" w:cs="Times New Roman"/>
          <w:bCs/>
          <w:highlight w:val="none"/>
          <w:u w:val="none"/>
          <w:lang w:val="en-US" w:eastAsia="zh-CN"/>
        </w:rPr>
        <w:t>实施方案</w:t>
      </w:r>
      <w:r>
        <w:rPr>
          <w:rFonts w:ascii="Times New Roman" w:hAnsi="Times New Roman" w:cs="Times New Roman"/>
          <w:bCs/>
          <w:highlight w:val="none"/>
          <w:u w:val="none"/>
        </w:rPr>
        <w:t>，</w:t>
      </w:r>
      <w:r>
        <w:rPr>
          <w:rFonts w:ascii="Times New Roman" w:hAnsi="Times New Roman" w:cs="Times New Roman"/>
          <w:bCs/>
        </w:rPr>
        <w:t>形成落实总体规划纲要的重要支撑和抓手。对于规划纲要提出的约束性指标和公共服务领域重点任务，要完善公共服务资源配置政策，进一步健全激励和约束性政策。对于规划纲要提出的预期性目标和产业发展等任务，主要依靠市场主体的自主行为实施。针对经济社会发展领域不同类型项目，要按照重要性分类统筹推进，优先实施本规划纲要明确的重大项目。</w:t>
      </w:r>
    </w:p>
    <w:p w14:paraId="477D14FA">
      <w:pPr>
        <w:overflowPunct w:val="0"/>
        <w:spacing w:line="622" w:lineRule="exact"/>
        <w:ind w:firstLine="643"/>
        <w:rPr>
          <w:rFonts w:ascii="Times New Roman" w:hAnsi="Times New Roman" w:cs="Times New Roman"/>
          <w:bCs/>
        </w:rPr>
      </w:pPr>
      <w:bookmarkStart w:id="159" w:name="_Toc1366861140"/>
      <w:bookmarkStart w:id="160" w:name="_Toc19099"/>
      <w:r>
        <w:rPr>
          <w:rFonts w:ascii="Times New Roman" w:hAnsi="Times New Roman" w:cs="Times New Roman"/>
          <w:b/>
        </w:rPr>
        <w:t>强化各类规划衔接协调</w:t>
      </w:r>
      <w:bookmarkEnd w:id="159"/>
      <w:bookmarkEnd w:id="160"/>
      <w:r>
        <w:rPr>
          <w:rFonts w:ascii="Times New Roman" w:hAnsi="Times New Roman" w:cs="Times New Roman"/>
          <w:b/>
        </w:rPr>
        <w:t>。</w:t>
      </w:r>
      <w:r>
        <w:rPr>
          <w:rFonts w:ascii="Times New Roman" w:hAnsi="Times New Roman" w:cs="Times New Roman"/>
          <w:bCs/>
        </w:rPr>
        <w:t>坚持以生态环境保护定底线、以国土空间规划为基础、以国民经济和社会发展总体规划为统领的原则，统筹协调各项规划。</w:t>
      </w:r>
      <w:r>
        <w:rPr>
          <w:rFonts w:ascii="Times New Roman" w:hAnsi="Times New Roman" w:cs="Times New Roman"/>
          <w:bCs/>
          <w:strike w:val="0"/>
          <w:dstrike w:val="0"/>
          <w:highlight w:val="none"/>
        </w:rPr>
        <w:t>规划</w:t>
      </w:r>
      <w:r>
        <w:rPr>
          <w:rFonts w:hint="eastAsia" w:ascii="Times New Roman" w:hAnsi="Times New Roman" w:cs="Times New Roman"/>
          <w:bCs/>
          <w:strike w:val="0"/>
          <w:dstrike w:val="0"/>
          <w:highlight w:val="none"/>
          <w:lang w:val="en-US" w:eastAsia="zh-CN"/>
        </w:rPr>
        <w:t>实施方案</w:t>
      </w:r>
      <w:r>
        <w:rPr>
          <w:rFonts w:ascii="Times New Roman" w:hAnsi="Times New Roman" w:cs="Times New Roman"/>
          <w:bCs/>
        </w:rPr>
        <w:t>要细化落实本规划提出的主要任务，年度计划要逐年落实本规划提出的发展目标和重点任务。建立规划相互协调的工作机制，加强经济社会发展规划</w:t>
      </w:r>
      <w:r>
        <w:rPr>
          <w:rFonts w:hint="eastAsia" w:ascii="Times New Roman" w:hAnsi="Times New Roman" w:cs="Times New Roman"/>
          <w:bCs/>
          <w:highlight w:val="none"/>
          <w:lang w:val="en-US" w:eastAsia="zh-CN"/>
        </w:rPr>
        <w:t>纲要</w:t>
      </w:r>
      <w:r>
        <w:rPr>
          <w:rFonts w:ascii="Times New Roman" w:hAnsi="Times New Roman" w:cs="Times New Roman"/>
          <w:bCs/>
        </w:rPr>
        <w:t>与国土空间规划</w:t>
      </w:r>
      <w:r>
        <w:rPr>
          <w:rFonts w:ascii="Times New Roman" w:hAnsi="Times New Roman" w:cs="Times New Roman"/>
          <w:bCs/>
          <w:strike w:val="0"/>
          <w:dstrike w:val="0"/>
          <w:highlight w:val="none"/>
        </w:rPr>
        <w:t>体检评估</w:t>
      </w:r>
      <w:r>
        <w:rPr>
          <w:rFonts w:ascii="Times New Roman" w:hAnsi="Times New Roman" w:cs="Times New Roman"/>
          <w:bCs/>
        </w:rPr>
        <w:t>工作的衔接配合，在重大生产力布局、重点项目安排、基础设施建设上，确保总体要求一致，在空间布局上相互协调，时序安排上科学有序，在规划资源配置上优化组合，更好地促进经济社会发展。</w:t>
      </w:r>
    </w:p>
    <w:p w14:paraId="249A993B">
      <w:pPr>
        <w:overflowPunct w:val="0"/>
        <w:spacing w:line="622" w:lineRule="exact"/>
        <w:ind w:firstLine="640"/>
        <w:rPr>
          <w:rFonts w:ascii="Times New Roman" w:hAnsi="Times New Roman" w:cs="Times New Roman"/>
        </w:rPr>
      </w:pPr>
      <w:bookmarkStart w:id="161" w:name="_Toc21427"/>
      <w:bookmarkStart w:id="162" w:name="_Toc630101476"/>
      <w:bookmarkStart w:id="163" w:name="_Toc29152"/>
    </w:p>
    <w:p w14:paraId="59F5412D">
      <w:pPr>
        <w:overflowPunct w:val="0"/>
        <w:spacing w:line="622" w:lineRule="exact"/>
        <w:ind w:firstLine="0" w:firstLineChars="0"/>
        <w:jc w:val="center"/>
        <w:outlineLvl w:val="1"/>
        <w:rPr>
          <w:rFonts w:hint="eastAsia" w:ascii="楷体_GB2312" w:hAnsi="楷体_GB2312" w:eastAsia="楷体_GB2312" w:cs="楷体_GB2312"/>
        </w:rPr>
      </w:pPr>
      <w:bookmarkStart w:id="164" w:name="_Toc23400"/>
      <w:r>
        <w:rPr>
          <w:rFonts w:hint="eastAsia" w:ascii="楷体_GB2312" w:hAnsi="楷体_GB2312" w:eastAsia="楷体_GB2312" w:cs="楷体_GB2312"/>
        </w:rPr>
        <w:t>第三节  完善规划实施机制</w:t>
      </w:r>
      <w:bookmarkEnd w:id="161"/>
      <w:bookmarkEnd w:id="162"/>
      <w:bookmarkEnd w:id="163"/>
      <w:bookmarkEnd w:id="164"/>
    </w:p>
    <w:p w14:paraId="30D245E6">
      <w:pPr>
        <w:overflowPunct w:val="0"/>
        <w:spacing w:line="622" w:lineRule="exact"/>
        <w:ind w:firstLine="640"/>
        <w:rPr>
          <w:rFonts w:ascii="Times New Roman" w:hAnsi="Times New Roman" w:cs="Times New Roman"/>
        </w:rPr>
      </w:pPr>
    </w:p>
    <w:p w14:paraId="0DD04746">
      <w:pPr>
        <w:overflowPunct w:val="0"/>
        <w:spacing w:line="622" w:lineRule="exact"/>
        <w:ind w:firstLine="640"/>
        <w:rPr>
          <w:rFonts w:ascii="Times New Roman" w:hAnsi="Times New Roman" w:cs="Times New Roman"/>
        </w:rPr>
      </w:pPr>
      <w:r>
        <w:rPr>
          <w:rFonts w:ascii="Times New Roman" w:hAnsi="Times New Roman" w:cs="Times New Roman"/>
        </w:rPr>
        <w:t>建立健全规划实施保障机制，切实履行政府职能，充分调动全社会的积极性，形成规划实施的强大合力，确保</w:t>
      </w:r>
      <w:r>
        <w:rPr>
          <w:rFonts w:hint="eastAsia" w:ascii="Times New Roman" w:hAnsi="Times New Roman" w:cs="Times New Roman"/>
          <w:lang w:eastAsia="zh-CN"/>
        </w:rPr>
        <w:t>“</w:t>
      </w:r>
      <w:r>
        <w:rPr>
          <w:rFonts w:ascii="Times New Roman" w:hAnsi="Times New Roman" w:cs="Times New Roman"/>
        </w:rPr>
        <w:t>十五五</w:t>
      </w:r>
      <w:r>
        <w:rPr>
          <w:rFonts w:hint="eastAsia" w:ascii="Times New Roman" w:hAnsi="Times New Roman" w:cs="Times New Roman"/>
          <w:lang w:eastAsia="zh-CN"/>
        </w:rPr>
        <w:t>”</w:t>
      </w:r>
      <w:r>
        <w:rPr>
          <w:rFonts w:hint="eastAsia" w:ascii="Times New Roman" w:hAnsi="Times New Roman" w:cs="Times New Roman"/>
          <w:lang w:val="en-US" w:eastAsia="zh-CN"/>
        </w:rPr>
        <w:t xml:space="preserve"> </w:t>
      </w:r>
      <w:r>
        <w:rPr>
          <w:rFonts w:ascii="Times New Roman" w:hAnsi="Times New Roman" w:cs="Times New Roman"/>
        </w:rPr>
        <w:t>规划各项任务和指标顺利完成。</w:t>
      </w:r>
    </w:p>
    <w:p w14:paraId="0A4AFD2F">
      <w:pPr>
        <w:overflowPunct w:val="0"/>
        <w:spacing w:line="622" w:lineRule="exact"/>
        <w:ind w:firstLine="643"/>
        <w:rPr>
          <w:rFonts w:ascii="Times New Roman" w:hAnsi="Times New Roman" w:cs="Times New Roman"/>
        </w:rPr>
      </w:pPr>
      <w:bookmarkStart w:id="165" w:name="_Toc10403"/>
      <w:bookmarkStart w:id="166" w:name="_Toc840926106"/>
      <w:r>
        <w:rPr>
          <w:rFonts w:ascii="Times New Roman" w:hAnsi="Times New Roman" w:cs="Times New Roman"/>
          <w:b/>
          <w:bCs/>
        </w:rPr>
        <w:t>严格落实规划实施主体责任</w:t>
      </w:r>
      <w:bookmarkEnd w:id="165"/>
      <w:bookmarkEnd w:id="166"/>
      <w:r>
        <w:rPr>
          <w:rFonts w:ascii="Times New Roman" w:hAnsi="Times New Roman" w:cs="Times New Roman"/>
          <w:b/>
          <w:bCs/>
        </w:rPr>
        <w:t>。</w:t>
      </w:r>
      <w:r>
        <w:rPr>
          <w:rFonts w:ascii="Times New Roman" w:hAnsi="Times New Roman" w:cs="Times New Roman"/>
        </w:rPr>
        <w:t>本规划提出的预期性指标和产业发展、结构调整等任务，主要依靠市场主体的自主行为实现，政府</w:t>
      </w:r>
      <w:r>
        <w:rPr>
          <w:rFonts w:hint="eastAsia" w:ascii="Times New Roman" w:hAnsi="Times New Roman" w:cs="Times New Roman"/>
        </w:rPr>
        <w:t>部门</w:t>
      </w:r>
      <w:r>
        <w:rPr>
          <w:rFonts w:ascii="Times New Roman" w:hAnsi="Times New Roman" w:cs="Times New Roman"/>
        </w:rPr>
        <w:t>要努力创造良好的体制机制和发展环境，充分调动市场主体的积极性，科学引导市场主体行为与政府战略导向相一致。发挥市场在资源配置中的决定性作用和更好地发挥政府作用，合理配置公共资源，切实履行政府承担公共产品和服务提供的职能。加强规划实施的组织、协调和督导，健全完善目标责任制考核评价体系和奖惩机制，对政府履行职责的约束性指标，以及重大工程、重大项目、重大政策和重大改革任务，明确责任主体、实施进度，确保如期完成。</w:t>
      </w:r>
    </w:p>
    <w:p w14:paraId="79DFA2C0">
      <w:pPr>
        <w:pStyle w:val="33"/>
        <w:overflowPunct w:val="0"/>
        <w:spacing w:line="622" w:lineRule="exact"/>
        <w:ind w:firstLine="643"/>
        <w:rPr>
          <w:rFonts w:hint="default" w:ascii="Times New Roman" w:hAnsi="Times New Roman" w:eastAsia="仿宋_GB2312" w:cs="Times New Roman"/>
          <w:b w:val="0"/>
          <w:bCs w:val="0"/>
          <w:kern w:val="2"/>
          <w:sz w:val="32"/>
          <w:szCs w:val="24"/>
          <w:lang w:val="en-US" w:eastAsia="zh-CN" w:bidi="ar-SA"/>
        </w:rPr>
      </w:pPr>
      <w:bookmarkStart w:id="167" w:name="_Toc501640139"/>
      <w:bookmarkStart w:id="168" w:name="_Toc18008"/>
      <w:r>
        <w:rPr>
          <w:rFonts w:hint="default" w:ascii="Times New Roman" w:hAnsi="Times New Roman" w:eastAsia="仿宋_GB2312" w:cs="Times New Roman"/>
          <w:szCs w:val="24"/>
        </w:rPr>
        <w:t>加强项目实施要素保障</w:t>
      </w:r>
      <w:bookmarkEnd w:id="167"/>
      <w:bookmarkEnd w:id="168"/>
      <w:r>
        <w:rPr>
          <w:rFonts w:hint="default" w:ascii="Times New Roman" w:hAnsi="Times New Roman" w:eastAsia="仿宋_GB2312" w:cs="Times New Roman"/>
          <w:szCs w:val="24"/>
        </w:rPr>
        <w:t>。</w:t>
      </w:r>
      <w:r>
        <w:rPr>
          <w:rFonts w:hint="default" w:ascii="Times New Roman" w:hAnsi="Times New Roman" w:eastAsia="仿宋_GB2312" w:cs="Times New Roman"/>
          <w:b w:val="0"/>
          <w:bCs w:val="0"/>
          <w:kern w:val="2"/>
          <w:sz w:val="32"/>
          <w:szCs w:val="24"/>
          <w:lang w:val="en-US" w:eastAsia="zh-CN" w:bidi="ar-SA"/>
        </w:rPr>
        <w:t>精准对接国家、省、市重大战略，聚焦现代化产业、基础设施、民生福祉等重点领域，前瞻性、系统性谋划储备一批具有全局性和强带动性的重大项目，积极争取纳入上级规划。加强财政预算与规划实施的衔接协调，明晰政府支出责任，强化财政部门对规划实施的保障作用。加强土地、能源、人才、环境容量等要素保障，研究制定配套政策，</w:t>
      </w:r>
      <w:r>
        <w:rPr>
          <w:rFonts w:hint="default" w:ascii="Times New Roman" w:hAnsi="Times New Roman" w:eastAsia="仿宋_GB2312" w:cs="Times New Roman"/>
          <w:b w:val="0"/>
          <w:bCs w:val="0"/>
          <w:color w:val="auto"/>
          <w:kern w:val="2"/>
          <w:sz w:val="32"/>
          <w:szCs w:val="24"/>
          <w:u w:val="none"/>
          <w:lang w:val="en-US" w:eastAsia="zh-CN" w:bidi="ar-SA"/>
        </w:rPr>
        <w:t>以项目落地见效夯实高质量发展根基。</w:t>
      </w:r>
    </w:p>
    <w:p w14:paraId="1373A62D">
      <w:pPr>
        <w:overflowPunct w:val="0"/>
        <w:spacing w:line="622" w:lineRule="exact"/>
        <w:ind w:firstLine="643"/>
        <w:rPr>
          <w:rFonts w:ascii="Times New Roman" w:hAnsi="Times New Roman" w:cs="Times New Roman"/>
        </w:rPr>
      </w:pPr>
      <w:bookmarkStart w:id="169" w:name="_Toc4125"/>
      <w:bookmarkStart w:id="170" w:name="_Toc808905942"/>
      <w:r>
        <w:rPr>
          <w:rFonts w:ascii="Times New Roman" w:hAnsi="Times New Roman" w:cs="Times New Roman"/>
          <w:b/>
          <w:bCs/>
        </w:rPr>
        <w:t>加强规划实施监测评估</w:t>
      </w:r>
      <w:bookmarkEnd w:id="169"/>
      <w:bookmarkEnd w:id="170"/>
      <w:r>
        <w:rPr>
          <w:rFonts w:ascii="Times New Roman" w:hAnsi="Times New Roman" w:cs="Times New Roman"/>
          <w:b/>
          <w:bCs/>
        </w:rPr>
        <w:t>。</w:t>
      </w:r>
      <w:bookmarkEnd w:id="154"/>
      <w:bookmarkEnd w:id="155"/>
      <w:r>
        <w:rPr>
          <w:rFonts w:ascii="Times New Roman" w:hAnsi="Times New Roman" w:cs="Times New Roman"/>
        </w:rPr>
        <w:t>加强对规划实施情况跟踪分析，自觉接受县人民代表大会及其常务委员会的监督检查。完善动态实施机制，将发展规划中确定的约束性指标作为各乡镇政府和有关单位、部门绩效评价和政绩考核的重要内容，通过年度计划分解落实主要目标和重点建设任务。加强规划年度监测评估，深入分析经济运行存在的问题和风险，及时提出防范对策和举措。改革考核评价机制，建立完善政府事项和约束性指标落实目标责任制。建立规划实施督促检查机制，实行规划中期评估制度，根据经济运行状况及发展实际，按程序对规划进行必要调整。创新评估方式，引入社会机构评估等第三方评估制度，扩大民意测评范围，增强规划的准确性和广泛性。</w:t>
      </w:r>
    </w:p>
    <w:p w14:paraId="56BABABA">
      <w:pPr>
        <w:overflowPunct w:val="0"/>
        <w:spacing w:line="622" w:lineRule="exact"/>
        <w:ind w:firstLine="640"/>
        <w:rPr>
          <w:rFonts w:ascii="Times New Roman" w:hAnsi="Times New Roman" w:cs="Times New Roman"/>
        </w:rPr>
      </w:pPr>
    </w:p>
    <w:p w14:paraId="549A5C1E">
      <w:pPr>
        <w:overflowPunct w:val="0"/>
        <w:spacing w:line="622" w:lineRule="exact"/>
        <w:ind w:firstLine="640"/>
        <w:rPr>
          <w:rFonts w:ascii="Times New Roman" w:hAnsi="Times New Roman" w:cs="Times New Roman"/>
        </w:rPr>
      </w:pPr>
    </w:p>
    <w:sectPr>
      <w:pgSz w:w="11906" w:h="16838"/>
      <w:pgMar w:top="1871" w:right="1531" w:bottom="1871" w:left="1531" w:header="851" w:footer="1417" w:gutter="0"/>
      <w:pgNumType w:fmt="decimal"/>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方正公文小标宋">
    <w:altName w:val="方正小标宋简体"/>
    <w:panose1 w:val="02000500000000000000"/>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DejaVu Math TeX Gyre">
    <w:panose1 w:val="02000503000000000000"/>
    <w:charset w:val="00"/>
    <w:family w:val="auto"/>
    <w:pitch w:val="default"/>
    <w:sig w:usb0="A10000EF" w:usb1="4201F9EE" w:usb2="02000000" w:usb3="00000000" w:csb0="60000193" w:csb1="0DD40000"/>
  </w:font>
  <w:font w:name="MathJax_Vector">
    <w:panose1 w:val="02000603000000000000"/>
    <w:charset w:val="00"/>
    <w:family w:val="auto"/>
    <w:pitch w:val="default"/>
    <w:sig w:usb0="00000001" w:usb1="00000020" w:usb2="00000000" w:usb3="00000000" w:csb0="00000001" w:csb1="00000000"/>
  </w:font>
  <w:font w:name="微软雅黑">
    <w:altName w:val="方正黑体_GBK"/>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52AFF">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9BC21">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7AE87">
    <w:pPr>
      <w:pStyle w:val="12"/>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470F13">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E470F13">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8927F">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3E1751"/>
    <w:multiLevelType w:val="singleLevel"/>
    <w:tmpl w:val="C53E1751"/>
    <w:lvl w:ilvl="0" w:tentative="0">
      <w:start w:val="7"/>
      <w:numFmt w:val="chineseCounting"/>
      <w:suff w:val="space"/>
      <w:lvlText w:val="第%1章"/>
      <w:lvlJc w:val="left"/>
      <w:rPr>
        <w:rFonts w:hint="eastAsia"/>
      </w:rPr>
    </w:lvl>
  </w:abstractNum>
  <w:abstractNum w:abstractNumId="1">
    <w:nsid w:val="DB8998FF"/>
    <w:multiLevelType w:val="singleLevel"/>
    <w:tmpl w:val="DB8998FF"/>
    <w:lvl w:ilvl="0" w:tentative="0">
      <w:start w:val="4"/>
      <w:numFmt w:val="chineseCounting"/>
      <w:suff w:val="space"/>
      <w:lvlText w:val="第%1章"/>
      <w:lvlJc w:val="left"/>
      <w:rPr>
        <w:rFonts w:hint="eastAsia"/>
      </w:rPr>
    </w:lvl>
  </w:abstractNum>
  <w:abstractNum w:abstractNumId="2">
    <w:nsid w:val="1ABE2217"/>
    <w:multiLevelType w:val="multilevel"/>
    <w:tmpl w:val="1ABE2217"/>
    <w:lvl w:ilvl="0" w:tentative="0">
      <w:start w:val="1"/>
      <w:numFmt w:val="decimal"/>
      <w:lvlText w:val="第%1章 "/>
      <w:lvlJc w:val="center"/>
      <w:pPr>
        <w:ind w:left="420" w:hanging="420"/>
      </w:pPr>
      <w:rPr>
        <w:rFonts w:hint="default" w:ascii="宋体" w:hAnsi="宋体" w:eastAsia="黑体" w:cs="Times New Roman"/>
        <w:b/>
        <w:sz w:val="36"/>
      </w:rPr>
    </w:lvl>
    <w:lvl w:ilvl="1" w:tentative="0">
      <w:start w:val="1"/>
      <w:numFmt w:val="decimal"/>
      <w:isLgl/>
      <w:lvlText w:val="%1.%2 "/>
      <w:lvlJc w:val="left"/>
      <w:pPr>
        <w:ind w:left="420" w:hanging="420"/>
      </w:pPr>
      <w:rPr>
        <w:rFonts w:hint="eastAsia" w:ascii="宋体" w:hAnsi="宋体" w:eastAsia="宋体" w:cs="Times New Roman"/>
        <w:b/>
        <w:bCs/>
        <w:sz w:val="32"/>
        <w:szCs w:val="30"/>
      </w:rPr>
    </w:lvl>
    <w:lvl w:ilvl="2" w:tentative="0">
      <w:start w:val="1"/>
      <w:numFmt w:val="decimal"/>
      <w:isLgl/>
      <w:lvlText w:val="%1.%2.%3 "/>
      <w:lvlJc w:val="left"/>
      <w:pPr>
        <w:ind w:left="420" w:hanging="420"/>
      </w:pPr>
      <w:rPr>
        <w:rFonts w:hint="eastAsia" w:ascii="宋体" w:hAnsi="宋体" w:eastAsia="宋体" w:cs="Times New Roman"/>
        <w:b/>
        <w:sz w:val="30"/>
      </w:rPr>
    </w:lvl>
    <w:lvl w:ilvl="3" w:tentative="0">
      <w:start w:val="1"/>
      <w:numFmt w:val="decimal"/>
      <w:pStyle w:val="6"/>
      <w:isLgl/>
      <w:lvlText w:val="%1.%2.%3.%4 "/>
      <w:lvlJc w:val="left"/>
      <w:pPr>
        <w:ind w:left="0" w:firstLine="0"/>
      </w:pPr>
      <w:rPr>
        <w:rFonts w:hint="default" w:ascii="宋体" w:hAnsi="宋体" w:eastAsia="黑体" w:cs="Times New Roman"/>
        <w:b/>
        <w:sz w:val="28"/>
        <w:szCs w:val="28"/>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1" w:hanging="1151"/>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3" w:hanging="1583"/>
      </w:pPr>
      <w:rPr>
        <w:rFonts w:hint="eastAsia"/>
      </w:rPr>
    </w:lvl>
  </w:abstractNum>
  <w:abstractNum w:abstractNumId="3">
    <w:nsid w:val="1AD36324"/>
    <w:multiLevelType w:val="singleLevel"/>
    <w:tmpl w:val="1AD36324"/>
    <w:lvl w:ilvl="0" w:tentative="0">
      <w:start w:val="5"/>
      <w:numFmt w:val="chineseCounting"/>
      <w:suff w:val="space"/>
      <w:lvlText w:val="第%1章"/>
      <w:lvlJc w:val="left"/>
      <w:rPr>
        <w:rFonts w:hint="eastAsia"/>
      </w:rPr>
    </w:lvl>
  </w:abstractNum>
  <w:abstractNum w:abstractNumId="4">
    <w:nsid w:val="3B44A0F8"/>
    <w:multiLevelType w:val="singleLevel"/>
    <w:tmpl w:val="3B44A0F8"/>
    <w:lvl w:ilvl="0" w:tentative="0">
      <w:start w:val="8"/>
      <w:numFmt w:val="chineseCounting"/>
      <w:suff w:val="space"/>
      <w:lvlText w:val="第%1章"/>
      <w:lvlJc w:val="left"/>
      <w:rPr>
        <w:rFonts w:hint="eastAsia"/>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B36388"/>
    <w:rsid w:val="00032291"/>
    <w:rsid w:val="00035440"/>
    <w:rsid w:val="00240377"/>
    <w:rsid w:val="00264E69"/>
    <w:rsid w:val="002A7845"/>
    <w:rsid w:val="00303F39"/>
    <w:rsid w:val="00344610"/>
    <w:rsid w:val="003532FE"/>
    <w:rsid w:val="004713C5"/>
    <w:rsid w:val="00546CA5"/>
    <w:rsid w:val="005B7C79"/>
    <w:rsid w:val="005F1278"/>
    <w:rsid w:val="00794A5A"/>
    <w:rsid w:val="007E04CC"/>
    <w:rsid w:val="008769CF"/>
    <w:rsid w:val="008D138C"/>
    <w:rsid w:val="008D5A78"/>
    <w:rsid w:val="00AA3CEC"/>
    <w:rsid w:val="00B15AB1"/>
    <w:rsid w:val="00B561ED"/>
    <w:rsid w:val="00C02BCA"/>
    <w:rsid w:val="00C25576"/>
    <w:rsid w:val="00CD79DA"/>
    <w:rsid w:val="00D03026"/>
    <w:rsid w:val="00D074CA"/>
    <w:rsid w:val="00E52569"/>
    <w:rsid w:val="00EA058C"/>
    <w:rsid w:val="00EA5745"/>
    <w:rsid w:val="00F52814"/>
    <w:rsid w:val="00F52A8D"/>
    <w:rsid w:val="010A478A"/>
    <w:rsid w:val="010B2EAF"/>
    <w:rsid w:val="012956E2"/>
    <w:rsid w:val="013435B5"/>
    <w:rsid w:val="013B2B96"/>
    <w:rsid w:val="0155601F"/>
    <w:rsid w:val="01675739"/>
    <w:rsid w:val="017E6F26"/>
    <w:rsid w:val="01830099"/>
    <w:rsid w:val="01875DDB"/>
    <w:rsid w:val="019625A8"/>
    <w:rsid w:val="01D45C7C"/>
    <w:rsid w:val="01DE77E3"/>
    <w:rsid w:val="021F6013"/>
    <w:rsid w:val="022C24DE"/>
    <w:rsid w:val="022F37DD"/>
    <w:rsid w:val="02313F99"/>
    <w:rsid w:val="023A2E4D"/>
    <w:rsid w:val="0270686F"/>
    <w:rsid w:val="027F4D04"/>
    <w:rsid w:val="02867E41"/>
    <w:rsid w:val="028E4F47"/>
    <w:rsid w:val="02AA30B8"/>
    <w:rsid w:val="02CC3DCA"/>
    <w:rsid w:val="02E334E5"/>
    <w:rsid w:val="02F92D08"/>
    <w:rsid w:val="030B4E6A"/>
    <w:rsid w:val="032F672A"/>
    <w:rsid w:val="03322E50"/>
    <w:rsid w:val="035D6DC5"/>
    <w:rsid w:val="036D7252"/>
    <w:rsid w:val="037D5EB7"/>
    <w:rsid w:val="037E4FBC"/>
    <w:rsid w:val="038A7F3E"/>
    <w:rsid w:val="038D3451"/>
    <w:rsid w:val="03A5079A"/>
    <w:rsid w:val="03A72764"/>
    <w:rsid w:val="03AE3AF3"/>
    <w:rsid w:val="03C84489"/>
    <w:rsid w:val="03D756A0"/>
    <w:rsid w:val="03E77534"/>
    <w:rsid w:val="03EE0393"/>
    <w:rsid w:val="041534A7"/>
    <w:rsid w:val="041C05BB"/>
    <w:rsid w:val="04425FE9"/>
    <w:rsid w:val="047168CE"/>
    <w:rsid w:val="047C599F"/>
    <w:rsid w:val="049006D3"/>
    <w:rsid w:val="04AB445C"/>
    <w:rsid w:val="04AE7B23"/>
    <w:rsid w:val="04BF3ADE"/>
    <w:rsid w:val="04C63382"/>
    <w:rsid w:val="04C8748C"/>
    <w:rsid w:val="04EB6681"/>
    <w:rsid w:val="04ED67CF"/>
    <w:rsid w:val="04FA7115"/>
    <w:rsid w:val="05171224"/>
    <w:rsid w:val="051931EE"/>
    <w:rsid w:val="051F6714"/>
    <w:rsid w:val="056A63E5"/>
    <w:rsid w:val="05776166"/>
    <w:rsid w:val="05956414"/>
    <w:rsid w:val="059E79A5"/>
    <w:rsid w:val="05A21435"/>
    <w:rsid w:val="05C55124"/>
    <w:rsid w:val="05EC421F"/>
    <w:rsid w:val="05F81055"/>
    <w:rsid w:val="06021218"/>
    <w:rsid w:val="063F4ED6"/>
    <w:rsid w:val="06436049"/>
    <w:rsid w:val="064F0DD5"/>
    <w:rsid w:val="06646A88"/>
    <w:rsid w:val="06825418"/>
    <w:rsid w:val="06922615"/>
    <w:rsid w:val="06AC1E40"/>
    <w:rsid w:val="06B036DE"/>
    <w:rsid w:val="06BD2BEF"/>
    <w:rsid w:val="06C13B3D"/>
    <w:rsid w:val="06E33F58"/>
    <w:rsid w:val="071A4FFB"/>
    <w:rsid w:val="0738706D"/>
    <w:rsid w:val="074D717F"/>
    <w:rsid w:val="07591FC7"/>
    <w:rsid w:val="0774295E"/>
    <w:rsid w:val="07794418"/>
    <w:rsid w:val="07894D94"/>
    <w:rsid w:val="07A41B3E"/>
    <w:rsid w:val="07AA2823"/>
    <w:rsid w:val="07AB4E37"/>
    <w:rsid w:val="07B115DA"/>
    <w:rsid w:val="07B54D24"/>
    <w:rsid w:val="07C5140B"/>
    <w:rsid w:val="07E97E0B"/>
    <w:rsid w:val="07EA70C4"/>
    <w:rsid w:val="080F6B2A"/>
    <w:rsid w:val="081A31D6"/>
    <w:rsid w:val="08404D3C"/>
    <w:rsid w:val="085D5AE7"/>
    <w:rsid w:val="08670714"/>
    <w:rsid w:val="086C5D2B"/>
    <w:rsid w:val="086F1377"/>
    <w:rsid w:val="08752E31"/>
    <w:rsid w:val="08775B32"/>
    <w:rsid w:val="08931509"/>
    <w:rsid w:val="08AA0601"/>
    <w:rsid w:val="08AE0A94"/>
    <w:rsid w:val="08BB636A"/>
    <w:rsid w:val="08CF7907"/>
    <w:rsid w:val="08D35DAA"/>
    <w:rsid w:val="08E16062"/>
    <w:rsid w:val="08FC0CCA"/>
    <w:rsid w:val="09061CDB"/>
    <w:rsid w:val="09153CCC"/>
    <w:rsid w:val="093B1AB4"/>
    <w:rsid w:val="09436A8B"/>
    <w:rsid w:val="094445B2"/>
    <w:rsid w:val="096B4234"/>
    <w:rsid w:val="099217C1"/>
    <w:rsid w:val="09931095"/>
    <w:rsid w:val="09AA6B0A"/>
    <w:rsid w:val="09AD65FB"/>
    <w:rsid w:val="09BC683E"/>
    <w:rsid w:val="09CB6A81"/>
    <w:rsid w:val="09CF6571"/>
    <w:rsid w:val="09D516AE"/>
    <w:rsid w:val="09F61D50"/>
    <w:rsid w:val="0A033A7B"/>
    <w:rsid w:val="0A0D52EB"/>
    <w:rsid w:val="0A1B5312"/>
    <w:rsid w:val="0A2F0DBE"/>
    <w:rsid w:val="0A5D1DCF"/>
    <w:rsid w:val="0A5F5B47"/>
    <w:rsid w:val="0A622F41"/>
    <w:rsid w:val="0A917CCA"/>
    <w:rsid w:val="0A972223"/>
    <w:rsid w:val="0A9D12CB"/>
    <w:rsid w:val="0AC32834"/>
    <w:rsid w:val="0AD302B2"/>
    <w:rsid w:val="0AE20526"/>
    <w:rsid w:val="0AE9597A"/>
    <w:rsid w:val="0AED62AE"/>
    <w:rsid w:val="0B154457"/>
    <w:rsid w:val="0B3D39AE"/>
    <w:rsid w:val="0B5F0FBD"/>
    <w:rsid w:val="0B867103"/>
    <w:rsid w:val="0B941820"/>
    <w:rsid w:val="0B980BE5"/>
    <w:rsid w:val="0B9A495D"/>
    <w:rsid w:val="0BB7550F"/>
    <w:rsid w:val="0BD065D0"/>
    <w:rsid w:val="0BEA5D53"/>
    <w:rsid w:val="0C193B8E"/>
    <w:rsid w:val="0C1F4E62"/>
    <w:rsid w:val="0C286919"/>
    <w:rsid w:val="0C34090D"/>
    <w:rsid w:val="0C452B1A"/>
    <w:rsid w:val="0C5A482A"/>
    <w:rsid w:val="0C5D60B6"/>
    <w:rsid w:val="0C6641DE"/>
    <w:rsid w:val="0C6D4563"/>
    <w:rsid w:val="0C71390F"/>
    <w:rsid w:val="0C807CE3"/>
    <w:rsid w:val="0C825B1D"/>
    <w:rsid w:val="0C931AD8"/>
    <w:rsid w:val="0C98693B"/>
    <w:rsid w:val="0CAD06C0"/>
    <w:rsid w:val="0CAF01B1"/>
    <w:rsid w:val="0CBD02ED"/>
    <w:rsid w:val="0CBF63C2"/>
    <w:rsid w:val="0CF72B0B"/>
    <w:rsid w:val="0D0429D6"/>
    <w:rsid w:val="0D046532"/>
    <w:rsid w:val="0D116EA1"/>
    <w:rsid w:val="0D1F511A"/>
    <w:rsid w:val="0D2515DE"/>
    <w:rsid w:val="0D2941EA"/>
    <w:rsid w:val="0D2E2A8F"/>
    <w:rsid w:val="0D3037CB"/>
    <w:rsid w:val="0D366907"/>
    <w:rsid w:val="0D3D5EE8"/>
    <w:rsid w:val="0D49488C"/>
    <w:rsid w:val="0D58056D"/>
    <w:rsid w:val="0D605732"/>
    <w:rsid w:val="0D6945E7"/>
    <w:rsid w:val="0D6D057B"/>
    <w:rsid w:val="0D7731A8"/>
    <w:rsid w:val="0D913B3D"/>
    <w:rsid w:val="0DED5218"/>
    <w:rsid w:val="0DFA02FC"/>
    <w:rsid w:val="0DFA7935"/>
    <w:rsid w:val="0E1C3D4F"/>
    <w:rsid w:val="0E252C04"/>
    <w:rsid w:val="0E3B2427"/>
    <w:rsid w:val="0E564460"/>
    <w:rsid w:val="0E6A3E69"/>
    <w:rsid w:val="0EC817E1"/>
    <w:rsid w:val="0ECF491D"/>
    <w:rsid w:val="0ED4462A"/>
    <w:rsid w:val="0EDD41A9"/>
    <w:rsid w:val="0EEB5D2E"/>
    <w:rsid w:val="0EF311DF"/>
    <w:rsid w:val="0F0312ED"/>
    <w:rsid w:val="0F4946D0"/>
    <w:rsid w:val="0F64150A"/>
    <w:rsid w:val="0F6634D4"/>
    <w:rsid w:val="0F6B6857"/>
    <w:rsid w:val="0F6E7396"/>
    <w:rsid w:val="0F916077"/>
    <w:rsid w:val="0FCA5F20"/>
    <w:rsid w:val="0FCE1079"/>
    <w:rsid w:val="0FE10DAC"/>
    <w:rsid w:val="0FE34B24"/>
    <w:rsid w:val="0FEC61F7"/>
    <w:rsid w:val="10022AD1"/>
    <w:rsid w:val="10172A20"/>
    <w:rsid w:val="10247B85"/>
    <w:rsid w:val="10466E61"/>
    <w:rsid w:val="10521CAA"/>
    <w:rsid w:val="10593038"/>
    <w:rsid w:val="106612B1"/>
    <w:rsid w:val="10675755"/>
    <w:rsid w:val="106B3BDE"/>
    <w:rsid w:val="106D2640"/>
    <w:rsid w:val="107C0AD5"/>
    <w:rsid w:val="10872B54"/>
    <w:rsid w:val="10A73DA4"/>
    <w:rsid w:val="10B14C22"/>
    <w:rsid w:val="10B26681"/>
    <w:rsid w:val="10CD1330"/>
    <w:rsid w:val="10DD2744"/>
    <w:rsid w:val="10DE709A"/>
    <w:rsid w:val="1122342A"/>
    <w:rsid w:val="11477335"/>
    <w:rsid w:val="115455AE"/>
    <w:rsid w:val="11701E76"/>
    <w:rsid w:val="118E6D12"/>
    <w:rsid w:val="1193257A"/>
    <w:rsid w:val="11963E18"/>
    <w:rsid w:val="119D4B10"/>
    <w:rsid w:val="11A6405B"/>
    <w:rsid w:val="11AF4141"/>
    <w:rsid w:val="11B36388"/>
    <w:rsid w:val="11BA7B07"/>
    <w:rsid w:val="11D57309"/>
    <w:rsid w:val="11E06E41"/>
    <w:rsid w:val="11EE77B0"/>
    <w:rsid w:val="11FC3FD4"/>
    <w:rsid w:val="120945EA"/>
    <w:rsid w:val="120E7E53"/>
    <w:rsid w:val="122431D2"/>
    <w:rsid w:val="122A4C8C"/>
    <w:rsid w:val="12687563"/>
    <w:rsid w:val="127B49BD"/>
    <w:rsid w:val="12865C3B"/>
    <w:rsid w:val="129A3494"/>
    <w:rsid w:val="12B91B6C"/>
    <w:rsid w:val="12C95428"/>
    <w:rsid w:val="12CE603E"/>
    <w:rsid w:val="12D2261E"/>
    <w:rsid w:val="12D51DEF"/>
    <w:rsid w:val="12E91839"/>
    <w:rsid w:val="12F232D0"/>
    <w:rsid w:val="130D3C66"/>
    <w:rsid w:val="13174AE5"/>
    <w:rsid w:val="133D454B"/>
    <w:rsid w:val="13522AA8"/>
    <w:rsid w:val="13587361"/>
    <w:rsid w:val="13655217"/>
    <w:rsid w:val="136A10B9"/>
    <w:rsid w:val="13710699"/>
    <w:rsid w:val="13763F01"/>
    <w:rsid w:val="137A6CB0"/>
    <w:rsid w:val="13B440E1"/>
    <w:rsid w:val="13CC58CF"/>
    <w:rsid w:val="13CE7899"/>
    <w:rsid w:val="13DA0C71"/>
    <w:rsid w:val="1424570B"/>
    <w:rsid w:val="14276FAA"/>
    <w:rsid w:val="14331E76"/>
    <w:rsid w:val="143602C1"/>
    <w:rsid w:val="143771ED"/>
    <w:rsid w:val="14643D5A"/>
    <w:rsid w:val="146975C2"/>
    <w:rsid w:val="147C72F5"/>
    <w:rsid w:val="14952165"/>
    <w:rsid w:val="14A679A9"/>
    <w:rsid w:val="14AB7E6A"/>
    <w:rsid w:val="14BB58C7"/>
    <w:rsid w:val="14C30A80"/>
    <w:rsid w:val="14CF5677"/>
    <w:rsid w:val="14DE264A"/>
    <w:rsid w:val="14E153AA"/>
    <w:rsid w:val="14E44445"/>
    <w:rsid w:val="14EB7FD7"/>
    <w:rsid w:val="15035321"/>
    <w:rsid w:val="150F1F18"/>
    <w:rsid w:val="151E5625"/>
    <w:rsid w:val="15211C4B"/>
    <w:rsid w:val="1528122B"/>
    <w:rsid w:val="154047C7"/>
    <w:rsid w:val="155618F4"/>
    <w:rsid w:val="15593193"/>
    <w:rsid w:val="156F0C08"/>
    <w:rsid w:val="15823E47"/>
    <w:rsid w:val="15C745A0"/>
    <w:rsid w:val="15C947BC"/>
    <w:rsid w:val="15CA5E3E"/>
    <w:rsid w:val="15E2587E"/>
    <w:rsid w:val="15EB7A0D"/>
    <w:rsid w:val="15F35395"/>
    <w:rsid w:val="1606156C"/>
    <w:rsid w:val="160F7CF5"/>
    <w:rsid w:val="16204C39"/>
    <w:rsid w:val="162437A1"/>
    <w:rsid w:val="16290DB7"/>
    <w:rsid w:val="162D33AE"/>
    <w:rsid w:val="164817EB"/>
    <w:rsid w:val="1649189C"/>
    <w:rsid w:val="1653052A"/>
    <w:rsid w:val="165FBCCC"/>
    <w:rsid w:val="1675118D"/>
    <w:rsid w:val="168E3310"/>
    <w:rsid w:val="16B26FFE"/>
    <w:rsid w:val="16CB4564"/>
    <w:rsid w:val="16D36F75"/>
    <w:rsid w:val="17012228"/>
    <w:rsid w:val="170D2487"/>
    <w:rsid w:val="170F4451"/>
    <w:rsid w:val="17345D5E"/>
    <w:rsid w:val="1745082F"/>
    <w:rsid w:val="178A1D29"/>
    <w:rsid w:val="17EE2E8F"/>
    <w:rsid w:val="17F760DF"/>
    <w:rsid w:val="18027B12"/>
    <w:rsid w:val="18644328"/>
    <w:rsid w:val="187A7FF0"/>
    <w:rsid w:val="18B34914"/>
    <w:rsid w:val="18DA0A8E"/>
    <w:rsid w:val="18DE1F70"/>
    <w:rsid w:val="18DF60A5"/>
    <w:rsid w:val="18E47998"/>
    <w:rsid w:val="18FC6C57"/>
    <w:rsid w:val="190653E0"/>
    <w:rsid w:val="191E6BCD"/>
    <w:rsid w:val="192835A8"/>
    <w:rsid w:val="192E7C47"/>
    <w:rsid w:val="19397563"/>
    <w:rsid w:val="19445F08"/>
    <w:rsid w:val="194A1770"/>
    <w:rsid w:val="194B4C86"/>
    <w:rsid w:val="195C14A3"/>
    <w:rsid w:val="19600F94"/>
    <w:rsid w:val="196842EC"/>
    <w:rsid w:val="19742C91"/>
    <w:rsid w:val="19946E8F"/>
    <w:rsid w:val="199E386A"/>
    <w:rsid w:val="19A213F5"/>
    <w:rsid w:val="19CF7EC7"/>
    <w:rsid w:val="19DC4392"/>
    <w:rsid w:val="19F327C0"/>
    <w:rsid w:val="1A2975D8"/>
    <w:rsid w:val="1A5D54D3"/>
    <w:rsid w:val="1A6C5716"/>
    <w:rsid w:val="1A766595"/>
    <w:rsid w:val="1ABD2416"/>
    <w:rsid w:val="1AD02CD6"/>
    <w:rsid w:val="1AE41750"/>
    <w:rsid w:val="1B040045"/>
    <w:rsid w:val="1B132AD8"/>
    <w:rsid w:val="1B196182"/>
    <w:rsid w:val="1B391A9C"/>
    <w:rsid w:val="1B3B62FB"/>
    <w:rsid w:val="1B57660F"/>
    <w:rsid w:val="1B5F527B"/>
    <w:rsid w:val="1B841B34"/>
    <w:rsid w:val="1B854266"/>
    <w:rsid w:val="1B8C20A0"/>
    <w:rsid w:val="1B99078D"/>
    <w:rsid w:val="1B9E3FF5"/>
    <w:rsid w:val="1BB36B00"/>
    <w:rsid w:val="1BE7F3C2"/>
    <w:rsid w:val="1BFFB2DA"/>
    <w:rsid w:val="1C266677"/>
    <w:rsid w:val="1C3F526D"/>
    <w:rsid w:val="1C4050AC"/>
    <w:rsid w:val="1C4814E4"/>
    <w:rsid w:val="1C597F1C"/>
    <w:rsid w:val="1C5B3C94"/>
    <w:rsid w:val="1C6012AB"/>
    <w:rsid w:val="1C6568C1"/>
    <w:rsid w:val="1C660D3E"/>
    <w:rsid w:val="1C752FA8"/>
    <w:rsid w:val="1CBA4E5F"/>
    <w:rsid w:val="1CC23D13"/>
    <w:rsid w:val="1CCE090A"/>
    <w:rsid w:val="1CDA78B4"/>
    <w:rsid w:val="1D022859"/>
    <w:rsid w:val="1D1207F7"/>
    <w:rsid w:val="1D14783F"/>
    <w:rsid w:val="1D3F35B6"/>
    <w:rsid w:val="1D532BBD"/>
    <w:rsid w:val="1D74500E"/>
    <w:rsid w:val="1D9B6A3E"/>
    <w:rsid w:val="1DB92157"/>
    <w:rsid w:val="1DBD0DCB"/>
    <w:rsid w:val="1DC15D79"/>
    <w:rsid w:val="1DC85359"/>
    <w:rsid w:val="1DC87107"/>
    <w:rsid w:val="1DE303E5"/>
    <w:rsid w:val="1DFE2E97"/>
    <w:rsid w:val="1E0345E3"/>
    <w:rsid w:val="1E0D7210"/>
    <w:rsid w:val="1E110AAE"/>
    <w:rsid w:val="1E1467F1"/>
    <w:rsid w:val="1E18008F"/>
    <w:rsid w:val="1E1B36DB"/>
    <w:rsid w:val="1E312EFF"/>
    <w:rsid w:val="1E4A5D6E"/>
    <w:rsid w:val="1E543091"/>
    <w:rsid w:val="1E7519B9"/>
    <w:rsid w:val="1E957931"/>
    <w:rsid w:val="1E965458"/>
    <w:rsid w:val="1E984D2C"/>
    <w:rsid w:val="1EB4368D"/>
    <w:rsid w:val="1ECE5937"/>
    <w:rsid w:val="1EDF6DFF"/>
    <w:rsid w:val="1EE32031"/>
    <w:rsid w:val="1EE75CB3"/>
    <w:rsid w:val="1EEB57A3"/>
    <w:rsid w:val="1EEC32CA"/>
    <w:rsid w:val="1F016D75"/>
    <w:rsid w:val="1F0625DD"/>
    <w:rsid w:val="1F0C74C8"/>
    <w:rsid w:val="1F1840BF"/>
    <w:rsid w:val="1F2E5690"/>
    <w:rsid w:val="1F3D58D3"/>
    <w:rsid w:val="1F5A6485"/>
    <w:rsid w:val="1F5F3A9B"/>
    <w:rsid w:val="1F6410B2"/>
    <w:rsid w:val="1F833C2E"/>
    <w:rsid w:val="1F8B1D63"/>
    <w:rsid w:val="1F95570F"/>
    <w:rsid w:val="1FA20A29"/>
    <w:rsid w:val="20000DDB"/>
    <w:rsid w:val="202251F5"/>
    <w:rsid w:val="202919B6"/>
    <w:rsid w:val="2043260B"/>
    <w:rsid w:val="20474C5B"/>
    <w:rsid w:val="208D3C12"/>
    <w:rsid w:val="20DD3991"/>
    <w:rsid w:val="20E029BA"/>
    <w:rsid w:val="20E041CE"/>
    <w:rsid w:val="20ED38F7"/>
    <w:rsid w:val="21937A2C"/>
    <w:rsid w:val="219739C1"/>
    <w:rsid w:val="21A23447"/>
    <w:rsid w:val="21AB121A"/>
    <w:rsid w:val="21B04A82"/>
    <w:rsid w:val="21BE2CFB"/>
    <w:rsid w:val="21C35171"/>
    <w:rsid w:val="21C978F2"/>
    <w:rsid w:val="21D02A2F"/>
    <w:rsid w:val="21EF55AB"/>
    <w:rsid w:val="21F31FA4"/>
    <w:rsid w:val="21FE5C62"/>
    <w:rsid w:val="21FE759C"/>
    <w:rsid w:val="220529A0"/>
    <w:rsid w:val="220B1CB9"/>
    <w:rsid w:val="220F79FB"/>
    <w:rsid w:val="221C3EC6"/>
    <w:rsid w:val="222A0391"/>
    <w:rsid w:val="223A2D60"/>
    <w:rsid w:val="225622DF"/>
    <w:rsid w:val="22625D7D"/>
    <w:rsid w:val="22690B02"/>
    <w:rsid w:val="22761828"/>
    <w:rsid w:val="22905161"/>
    <w:rsid w:val="22A35B34"/>
    <w:rsid w:val="22C00CF5"/>
    <w:rsid w:val="22D4654E"/>
    <w:rsid w:val="22DA1DB7"/>
    <w:rsid w:val="22DB168B"/>
    <w:rsid w:val="22F4274D"/>
    <w:rsid w:val="22FB0D82"/>
    <w:rsid w:val="23076924"/>
    <w:rsid w:val="23160915"/>
    <w:rsid w:val="233A4603"/>
    <w:rsid w:val="233C2FBE"/>
    <w:rsid w:val="234C2A6B"/>
    <w:rsid w:val="2375388E"/>
    <w:rsid w:val="23823D62"/>
    <w:rsid w:val="23CB16FF"/>
    <w:rsid w:val="23E80503"/>
    <w:rsid w:val="23F23130"/>
    <w:rsid w:val="23FC7B0B"/>
    <w:rsid w:val="240778D4"/>
    <w:rsid w:val="2412732E"/>
    <w:rsid w:val="24173588"/>
    <w:rsid w:val="24194B61"/>
    <w:rsid w:val="24521E21"/>
    <w:rsid w:val="24577437"/>
    <w:rsid w:val="24607A68"/>
    <w:rsid w:val="24773635"/>
    <w:rsid w:val="24883A94"/>
    <w:rsid w:val="248F097F"/>
    <w:rsid w:val="249441E7"/>
    <w:rsid w:val="24AD7057"/>
    <w:rsid w:val="24C50845"/>
    <w:rsid w:val="24D11986"/>
    <w:rsid w:val="24F353B2"/>
    <w:rsid w:val="24FB7DC2"/>
    <w:rsid w:val="252235A1"/>
    <w:rsid w:val="253D342C"/>
    <w:rsid w:val="25665B84"/>
    <w:rsid w:val="258A1146"/>
    <w:rsid w:val="258D6C44"/>
    <w:rsid w:val="259D3570"/>
    <w:rsid w:val="25A92E69"/>
    <w:rsid w:val="25AE3087"/>
    <w:rsid w:val="25BA5ED0"/>
    <w:rsid w:val="25CD5C03"/>
    <w:rsid w:val="25D16D75"/>
    <w:rsid w:val="25E1345C"/>
    <w:rsid w:val="26210318"/>
    <w:rsid w:val="26287F9A"/>
    <w:rsid w:val="26301CEE"/>
    <w:rsid w:val="263D5BE1"/>
    <w:rsid w:val="26773DC1"/>
    <w:rsid w:val="269404CF"/>
    <w:rsid w:val="26965165"/>
    <w:rsid w:val="26AA1AA0"/>
    <w:rsid w:val="26C012C4"/>
    <w:rsid w:val="26E157D9"/>
    <w:rsid w:val="27201D62"/>
    <w:rsid w:val="272730F1"/>
    <w:rsid w:val="273B094A"/>
    <w:rsid w:val="2759190F"/>
    <w:rsid w:val="278261EB"/>
    <w:rsid w:val="2787049A"/>
    <w:rsid w:val="278C389C"/>
    <w:rsid w:val="279C5947"/>
    <w:rsid w:val="279D1605"/>
    <w:rsid w:val="27A24E6D"/>
    <w:rsid w:val="27A37A95"/>
    <w:rsid w:val="27B70259"/>
    <w:rsid w:val="27D17500"/>
    <w:rsid w:val="27D52B4D"/>
    <w:rsid w:val="27DA63B5"/>
    <w:rsid w:val="27DE3343"/>
    <w:rsid w:val="27F4193C"/>
    <w:rsid w:val="28081174"/>
    <w:rsid w:val="28321D4D"/>
    <w:rsid w:val="28481571"/>
    <w:rsid w:val="28643ED1"/>
    <w:rsid w:val="28862099"/>
    <w:rsid w:val="289D6624"/>
    <w:rsid w:val="28B135BA"/>
    <w:rsid w:val="28E44026"/>
    <w:rsid w:val="28F371EB"/>
    <w:rsid w:val="28FC235B"/>
    <w:rsid w:val="29023E15"/>
    <w:rsid w:val="29055773"/>
    <w:rsid w:val="29127DD1"/>
    <w:rsid w:val="2915365C"/>
    <w:rsid w:val="29167977"/>
    <w:rsid w:val="293D4E4D"/>
    <w:rsid w:val="296E14AB"/>
    <w:rsid w:val="29752839"/>
    <w:rsid w:val="29787C34"/>
    <w:rsid w:val="297A02F3"/>
    <w:rsid w:val="297A7E50"/>
    <w:rsid w:val="29A808AE"/>
    <w:rsid w:val="29B11398"/>
    <w:rsid w:val="29C15A7E"/>
    <w:rsid w:val="29C72969"/>
    <w:rsid w:val="29C8074C"/>
    <w:rsid w:val="29CD55C0"/>
    <w:rsid w:val="29D564C2"/>
    <w:rsid w:val="29DF7CB3"/>
    <w:rsid w:val="2A1A518F"/>
    <w:rsid w:val="2A2453F2"/>
    <w:rsid w:val="2A381933"/>
    <w:rsid w:val="2A683AA1"/>
    <w:rsid w:val="2ABE5B1A"/>
    <w:rsid w:val="2AC82E3D"/>
    <w:rsid w:val="2ACD3FAF"/>
    <w:rsid w:val="2ADA512F"/>
    <w:rsid w:val="2B1640F0"/>
    <w:rsid w:val="2B1971F4"/>
    <w:rsid w:val="2B591CE7"/>
    <w:rsid w:val="2B5D5D70"/>
    <w:rsid w:val="2B604E23"/>
    <w:rsid w:val="2B875348"/>
    <w:rsid w:val="2B883639"/>
    <w:rsid w:val="2BA47406"/>
    <w:rsid w:val="2BB92785"/>
    <w:rsid w:val="2BC453B2"/>
    <w:rsid w:val="2BD001FB"/>
    <w:rsid w:val="2BD31A99"/>
    <w:rsid w:val="2BDD46C6"/>
    <w:rsid w:val="2BE028D5"/>
    <w:rsid w:val="2BF22D46"/>
    <w:rsid w:val="2C01033F"/>
    <w:rsid w:val="2C0E2AD1"/>
    <w:rsid w:val="2C155C0E"/>
    <w:rsid w:val="2C1A05D9"/>
    <w:rsid w:val="2C1A1476"/>
    <w:rsid w:val="2C1F6A8C"/>
    <w:rsid w:val="2C2E4F21"/>
    <w:rsid w:val="2C3342E6"/>
    <w:rsid w:val="2C712660"/>
    <w:rsid w:val="2C82701B"/>
    <w:rsid w:val="2C9254B0"/>
    <w:rsid w:val="2C98683F"/>
    <w:rsid w:val="2CA64AB8"/>
    <w:rsid w:val="2CB82A3D"/>
    <w:rsid w:val="2CCF5514"/>
    <w:rsid w:val="2CD07D87"/>
    <w:rsid w:val="2D0D0FDB"/>
    <w:rsid w:val="2D241E80"/>
    <w:rsid w:val="2D40315E"/>
    <w:rsid w:val="2D4A5D8B"/>
    <w:rsid w:val="2D4F666C"/>
    <w:rsid w:val="2D5409B8"/>
    <w:rsid w:val="2D5EEA00"/>
    <w:rsid w:val="2D662499"/>
    <w:rsid w:val="2D6867F4"/>
    <w:rsid w:val="2D727090"/>
    <w:rsid w:val="2D740657"/>
    <w:rsid w:val="2D80355B"/>
    <w:rsid w:val="2D8A4A1E"/>
    <w:rsid w:val="2D95464D"/>
    <w:rsid w:val="2D99461C"/>
    <w:rsid w:val="2DD30A3B"/>
    <w:rsid w:val="2DD567E6"/>
    <w:rsid w:val="2DFB3A44"/>
    <w:rsid w:val="2E045F3A"/>
    <w:rsid w:val="2E17533E"/>
    <w:rsid w:val="2E232138"/>
    <w:rsid w:val="2E2A34C6"/>
    <w:rsid w:val="2E3F6F72"/>
    <w:rsid w:val="2E4C5B33"/>
    <w:rsid w:val="2E691A32"/>
    <w:rsid w:val="2E8250B1"/>
    <w:rsid w:val="2E840E29"/>
    <w:rsid w:val="2EB57234"/>
    <w:rsid w:val="2EC90F31"/>
    <w:rsid w:val="2ECE479A"/>
    <w:rsid w:val="2ED578D6"/>
    <w:rsid w:val="2ED973C6"/>
    <w:rsid w:val="2EE95130"/>
    <w:rsid w:val="2EED2E72"/>
    <w:rsid w:val="2F3445FD"/>
    <w:rsid w:val="2F377112"/>
    <w:rsid w:val="2F5C1DA5"/>
    <w:rsid w:val="2F634EE2"/>
    <w:rsid w:val="2F6A44C2"/>
    <w:rsid w:val="2F6C3552"/>
    <w:rsid w:val="2F8530AA"/>
    <w:rsid w:val="2F931569"/>
    <w:rsid w:val="2F9B6BBA"/>
    <w:rsid w:val="2FC11C09"/>
    <w:rsid w:val="2FC82F97"/>
    <w:rsid w:val="2FC92F6E"/>
    <w:rsid w:val="2FDB3F22"/>
    <w:rsid w:val="2FE222AB"/>
    <w:rsid w:val="2FE42670"/>
    <w:rsid w:val="2FF16992"/>
    <w:rsid w:val="30183F1E"/>
    <w:rsid w:val="302F2063"/>
    <w:rsid w:val="304E16EE"/>
    <w:rsid w:val="3058256D"/>
    <w:rsid w:val="30605B09"/>
    <w:rsid w:val="307255A1"/>
    <w:rsid w:val="30760C45"/>
    <w:rsid w:val="308B594F"/>
    <w:rsid w:val="30B55C11"/>
    <w:rsid w:val="30B874AF"/>
    <w:rsid w:val="30BA35CC"/>
    <w:rsid w:val="30BC6FA0"/>
    <w:rsid w:val="30BD0622"/>
    <w:rsid w:val="30D53BBD"/>
    <w:rsid w:val="30E97669"/>
    <w:rsid w:val="30F77FD8"/>
    <w:rsid w:val="31540F86"/>
    <w:rsid w:val="31556AAC"/>
    <w:rsid w:val="315F16D9"/>
    <w:rsid w:val="316D3DD0"/>
    <w:rsid w:val="31753A31"/>
    <w:rsid w:val="3179160B"/>
    <w:rsid w:val="31865C05"/>
    <w:rsid w:val="318B24CE"/>
    <w:rsid w:val="319677F1"/>
    <w:rsid w:val="31A35A6A"/>
    <w:rsid w:val="31B5579D"/>
    <w:rsid w:val="31CD6F8B"/>
    <w:rsid w:val="31FFB5FC"/>
    <w:rsid w:val="3200110E"/>
    <w:rsid w:val="320209E2"/>
    <w:rsid w:val="323808A8"/>
    <w:rsid w:val="325154C6"/>
    <w:rsid w:val="326822C2"/>
    <w:rsid w:val="327318E0"/>
    <w:rsid w:val="32780CA4"/>
    <w:rsid w:val="328E671A"/>
    <w:rsid w:val="32943604"/>
    <w:rsid w:val="329769CA"/>
    <w:rsid w:val="32A10AC2"/>
    <w:rsid w:val="32B37F2E"/>
    <w:rsid w:val="32CE748F"/>
    <w:rsid w:val="32E53E60"/>
    <w:rsid w:val="32FC175E"/>
    <w:rsid w:val="330469DC"/>
    <w:rsid w:val="333C211A"/>
    <w:rsid w:val="334D0383"/>
    <w:rsid w:val="336759CF"/>
    <w:rsid w:val="3381002D"/>
    <w:rsid w:val="33857B1D"/>
    <w:rsid w:val="33997124"/>
    <w:rsid w:val="339F04B3"/>
    <w:rsid w:val="33B50C1F"/>
    <w:rsid w:val="33C06DA7"/>
    <w:rsid w:val="33C9613B"/>
    <w:rsid w:val="33E56A27"/>
    <w:rsid w:val="34034EE6"/>
    <w:rsid w:val="340B78F6"/>
    <w:rsid w:val="341C5AEC"/>
    <w:rsid w:val="3447437E"/>
    <w:rsid w:val="345614B9"/>
    <w:rsid w:val="345B7783"/>
    <w:rsid w:val="34967B08"/>
    <w:rsid w:val="34A915E9"/>
    <w:rsid w:val="34B32468"/>
    <w:rsid w:val="34C603ED"/>
    <w:rsid w:val="34CC52D7"/>
    <w:rsid w:val="34D178A1"/>
    <w:rsid w:val="34D83C7C"/>
    <w:rsid w:val="34DE4374"/>
    <w:rsid w:val="34E22D4D"/>
    <w:rsid w:val="34E26AAD"/>
    <w:rsid w:val="34EC1683"/>
    <w:rsid w:val="35260E8C"/>
    <w:rsid w:val="353177BD"/>
    <w:rsid w:val="353C420B"/>
    <w:rsid w:val="35615E41"/>
    <w:rsid w:val="35647C06"/>
    <w:rsid w:val="357E0CC8"/>
    <w:rsid w:val="3593128D"/>
    <w:rsid w:val="35B19CDC"/>
    <w:rsid w:val="35C16E06"/>
    <w:rsid w:val="360E01D9"/>
    <w:rsid w:val="361C228F"/>
    <w:rsid w:val="36276452"/>
    <w:rsid w:val="36394F7B"/>
    <w:rsid w:val="36483084"/>
    <w:rsid w:val="364E3013"/>
    <w:rsid w:val="364F4412"/>
    <w:rsid w:val="36511F38"/>
    <w:rsid w:val="36546526"/>
    <w:rsid w:val="36783969"/>
    <w:rsid w:val="367C4ADB"/>
    <w:rsid w:val="36931098"/>
    <w:rsid w:val="369F37DF"/>
    <w:rsid w:val="36C73FA8"/>
    <w:rsid w:val="36E5185A"/>
    <w:rsid w:val="36EE3082"/>
    <w:rsid w:val="36F074E0"/>
    <w:rsid w:val="36F445B4"/>
    <w:rsid w:val="36F94E74"/>
    <w:rsid w:val="370645B5"/>
    <w:rsid w:val="37144D14"/>
    <w:rsid w:val="37164F30"/>
    <w:rsid w:val="37296A11"/>
    <w:rsid w:val="373C427D"/>
    <w:rsid w:val="37411FAD"/>
    <w:rsid w:val="375810A4"/>
    <w:rsid w:val="375A7BFF"/>
    <w:rsid w:val="37607F59"/>
    <w:rsid w:val="37700C46"/>
    <w:rsid w:val="37737C8C"/>
    <w:rsid w:val="378400EB"/>
    <w:rsid w:val="379540A7"/>
    <w:rsid w:val="37A10C9D"/>
    <w:rsid w:val="37CD3840"/>
    <w:rsid w:val="37D921E5"/>
    <w:rsid w:val="37EB1F18"/>
    <w:rsid w:val="37FB3710"/>
    <w:rsid w:val="382A7217"/>
    <w:rsid w:val="384B7A46"/>
    <w:rsid w:val="385D37E7"/>
    <w:rsid w:val="38607C8C"/>
    <w:rsid w:val="38657F1D"/>
    <w:rsid w:val="38776D22"/>
    <w:rsid w:val="387F7482"/>
    <w:rsid w:val="3892596C"/>
    <w:rsid w:val="38A10B77"/>
    <w:rsid w:val="38BB18EB"/>
    <w:rsid w:val="38DD5D05"/>
    <w:rsid w:val="38DE382B"/>
    <w:rsid w:val="38DF035C"/>
    <w:rsid w:val="39113C01"/>
    <w:rsid w:val="39161217"/>
    <w:rsid w:val="39162FC5"/>
    <w:rsid w:val="399C796E"/>
    <w:rsid w:val="39A86313"/>
    <w:rsid w:val="39C742BF"/>
    <w:rsid w:val="39D3244C"/>
    <w:rsid w:val="39DC420F"/>
    <w:rsid w:val="3A40479E"/>
    <w:rsid w:val="3A540249"/>
    <w:rsid w:val="3A667F7C"/>
    <w:rsid w:val="3A6C4ACA"/>
    <w:rsid w:val="3A7B21C8"/>
    <w:rsid w:val="3A8723CC"/>
    <w:rsid w:val="3AAA7E69"/>
    <w:rsid w:val="3AC41FA9"/>
    <w:rsid w:val="3ACA050B"/>
    <w:rsid w:val="3ACD479C"/>
    <w:rsid w:val="3AFE2499"/>
    <w:rsid w:val="3B0B2418"/>
    <w:rsid w:val="3B0F23C2"/>
    <w:rsid w:val="3B253993"/>
    <w:rsid w:val="3B4F6A55"/>
    <w:rsid w:val="3B7641EF"/>
    <w:rsid w:val="3B8570BD"/>
    <w:rsid w:val="3BA90120"/>
    <w:rsid w:val="3BAB20EB"/>
    <w:rsid w:val="3BBB257F"/>
    <w:rsid w:val="3BBE7DC1"/>
    <w:rsid w:val="3BDF7FE6"/>
    <w:rsid w:val="3BFC2946"/>
    <w:rsid w:val="3C0812EB"/>
    <w:rsid w:val="3C090BBF"/>
    <w:rsid w:val="3C1F03E3"/>
    <w:rsid w:val="3C2105FF"/>
    <w:rsid w:val="3C3420E0"/>
    <w:rsid w:val="3C44609B"/>
    <w:rsid w:val="3C4E2A76"/>
    <w:rsid w:val="3C5C33E5"/>
    <w:rsid w:val="3C6C68C4"/>
    <w:rsid w:val="3C7B47BA"/>
    <w:rsid w:val="3C7D5A97"/>
    <w:rsid w:val="3C8D17F0"/>
    <w:rsid w:val="3CB054DB"/>
    <w:rsid w:val="3CB44FCF"/>
    <w:rsid w:val="3CB46D7D"/>
    <w:rsid w:val="3CBE0F98"/>
    <w:rsid w:val="3CC01FFC"/>
    <w:rsid w:val="3CC2593E"/>
    <w:rsid w:val="3CC571DC"/>
    <w:rsid w:val="3CC72DC1"/>
    <w:rsid w:val="3CD4741F"/>
    <w:rsid w:val="3CD76F0F"/>
    <w:rsid w:val="3CDE029E"/>
    <w:rsid w:val="3CED228F"/>
    <w:rsid w:val="3CF9DA0D"/>
    <w:rsid w:val="3D0777F5"/>
    <w:rsid w:val="3D0977BB"/>
    <w:rsid w:val="3D0A1093"/>
    <w:rsid w:val="3D1D2B74"/>
    <w:rsid w:val="3D2706B4"/>
    <w:rsid w:val="3D2F0AF9"/>
    <w:rsid w:val="3D7F382F"/>
    <w:rsid w:val="3D843A0B"/>
    <w:rsid w:val="3D853B4F"/>
    <w:rsid w:val="3D8E3A72"/>
    <w:rsid w:val="3D956BAE"/>
    <w:rsid w:val="3D9646D4"/>
    <w:rsid w:val="3DBC2580"/>
    <w:rsid w:val="3DC829ED"/>
    <w:rsid w:val="3DCB0822"/>
    <w:rsid w:val="3DDD0555"/>
    <w:rsid w:val="3DE2791A"/>
    <w:rsid w:val="3DEA68F5"/>
    <w:rsid w:val="3DFD2952"/>
    <w:rsid w:val="3E2B688F"/>
    <w:rsid w:val="3E2D328B"/>
    <w:rsid w:val="3E2E0DB1"/>
    <w:rsid w:val="3E391E19"/>
    <w:rsid w:val="3E3F15CF"/>
    <w:rsid w:val="3E412892"/>
    <w:rsid w:val="3E481E73"/>
    <w:rsid w:val="3E4D56DB"/>
    <w:rsid w:val="3E5500EC"/>
    <w:rsid w:val="3E5A7DF8"/>
    <w:rsid w:val="3E6D7B2B"/>
    <w:rsid w:val="3E7E7594"/>
    <w:rsid w:val="3E7E7642"/>
    <w:rsid w:val="3E845248"/>
    <w:rsid w:val="3E854E75"/>
    <w:rsid w:val="3E8C0261"/>
    <w:rsid w:val="3E8D1F7B"/>
    <w:rsid w:val="3EBA2645"/>
    <w:rsid w:val="3EBA3A53"/>
    <w:rsid w:val="3ED74FA5"/>
    <w:rsid w:val="3EDF3E59"/>
    <w:rsid w:val="3EF5367D"/>
    <w:rsid w:val="3F0C10F2"/>
    <w:rsid w:val="3F0E4183"/>
    <w:rsid w:val="3F1B7587"/>
    <w:rsid w:val="3F205790"/>
    <w:rsid w:val="3F375A43"/>
    <w:rsid w:val="3F4F5483"/>
    <w:rsid w:val="3F544847"/>
    <w:rsid w:val="3F6E5909"/>
    <w:rsid w:val="3F7D7899"/>
    <w:rsid w:val="3F7FAD55"/>
    <w:rsid w:val="3F8769CB"/>
    <w:rsid w:val="3FA27361"/>
    <w:rsid w:val="3FA94B93"/>
    <w:rsid w:val="3FA96941"/>
    <w:rsid w:val="3FB84DD6"/>
    <w:rsid w:val="3FD37E62"/>
    <w:rsid w:val="3FE189F8"/>
    <w:rsid w:val="3FE21E53"/>
    <w:rsid w:val="3FEC4A80"/>
    <w:rsid w:val="3FEE6A4A"/>
    <w:rsid w:val="3FEF78E1"/>
    <w:rsid w:val="3FFF0889"/>
    <w:rsid w:val="3FFF4431"/>
    <w:rsid w:val="40083152"/>
    <w:rsid w:val="400B13AA"/>
    <w:rsid w:val="40155D85"/>
    <w:rsid w:val="40183119"/>
    <w:rsid w:val="405F2F97"/>
    <w:rsid w:val="407C4056"/>
    <w:rsid w:val="40830353"/>
    <w:rsid w:val="40A1586A"/>
    <w:rsid w:val="40AF61D9"/>
    <w:rsid w:val="40C1415E"/>
    <w:rsid w:val="40D0614F"/>
    <w:rsid w:val="40DF0D69"/>
    <w:rsid w:val="40FE0F0E"/>
    <w:rsid w:val="41281AE7"/>
    <w:rsid w:val="412B15D8"/>
    <w:rsid w:val="41313092"/>
    <w:rsid w:val="41326E0A"/>
    <w:rsid w:val="41432DC5"/>
    <w:rsid w:val="41434B73"/>
    <w:rsid w:val="414508EB"/>
    <w:rsid w:val="415A0C9B"/>
    <w:rsid w:val="417711AB"/>
    <w:rsid w:val="418238EE"/>
    <w:rsid w:val="41A82C28"/>
    <w:rsid w:val="41B11ADD"/>
    <w:rsid w:val="41C54A93"/>
    <w:rsid w:val="41D774D7"/>
    <w:rsid w:val="41D81760"/>
    <w:rsid w:val="41D8350E"/>
    <w:rsid w:val="41F06AA9"/>
    <w:rsid w:val="421A58D4"/>
    <w:rsid w:val="42350960"/>
    <w:rsid w:val="424D1364"/>
    <w:rsid w:val="42552DB0"/>
    <w:rsid w:val="42576B28"/>
    <w:rsid w:val="428E1E1E"/>
    <w:rsid w:val="4298064E"/>
    <w:rsid w:val="42A31D6D"/>
    <w:rsid w:val="42AC04F6"/>
    <w:rsid w:val="42BB570A"/>
    <w:rsid w:val="42D26717"/>
    <w:rsid w:val="42E45EE2"/>
    <w:rsid w:val="42F75C15"/>
    <w:rsid w:val="43A252BB"/>
    <w:rsid w:val="43B27D8E"/>
    <w:rsid w:val="43B81849"/>
    <w:rsid w:val="43D47D05"/>
    <w:rsid w:val="43EB0CFC"/>
    <w:rsid w:val="440920A4"/>
    <w:rsid w:val="440D726D"/>
    <w:rsid w:val="441A605F"/>
    <w:rsid w:val="44354C47"/>
    <w:rsid w:val="443F75D7"/>
    <w:rsid w:val="44420F06"/>
    <w:rsid w:val="446E1F07"/>
    <w:rsid w:val="447F2366"/>
    <w:rsid w:val="44961379"/>
    <w:rsid w:val="449657B8"/>
    <w:rsid w:val="449F0313"/>
    <w:rsid w:val="44B75941"/>
    <w:rsid w:val="44C61D43"/>
    <w:rsid w:val="44EB4C42"/>
    <w:rsid w:val="45052815"/>
    <w:rsid w:val="45062140"/>
    <w:rsid w:val="450E5003"/>
    <w:rsid w:val="45405AEC"/>
    <w:rsid w:val="454D7D6F"/>
    <w:rsid w:val="4565155C"/>
    <w:rsid w:val="45703022"/>
    <w:rsid w:val="458319E2"/>
    <w:rsid w:val="458539AC"/>
    <w:rsid w:val="45927E77"/>
    <w:rsid w:val="45A858ED"/>
    <w:rsid w:val="45AE4E7E"/>
    <w:rsid w:val="45B918A8"/>
    <w:rsid w:val="45BE6A33"/>
    <w:rsid w:val="45FB5A1D"/>
    <w:rsid w:val="45FF2EA9"/>
    <w:rsid w:val="460074D7"/>
    <w:rsid w:val="4607616F"/>
    <w:rsid w:val="46082736"/>
    <w:rsid w:val="460A5C60"/>
    <w:rsid w:val="46115240"/>
    <w:rsid w:val="464C0026"/>
    <w:rsid w:val="464E1CAD"/>
    <w:rsid w:val="46713F31"/>
    <w:rsid w:val="467D28D5"/>
    <w:rsid w:val="46873754"/>
    <w:rsid w:val="468B50CB"/>
    <w:rsid w:val="46963997"/>
    <w:rsid w:val="46A47E62"/>
    <w:rsid w:val="46A936CA"/>
    <w:rsid w:val="46C95B1B"/>
    <w:rsid w:val="46E110B6"/>
    <w:rsid w:val="46FE20A2"/>
    <w:rsid w:val="470703F1"/>
    <w:rsid w:val="470807F1"/>
    <w:rsid w:val="470E352E"/>
    <w:rsid w:val="471A0124"/>
    <w:rsid w:val="47460F19"/>
    <w:rsid w:val="474B29D4"/>
    <w:rsid w:val="474D42B3"/>
    <w:rsid w:val="475A05A4"/>
    <w:rsid w:val="47634863"/>
    <w:rsid w:val="477F61D9"/>
    <w:rsid w:val="47971955"/>
    <w:rsid w:val="479A640F"/>
    <w:rsid w:val="47A619B8"/>
    <w:rsid w:val="47A65E5C"/>
    <w:rsid w:val="47BFD7A0"/>
    <w:rsid w:val="47C3256A"/>
    <w:rsid w:val="47CF7161"/>
    <w:rsid w:val="47D604EF"/>
    <w:rsid w:val="47D76015"/>
    <w:rsid w:val="47E81C44"/>
    <w:rsid w:val="47EC7D13"/>
    <w:rsid w:val="47F60B91"/>
    <w:rsid w:val="47F866B8"/>
    <w:rsid w:val="47FC5418"/>
    <w:rsid w:val="483671E0"/>
    <w:rsid w:val="48425B85"/>
    <w:rsid w:val="48474F49"/>
    <w:rsid w:val="486D063D"/>
    <w:rsid w:val="4880045B"/>
    <w:rsid w:val="48805E95"/>
    <w:rsid w:val="488C5052"/>
    <w:rsid w:val="489446E9"/>
    <w:rsid w:val="489839F7"/>
    <w:rsid w:val="48B40105"/>
    <w:rsid w:val="48C12AEC"/>
    <w:rsid w:val="48C22822"/>
    <w:rsid w:val="48E5475B"/>
    <w:rsid w:val="48E94252"/>
    <w:rsid w:val="48EE1869"/>
    <w:rsid w:val="48F36E7F"/>
    <w:rsid w:val="48F826E7"/>
    <w:rsid w:val="49056748"/>
    <w:rsid w:val="4908232A"/>
    <w:rsid w:val="49137521"/>
    <w:rsid w:val="4929171E"/>
    <w:rsid w:val="492B6619"/>
    <w:rsid w:val="494B2817"/>
    <w:rsid w:val="499C3073"/>
    <w:rsid w:val="499E6DEB"/>
    <w:rsid w:val="49C65F8F"/>
    <w:rsid w:val="49D24CE6"/>
    <w:rsid w:val="49E35145"/>
    <w:rsid w:val="49E50EBD"/>
    <w:rsid w:val="49EE4998"/>
    <w:rsid w:val="49F904C5"/>
    <w:rsid w:val="4A086C1A"/>
    <w:rsid w:val="4A0B352C"/>
    <w:rsid w:val="4A30261D"/>
    <w:rsid w:val="4A3300C2"/>
    <w:rsid w:val="4A407EA2"/>
    <w:rsid w:val="4A49144C"/>
    <w:rsid w:val="4A4C61F3"/>
    <w:rsid w:val="4A4F27DB"/>
    <w:rsid w:val="4A4F4589"/>
    <w:rsid w:val="4A5637D9"/>
    <w:rsid w:val="4A8F0E29"/>
    <w:rsid w:val="4AAA5C63"/>
    <w:rsid w:val="4AD30D16"/>
    <w:rsid w:val="4AF36D99"/>
    <w:rsid w:val="4B005883"/>
    <w:rsid w:val="4B0B04B0"/>
    <w:rsid w:val="4B2A660D"/>
    <w:rsid w:val="4B3519D1"/>
    <w:rsid w:val="4B3F0159"/>
    <w:rsid w:val="4B441C14"/>
    <w:rsid w:val="4B4B2FA2"/>
    <w:rsid w:val="4B634A1D"/>
    <w:rsid w:val="4B75001F"/>
    <w:rsid w:val="4B890750"/>
    <w:rsid w:val="4BA10E14"/>
    <w:rsid w:val="4BBB777F"/>
    <w:rsid w:val="4BC62629"/>
    <w:rsid w:val="4BEF1B80"/>
    <w:rsid w:val="4BFE6A3F"/>
    <w:rsid w:val="4C0118B3"/>
    <w:rsid w:val="4C061991"/>
    <w:rsid w:val="4C0D2006"/>
    <w:rsid w:val="4C0D64AA"/>
    <w:rsid w:val="4C1415E6"/>
    <w:rsid w:val="4C166E79"/>
    <w:rsid w:val="4C196BFC"/>
    <w:rsid w:val="4C4A2867"/>
    <w:rsid w:val="4C4F6AC2"/>
    <w:rsid w:val="4C6C1422"/>
    <w:rsid w:val="4C92075D"/>
    <w:rsid w:val="4CCB653D"/>
    <w:rsid w:val="4CDA2572"/>
    <w:rsid w:val="4CEF05C2"/>
    <w:rsid w:val="4D043409"/>
    <w:rsid w:val="4D145493"/>
    <w:rsid w:val="4D362E37"/>
    <w:rsid w:val="4D477799"/>
    <w:rsid w:val="4D682D4A"/>
    <w:rsid w:val="4D73233C"/>
    <w:rsid w:val="4D9F3131"/>
    <w:rsid w:val="4DA370C6"/>
    <w:rsid w:val="4DC332C4"/>
    <w:rsid w:val="4DC96400"/>
    <w:rsid w:val="4E05772B"/>
    <w:rsid w:val="4E3E0822"/>
    <w:rsid w:val="4E52777D"/>
    <w:rsid w:val="4E5722CC"/>
    <w:rsid w:val="4E597784"/>
    <w:rsid w:val="4E5E2FEC"/>
    <w:rsid w:val="4E66521C"/>
    <w:rsid w:val="4EA36C51"/>
    <w:rsid w:val="4EB175C0"/>
    <w:rsid w:val="4EB726FD"/>
    <w:rsid w:val="4EEA0D24"/>
    <w:rsid w:val="4EEA2AD2"/>
    <w:rsid w:val="4F021BCA"/>
    <w:rsid w:val="4F2A1121"/>
    <w:rsid w:val="4F343D4D"/>
    <w:rsid w:val="4F42646A"/>
    <w:rsid w:val="4F454F63"/>
    <w:rsid w:val="4F585C8E"/>
    <w:rsid w:val="4F694583"/>
    <w:rsid w:val="4F7F23C5"/>
    <w:rsid w:val="4F7F2BA1"/>
    <w:rsid w:val="4F7F35E3"/>
    <w:rsid w:val="4F894099"/>
    <w:rsid w:val="4F9ED065"/>
    <w:rsid w:val="4FC13833"/>
    <w:rsid w:val="4FF27E90"/>
    <w:rsid w:val="4FF80240"/>
    <w:rsid w:val="5005587A"/>
    <w:rsid w:val="50267B3A"/>
    <w:rsid w:val="503009B9"/>
    <w:rsid w:val="504601DC"/>
    <w:rsid w:val="506643DA"/>
    <w:rsid w:val="506F328F"/>
    <w:rsid w:val="50C17863"/>
    <w:rsid w:val="51025EB1"/>
    <w:rsid w:val="510559A1"/>
    <w:rsid w:val="510C4F82"/>
    <w:rsid w:val="51136310"/>
    <w:rsid w:val="51142088"/>
    <w:rsid w:val="514B6F83"/>
    <w:rsid w:val="51532BB1"/>
    <w:rsid w:val="51556929"/>
    <w:rsid w:val="51612C25"/>
    <w:rsid w:val="51786173"/>
    <w:rsid w:val="51870AAC"/>
    <w:rsid w:val="51E27A91"/>
    <w:rsid w:val="520420FD"/>
    <w:rsid w:val="523F3135"/>
    <w:rsid w:val="525A582C"/>
    <w:rsid w:val="52662470"/>
    <w:rsid w:val="52770B21"/>
    <w:rsid w:val="52872D74"/>
    <w:rsid w:val="529C40E3"/>
    <w:rsid w:val="52B475C7"/>
    <w:rsid w:val="52B551A5"/>
    <w:rsid w:val="52C75604"/>
    <w:rsid w:val="52CF44B9"/>
    <w:rsid w:val="52D47D21"/>
    <w:rsid w:val="52D675F5"/>
    <w:rsid w:val="52DE0585"/>
    <w:rsid w:val="52EC6E19"/>
    <w:rsid w:val="52ED24FE"/>
    <w:rsid w:val="52F21F55"/>
    <w:rsid w:val="52FC4B82"/>
    <w:rsid w:val="53265E20"/>
    <w:rsid w:val="532F6376"/>
    <w:rsid w:val="535B1AD6"/>
    <w:rsid w:val="53843F3A"/>
    <w:rsid w:val="538C4158"/>
    <w:rsid w:val="539A4AC7"/>
    <w:rsid w:val="53B0534E"/>
    <w:rsid w:val="53B751FF"/>
    <w:rsid w:val="53C25DCC"/>
    <w:rsid w:val="53F00B8B"/>
    <w:rsid w:val="53FD0BB2"/>
    <w:rsid w:val="540463E4"/>
    <w:rsid w:val="54240834"/>
    <w:rsid w:val="542E0C2A"/>
    <w:rsid w:val="54422567"/>
    <w:rsid w:val="54430534"/>
    <w:rsid w:val="544467E1"/>
    <w:rsid w:val="544E765F"/>
    <w:rsid w:val="546F6672"/>
    <w:rsid w:val="547F5A6B"/>
    <w:rsid w:val="548A4B3B"/>
    <w:rsid w:val="549E2395"/>
    <w:rsid w:val="54D36F0C"/>
    <w:rsid w:val="54D9161F"/>
    <w:rsid w:val="552562BC"/>
    <w:rsid w:val="552D54C7"/>
    <w:rsid w:val="55376345"/>
    <w:rsid w:val="5540344C"/>
    <w:rsid w:val="55474366"/>
    <w:rsid w:val="55532D00"/>
    <w:rsid w:val="555869E7"/>
    <w:rsid w:val="555962BC"/>
    <w:rsid w:val="555B64D8"/>
    <w:rsid w:val="555E1B24"/>
    <w:rsid w:val="5583299C"/>
    <w:rsid w:val="558F46A6"/>
    <w:rsid w:val="55911EF9"/>
    <w:rsid w:val="55A03EEB"/>
    <w:rsid w:val="55B75E3D"/>
    <w:rsid w:val="55C71477"/>
    <w:rsid w:val="55C7591B"/>
    <w:rsid w:val="55C951EF"/>
    <w:rsid w:val="55CE2399"/>
    <w:rsid w:val="55D27B78"/>
    <w:rsid w:val="55EE10FA"/>
    <w:rsid w:val="55F75928"/>
    <w:rsid w:val="55FF3F3F"/>
    <w:rsid w:val="560E52F8"/>
    <w:rsid w:val="56130B60"/>
    <w:rsid w:val="56186177"/>
    <w:rsid w:val="561B7A15"/>
    <w:rsid w:val="561F6358"/>
    <w:rsid w:val="563D3E2F"/>
    <w:rsid w:val="56495A4E"/>
    <w:rsid w:val="564B654C"/>
    <w:rsid w:val="56503B63"/>
    <w:rsid w:val="5666168C"/>
    <w:rsid w:val="568B13AB"/>
    <w:rsid w:val="568D26C1"/>
    <w:rsid w:val="569021B1"/>
    <w:rsid w:val="569357FD"/>
    <w:rsid w:val="56A8574D"/>
    <w:rsid w:val="56AB372E"/>
    <w:rsid w:val="56B378C9"/>
    <w:rsid w:val="56D73712"/>
    <w:rsid w:val="56DF0A43"/>
    <w:rsid w:val="56E12A0D"/>
    <w:rsid w:val="56FC15F5"/>
    <w:rsid w:val="57034731"/>
    <w:rsid w:val="57127259"/>
    <w:rsid w:val="571A7727"/>
    <w:rsid w:val="57297951"/>
    <w:rsid w:val="57361328"/>
    <w:rsid w:val="573E39BB"/>
    <w:rsid w:val="577C44E3"/>
    <w:rsid w:val="577E1EFF"/>
    <w:rsid w:val="57A2219C"/>
    <w:rsid w:val="57A557E8"/>
    <w:rsid w:val="57B21375"/>
    <w:rsid w:val="57BE9FB8"/>
    <w:rsid w:val="57CE0281"/>
    <w:rsid w:val="57CE7854"/>
    <w:rsid w:val="57D1482F"/>
    <w:rsid w:val="57DF2BC8"/>
    <w:rsid w:val="57ED286F"/>
    <w:rsid w:val="58005114"/>
    <w:rsid w:val="582B40EF"/>
    <w:rsid w:val="5853282A"/>
    <w:rsid w:val="58627B7D"/>
    <w:rsid w:val="58816255"/>
    <w:rsid w:val="58B73A25"/>
    <w:rsid w:val="58ED511A"/>
    <w:rsid w:val="58F76517"/>
    <w:rsid w:val="58FC58DC"/>
    <w:rsid w:val="59084281"/>
    <w:rsid w:val="590F1AB3"/>
    <w:rsid w:val="59411F8B"/>
    <w:rsid w:val="594850D5"/>
    <w:rsid w:val="59486D73"/>
    <w:rsid w:val="5966544B"/>
    <w:rsid w:val="59765060"/>
    <w:rsid w:val="597F5299"/>
    <w:rsid w:val="59D440D5"/>
    <w:rsid w:val="59D93E6F"/>
    <w:rsid w:val="59DE4FE1"/>
    <w:rsid w:val="59FE56A9"/>
    <w:rsid w:val="5A2275C4"/>
    <w:rsid w:val="5A294C0A"/>
    <w:rsid w:val="5A2B6347"/>
    <w:rsid w:val="5A386DE8"/>
    <w:rsid w:val="5A392FEF"/>
    <w:rsid w:val="5A596C02"/>
    <w:rsid w:val="5A623E64"/>
    <w:rsid w:val="5A64391F"/>
    <w:rsid w:val="5A655703"/>
    <w:rsid w:val="5A877362"/>
    <w:rsid w:val="5A8E4C59"/>
    <w:rsid w:val="5A8E5D57"/>
    <w:rsid w:val="5A9C7376"/>
    <w:rsid w:val="5AB20948"/>
    <w:rsid w:val="5AB462DC"/>
    <w:rsid w:val="5AEE3EEE"/>
    <w:rsid w:val="5AF7B64E"/>
    <w:rsid w:val="5AFC7E15"/>
    <w:rsid w:val="5B0D3DD0"/>
    <w:rsid w:val="5B127639"/>
    <w:rsid w:val="5B321FEA"/>
    <w:rsid w:val="5B345801"/>
    <w:rsid w:val="5B414B3D"/>
    <w:rsid w:val="5B4354F5"/>
    <w:rsid w:val="5B4F7164"/>
    <w:rsid w:val="5B5714EF"/>
    <w:rsid w:val="5B8B65BE"/>
    <w:rsid w:val="5B8F2A37"/>
    <w:rsid w:val="5B90055D"/>
    <w:rsid w:val="5BB16E51"/>
    <w:rsid w:val="5BE521B1"/>
    <w:rsid w:val="5BF22FC6"/>
    <w:rsid w:val="5C311D40"/>
    <w:rsid w:val="5C345A31"/>
    <w:rsid w:val="5C3D2493"/>
    <w:rsid w:val="5CB169DD"/>
    <w:rsid w:val="5CC5085F"/>
    <w:rsid w:val="5CD60393"/>
    <w:rsid w:val="5CE2303B"/>
    <w:rsid w:val="5CF61096"/>
    <w:rsid w:val="5CFD1C22"/>
    <w:rsid w:val="5D421FB9"/>
    <w:rsid w:val="5D4A301F"/>
    <w:rsid w:val="5D63417B"/>
    <w:rsid w:val="5D752101"/>
    <w:rsid w:val="5D9B5847"/>
    <w:rsid w:val="5DC543C6"/>
    <w:rsid w:val="5DCB3ACF"/>
    <w:rsid w:val="5DD31752"/>
    <w:rsid w:val="5E264DEC"/>
    <w:rsid w:val="5E5341F0"/>
    <w:rsid w:val="5E587A58"/>
    <w:rsid w:val="5EAC3900"/>
    <w:rsid w:val="5ECF1B47"/>
    <w:rsid w:val="5ED5642E"/>
    <w:rsid w:val="5EF16819"/>
    <w:rsid w:val="5F1020E1"/>
    <w:rsid w:val="5F3633B1"/>
    <w:rsid w:val="5F37766E"/>
    <w:rsid w:val="5F4B5E7E"/>
    <w:rsid w:val="5F685A79"/>
    <w:rsid w:val="5F725029"/>
    <w:rsid w:val="5F7B6C1B"/>
    <w:rsid w:val="5F8769E9"/>
    <w:rsid w:val="5F8F0F5B"/>
    <w:rsid w:val="5F971C61"/>
    <w:rsid w:val="5F990328"/>
    <w:rsid w:val="5F9E593F"/>
    <w:rsid w:val="5F9E7224"/>
    <w:rsid w:val="5FA26564"/>
    <w:rsid w:val="5FC5111D"/>
    <w:rsid w:val="60031C46"/>
    <w:rsid w:val="602A71D2"/>
    <w:rsid w:val="603040BD"/>
    <w:rsid w:val="603E4A2C"/>
    <w:rsid w:val="60410E05"/>
    <w:rsid w:val="60634492"/>
    <w:rsid w:val="607D5554"/>
    <w:rsid w:val="60820DBC"/>
    <w:rsid w:val="609F131C"/>
    <w:rsid w:val="60A46F85"/>
    <w:rsid w:val="60AF6F50"/>
    <w:rsid w:val="60EB20A4"/>
    <w:rsid w:val="60F02A2F"/>
    <w:rsid w:val="611D0AE5"/>
    <w:rsid w:val="612400C6"/>
    <w:rsid w:val="612E34C6"/>
    <w:rsid w:val="61375ABE"/>
    <w:rsid w:val="61386D43"/>
    <w:rsid w:val="614C0A4F"/>
    <w:rsid w:val="61642FCB"/>
    <w:rsid w:val="61695AD8"/>
    <w:rsid w:val="617C1CB0"/>
    <w:rsid w:val="61826B9A"/>
    <w:rsid w:val="61D5316E"/>
    <w:rsid w:val="61E3588B"/>
    <w:rsid w:val="623F4CF9"/>
    <w:rsid w:val="62402CDD"/>
    <w:rsid w:val="624309B2"/>
    <w:rsid w:val="625649E2"/>
    <w:rsid w:val="625E13B5"/>
    <w:rsid w:val="62634C1E"/>
    <w:rsid w:val="62704A45"/>
    <w:rsid w:val="62713A30"/>
    <w:rsid w:val="627D5CDF"/>
    <w:rsid w:val="62A7266F"/>
    <w:rsid w:val="62AE40EB"/>
    <w:rsid w:val="62E278F0"/>
    <w:rsid w:val="62F7BA86"/>
    <w:rsid w:val="63495BC1"/>
    <w:rsid w:val="63512CC8"/>
    <w:rsid w:val="635C309D"/>
    <w:rsid w:val="637A221F"/>
    <w:rsid w:val="63A86D8C"/>
    <w:rsid w:val="63C65464"/>
    <w:rsid w:val="63E15DFA"/>
    <w:rsid w:val="63F7386F"/>
    <w:rsid w:val="63FE166A"/>
    <w:rsid w:val="640E0111"/>
    <w:rsid w:val="641307EF"/>
    <w:rsid w:val="64343931"/>
    <w:rsid w:val="64436AB5"/>
    <w:rsid w:val="64890783"/>
    <w:rsid w:val="648C220A"/>
    <w:rsid w:val="648E30E9"/>
    <w:rsid w:val="64970BAF"/>
    <w:rsid w:val="64A86918"/>
    <w:rsid w:val="64C80D68"/>
    <w:rsid w:val="64C9520C"/>
    <w:rsid w:val="64E262CE"/>
    <w:rsid w:val="65193FA2"/>
    <w:rsid w:val="651A1EAC"/>
    <w:rsid w:val="65202952"/>
    <w:rsid w:val="65407929"/>
    <w:rsid w:val="6542451A"/>
    <w:rsid w:val="65442AE4"/>
    <w:rsid w:val="655645C6"/>
    <w:rsid w:val="658729D1"/>
    <w:rsid w:val="65913850"/>
    <w:rsid w:val="659F7D1B"/>
    <w:rsid w:val="65AE4402"/>
    <w:rsid w:val="65CB0B10"/>
    <w:rsid w:val="65CE0600"/>
    <w:rsid w:val="65D200F0"/>
    <w:rsid w:val="65E47E23"/>
    <w:rsid w:val="65F004D2"/>
    <w:rsid w:val="65F362B8"/>
    <w:rsid w:val="65FA31A3"/>
    <w:rsid w:val="660D707D"/>
    <w:rsid w:val="661C136B"/>
    <w:rsid w:val="66263F98"/>
    <w:rsid w:val="662A1850"/>
    <w:rsid w:val="662F5543"/>
    <w:rsid w:val="66304E17"/>
    <w:rsid w:val="663F14FE"/>
    <w:rsid w:val="664803B2"/>
    <w:rsid w:val="664E50BC"/>
    <w:rsid w:val="666920D7"/>
    <w:rsid w:val="669B6734"/>
    <w:rsid w:val="66A6332B"/>
    <w:rsid w:val="66D25ECE"/>
    <w:rsid w:val="671637FC"/>
    <w:rsid w:val="672524A2"/>
    <w:rsid w:val="672901E4"/>
    <w:rsid w:val="672F1572"/>
    <w:rsid w:val="672F91F1"/>
    <w:rsid w:val="673431F2"/>
    <w:rsid w:val="67396032"/>
    <w:rsid w:val="675A65EF"/>
    <w:rsid w:val="6769161D"/>
    <w:rsid w:val="676A25AA"/>
    <w:rsid w:val="67704073"/>
    <w:rsid w:val="679F4002"/>
    <w:rsid w:val="67BD7633"/>
    <w:rsid w:val="67C43A69"/>
    <w:rsid w:val="67C66AF1"/>
    <w:rsid w:val="67F67F0B"/>
    <w:rsid w:val="68012F0F"/>
    <w:rsid w:val="680A4827"/>
    <w:rsid w:val="68187DB3"/>
    <w:rsid w:val="68464643"/>
    <w:rsid w:val="68531BC8"/>
    <w:rsid w:val="685D16DD"/>
    <w:rsid w:val="68660FC4"/>
    <w:rsid w:val="686D2352"/>
    <w:rsid w:val="68741C6C"/>
    <w:rsid w:val="68792325"/>
    <w:rsid w:val="6885769C"/>
    <w:rsid w:val="68906041"/>
    <w:rsid w:val="68B40560"/>
    <w:rsid w:val="68C22DEE"/>
    <w:rsid w:val="68DD74D8"/>
    <w:rsid w:val="68E048D2"/>
    <w:rsid w:val="68F07404"/>
    <w:rsid w:val="68F9212E"/>
    <w:rsid w:val="690802CD"/>
    <w:rsid w:val="69083E29"/>
    <w:rsid w:val="690A7BA1"/>
    <w:rsid w:val="691E3DD6"/>
    <w:rsid w:val="69252C2D"/>
    <w:rsid w:val="69527E32"/>
    <w:rsid w:val="69623539"/>
    <w:rsid w:val="696A6892"/>
    <w:rsid w:val="699E02E9"/>
    <w:rsid w:val="69AA3132"/>
    <w:rsid w:val="69AC0C58"/>
    <w:rsid w:val="69B30239"/>
    <w:rsid w:val="69B803FA"/>
    <w:rsid w:val="69CF4947"/>
    <w:rsid w:val="69D9262A"/>
    <w:rsid w:val="69DA1D9A"/>
    <w:rsid w:val="69DB32EB"/>
    <w:rsid w:val="69F23D96"/>
    <w:rsid w:val="6A0E05BE"/>
    <w:rsid w:val="6A0E546F"/>
    <w:rsid w:val="6A484E25"/>
    <w:rsid w:val="6A5419CE"/>
    <w:rsid w:val="6A633A0D"/>
    <w:rsid w:val="6A6B0B13"/>
    <w:rsid w:val="6A77474D"/>
    <w:rsid w:val="6A7C04E9"/>
    <w:rsid w:val="6AA933EA"/>
    <w:rsid w:val="6AD761A9"/>
    <w:rsid w:val="6AE14931"/>
    <w:rsid w:val="6B0C5E52"/>
    <w:rsid w:val="6B296741"/>
    <w:rsid w:val="6B2C05AD"/>
    <w:rsid w:val="6B4078AA"/>
    <w:rsid w:val="6B571085"/>
    <w:rsid w:val="6B5E2426"/>
    <w:rsid w:val="6B792DBC"/>
    <w:rsid w:val="6B7E6624"/>
    <w:rsid w:val="6B851761"/>
    <w:rsid w:val="6BA442DD"/>
    <w:rsid w:val="6BAE6F0A"/>
    <w:rsid w:val="6BD12D68"/>
    <w:rsid w:val="6BDB75D3"/>
    <w:rsid w:val="6BFA6658"/>
    <w:rsid w:val="6C012349"/>
    <w:rsid w:val="6C2471CC"/>
    <w:rsid w:val="6C256AA0"/>
    <w:rsid w:val="6C2B2308"/>
    <w:rsid w:val="6C2B67AC"/>
    <w:rsid w:val="6C2E1760"/>
    <w:rsid w:val="6C4B23BA"/>
    <w:rsid w:val="6C5F6456"/>
    <w:rsid w:val="6C88775B"/>
    <w:rsid w:val="6C8D3167"/>
    <w:rsid w:val="6C907761"/>
    <w:rsid w:val="6C9205D9"/>
    <w:rsid w:val="6D0B213A"/>
    <w:rsid w:val="6D3A657B"/>
    <w:rsid w:val="6D433682"/>
    <w:rsid w:val="6D77332B"/>
    <w:rsid w:val="6D930013"/>
    <w:rsid w:val="6D965EA7"/>
    <w:rsid w:val="6DC81DD9"/>
    <w:rsid w:val="6DE95936"/>
    <w:rsid w:val="6DEF3809"/>
    <w:rsid w:val="6E4A0A40"/>
    <w:rsid w:val="6E53323C"/>
    <w:rsid w:val="6E58315D"/>
    <w:rsid w:val="6E6B2E90"/>
    <w:rsid w:val="6E6C6C08"/>
    <w:rsid w:val="6E7361E8"/>
    <w:rsid w:val="6E910CC8"/>
    <w:rsid w:val="6EAC5256"/>
    <w:rsid w:val="6EC24A7A"/>
    <w:rsid w:val="6EC66318"/>
    <w:rsid w:val="6ED30A35"/>
    <w:rsid w:val="6EE175F6"/>
    <w:rsid w:val="6EE42C42"/>
    <w:rsid w:val="6EEF3E9B"/>
    <w:rsid w:val="6F0137F4"/>
    <w:rsid w:val="6F2A2D4B"/>
    <w:rsid w:val="6F377216"/>
    <w:rsid w:val="6F435BBB"/>
    <w:rsid w:val="6F484F7F"/>
    <w:rsid w:val="6F6F075E"/>
    <w:rsid w:val="6F76453C"/>
    <w:rsid w:val="6F9E1043"/>
    <w:rsid w:val="6FCA1E38"/>
    <w:rsid w:val="6FD72608"/>
    <w:rsid w:val="6FDB2297"/>
    <w:rsid w:val="6FFBFF68"/>
    <w:rsid w:val="6FFF43E2"/>
    <w:rsid w:val="70115CB9"/>
    <w:rsid w:val="70143B2C"/>
    <w:rsid w:val="701A312B"/>
    <w:rsid w:val="702A4611"/>
    <w:rsid w:val="70323176"/>
    <w:rsid w:val="704C651B"/>
    <w:rsid w:val="704F233D"/>
    <w:rsid w:val="70903082"/>
    <w:rsid w:val="709B5583"/>
    <w:rsid w:val="70A42689"/>
    <w:rsid w:val="70AB08F7"/>
    <w:rsid w:val="70D56CE6"/>
    <w:rsid w:val="712437CA"/>
    <w:rsid w:val="714E5FA0"/>
    <w:rsid w:val="71566079"/>
    <w:rsid w:val="715F2A54"/>
    <w:rsid w:val="71602BAD"/>
    <w:rsid w:val="71632544"/>
    <w:rsid w:val="717A163C"/>
    <w:rsid w:val="7189669A"/>
    <w:rsid w:val="71A60683"/>
    <w:rsid w:val="71D11051"/>
    <w:rsid w:val="71E511AB"/>
    <w:rsid w:val="71ED62B2"/>
    <w:rsid w:val="7214383E"/>
    <w:rsid w:val="723D4B43"/>
    <w:rsid w:val="724063E2"/>
    <w:rsid w:val="726B688F"/>
    <w:rsid w:val="727F51C7"/>
    <w:rsid w:val="729055BB"/>
    <w:rsid w:val="729577D6"/>
    <w:rsid w:val="72BB015E"/>
    <w:rsid w:val="72C15774"/>
    <w:rsid w:val="72CF56FC"/>
    <w:rsid w:val="72D440E1"/>
    <w:rsid w:val="72D62670"/>
    <w:rsid w:val="72F54B1D"/>
    <w:rsid w:val="730A29E0"/>
    <w:rsid w:val="732B52E4"/>
    <w:rsid w:val="73AF7CC3"/>
    <w:rsid w:val="73BFDB37"/>
    <w:rsid w:val="73C117A4"/>
    <w:rsid w:val="73CC6855"/>
    <w:rsid w:val="73E13BF4"/>
    <w:rsid w:val="73EE6EDE"/>
    <w:rsid w:val="74017DF2"/>
    <w:rsid w:val="7402235F"/>
    <w:rsid w:val="74123DAE"/>
    <w:rsid w:val="74443E74"/>
    <w:rsid w:val="74471CA9"/>
    <w:rsid w:val="74561EEC"/>
    <w:rsid w:val="745A5011"/>
    <w:rsid w:val="746960C4"/>
    <w:rsid w:val="748F53FE"/>
    <w:rsid w:val="74C4779E"/>
    <w:rsid w:val="74C72DEA"/>
    <w:rsid w:val="74E522B4"/>
    <w:rsid w:val="75153B55"/>
    <w:rsid w:val="75483F2B"/>
    <w:rsid w:val="75556648"/>
    <w:rsid w:val="755F3023"/>
    <w:rsid w:val="757840E4"/>
    <w:rsid w:val="75874327"/>
    <w:rsid w:val="75986535"/>
    <w:rsid w:val="75A03D67"/>
    <w:rsid w:val="75B4336E"/>
    <w:rsid w:val="75C759A2"/>
    <w:rsid w:val="75CA0DE4"/>
    <w:rsid w:val="75DA47EA"/>
    <w:rsid w:val="75DF4163"/>
    <w:rsid w:val="75E44E88"/>
    <w:rsid w:val="76303CED"/>
    <w:rsid w:val="763B39FC"/>
    <w:rsid w:val="764203A2"/>
    <w:rsid w:val="765B5EE0"/>
    <w:rsid w:val="7682346D"/>
    <w:rsid w:val="768A2321"/>
    <w:rsid w:val="76C7C6C6"/>
    <w:rsid w:val="76DD4B47"/>
    <w:rsid w:val="76FE6A05"/>
    <w:rsid w:val="77161E07"/>
    <w:rsid w:val="77316227"/>
    <w:rsid w:val="773A5AF5"/>
    <w:rsid w:val="773C3B52"/>
    <w:rsid w:val="778356EE"/>
    <w:rsid w:val="77893F78"/>
    <w:rsid w:val="779A47E6"/>
    <w:rsid w:val="77BE6726"/>
    <w:rsid w:val="77DA7E19"/>
    <w:rsid w:val="77DA7FD5"/>
    <w:rsid w:val="77DB04CA"/>
    <w:rsid w:val="77F951E6"/>
    <w:rsid w:val="77FD47C8"/>
    <w:rsid w:val="780600CD"/>
    <w:rsid w:val="780D6694"/>
    <w:rsid w:val="781520BE"/>
    <w:rsid w:val="781F1923"/>
    <w:rsid w:val="784D1858"/>
    <w:rsid w:val="78794013"/>
    <w:rsid w:val="787C0EFC"/>
    <w:rsid w:val="78A41DE7"/>
    <w:rsid w:val="78AD27C2"/>
    <w:rsid w:val="78B53160"/>
    <w:rsid w:val="78D34F15"/>
    <w:rsid w:val="78DA7EF9"/>
    <w:rsid w:val="78E24696"/>
    <w:rsid w:val="78EF46BD"/>
    <w:rsid w:val="7908420F"/>
    <w:rsid w:val="79294073"/>
    <w:rsid w:val="79490708"/>
    <w:rsid w:val="796432FD"/>
    <w:rsid w:val="79757554"/>
    <w:rsid w:val="79984D55"/>
    <w:rsid w:val="79A149AA"/>
    <w:rsid w:val="79EA1A55"/>
    <w:rsid w:val="79F63002"/>
    <w:rsid w:val="79F9E588"/>
    <w:rsid w:val="79FD57A8"/>
    <w:rsid w:val="79FE55F7"/>
    <w:rsid w:val="7A2B7977"/>
    <w:rsid w:val="7A5332FA"/>
    <w:rsid w:val="7A545120"/>
    <w:rsid w:val="7A682979"/>
    <w:rsid w:val="7A7672D8"/>
    <w:rsid w:val="7AAB11D5"/>
    <w:rsid w:val="7AC2652D"/>
    <w:rsid w:val="7AC878BC"/>
    <w:rsid w:val="7AD78F40"/>
    <w:rsid w:val="7AF80F26"/>
    <w:rsid w:val="7AFA73D3"/>
    <w:rsid w:val="7B04644A"/>
    <w:rsid w:val="7B1146BC"/>
    <w:rsid w:val="7B15C896"/>
    <w:rsid w:val="7B3B008E"/>
    <w:rsid w:val="7B3D3E06"/>
    <w:rsid w:val="7B3F5288"/>
    <w:rsid w:val="7B4A57A5"/>
    <w:rsid w:val="7B5F3D7C"/>
    <w:rsid w:val="7B695122"/>
    <w:rsid w:val="7B6C2651"/>
    <w:rsid w:val="7B6E2211"/>
    <w:rsid w:val="7B937ECA"/>
    <w:rsid w:val="7B94431E"/>
    <w:rsid w:val="7BB8348D"/>
    <w:rsid w:val="7BCB31C0"/>
    <w:rsid w:val="7BD04C7A"/>
    <w:rsid w:val="7BDB10D3"/>
    <w:rsid w:val="7BDC717B"/>
    <w:rsid w:val="7BF24BF0"/>
    <w:rsid w:val="7BF97C74"/>
    <w:rsid w:val="7BFF4A94"/>
    <w:rsid w:val="7C122B9D"/>
    <w:rsid w:val="7C21168E"/>
    <w:rsid w:val="7C2D79D7"/>
    <w:rsid w:val="7C384C81"/>
    <w:rsid w:val="7C3C5E6C"/>
    <w:rsid w:val="7C4F3DF1"/>
    <w:rsid w:val="7C6B6751"/>
    <w:rsid w:val="7C99506C"/>
    <w:rsid w:val="7C9A0DE4"/>
    <w:rsid w:val="7CB63E70"/>
    <w:rsid w:val="7D0050EB"/>
    <w:rsid w:val="7D052701"/>
    <w:rsid w:val="7D0821F2"/>
    <w:rsid w:val="7D2A660C"/>
    <w:rsid w:val="7D3905FD"/>
    <w:rsid w:val="7D3A493C"/>
    <w:rsid w:val="7D5D253D"/>
    <w:rsid w:val="7D627B54"/>
    <w:rsid w:val="7D6733BC"/>
    <w:rsid w:val="7D6FC535"/>
    <w:rsid w:val="7D711B45"/>
    <w:rsid w:val="7D7B6E68"/>
    <w:rsid w:val="7D8F0DC4"/>
    <w:rsid w:val="7D910439"/>
    <w:rsid w:val="7D951CD7"/>
    <w:rsid w:val="7D965A4F"/>
    <w:rsid w:val="7D9BF8E4"/>
    <w:rsid w:val="7DAE2D99"/>
    <w:rsid w:val="7DC87ACC"/>
    <w:rsid w:val="7DD45BE4"/>
    <w:rsid w:val="7DDB16B4"/>
    <w:rsid w:val="7DEF6F7A"/>
    <w:rsid w:val="7DF196BA"/>
    <w:rsid w:val="7DFF53A3"/>
    <w:rsid w:val="7E0E3838"/>
    <w:rsid w:val="7E1150D6"/>
    <w:rsid w:val="7E176B90"/>
    <w:rsid w:val="7E1F77F3"/>
    <w:rsid w:val="7E2B43EA"/>
    <w:rsid w:val="7E2B6198"/>
    <w:rsid w:val="7E335196"/>
    <w:rsid w:val="7E421268"/>
    <w:rsid w:val="7E762DB4"/>
    <w:rsid w:val="7E775881"/>
    <w:rsid w:val="7E7849F4"/>
    <w:rsid w:val="7E971A7F"/>
    <w:rsid w:val="7EAA7A04"/>
    <w:rsid w:val="7EB048EF"/>
    <w:rsid w:val="7EBBCE01"/>
    <w:rsid w:val="7ED56104"/>
    <w:rsid w:val="7EDA196C"/>
    <w:rsid w:val="7EED78F1"/>
    <w:rsid w:val="7EEFC3BE"/>
    <w:rsid w:val="7EF667A6"/>
    <w:rsid w:val="7EFF628E"/>
    <w:rsid w:val="7F0013D2"/>
    <w:rsid w:val="7F01339C"/>
    <w:rsid w:val="7F1A4CA9"/>
    <w:rsid w:val="7F231565"/>
    <w:rsid w:val="7F323556"/>
    <w:rsid w:val="7F7E679B"/>
    <w:rsid w:val="7F7F02B2"/>
    <w:rsid w:val="7F8F6BFA"/>
    <w:rsid w:val="7FBD23D3"/>
    <w:rsid w:val="7FCC5758"/>
    <w:rsid w:val="7FEF379B"/>
    <w:rsid w:val="7FF55985"/>
    <w:rsid w:val="7FF5C774"/>
    <w:rsid w:val="7FF5D22B"/>
    <w:rsid w:val="7FF7B35D"/>
    <w:rsid w:val="7FF99C69"/>
    <w:rsid w:val="7FFA72BF"/>
    <w:rsid w:val="9DDF6F6C"/>
    <w:rsid w:val="AB7F801D"/>
    <w:rsid w:val="ACF7B116"/>
    <w:rsid w:val="AD5F9330"/>
    <w:rsid w:val="B6FBFAE9"/>
    <w:rsid w:val="BBCFEDFC"/>
    <w:rsid w:val="BDCE04B0"/>
    <w:rsid w:val="BDD6BF1C"/>
    <w:rsid w:val="BDFF046E"/>
    <w:rsid w:val="BF5B819C"/>
    <w:rsid w:val="BF87F8C9"/>
    <w:rsid w:val="BFB7D7FD"/>
    <w:rsid w:val="BFFF9FFC"/>
    <w:rsid w:val="C7FB792A"/>
    <w:rsid w:val="C8590990"/>
    <w:rsid w:val="D3F995AF"/>
    <w:rsid w:val="D71E3D35"/>
    <w:rsid w:val="D7DFC8CC"/>
    <w:rsid w:val="DBDDF183"/>
    <w:rsid w:val="DBDF51B0"/>
    <w:rsid w:val="DD6D4F19"/>
    <w:rsid w:val="DDDE991E"/>
    <w:rsid w:val="DDFD7059"/>
    <w:rsid w:val="DFB68A56"/>
    <w:rsid w:val="DFFF16FD"/>
    <w:rsid w:val="E767B301"/>
    <w:rsid w:val="E7F207A1"/>
    <w:rsid w:val="EB76DFA6"/>
    <w:rsid w:val="EBFDAECC"/>
    <w:rsid w:val="EC7EEED4"/>
    <w:rsid w:val="ED6EF746"/>
    <w:rsid w:val="EEE67402"/>
    <w:rsid w:val="EFE6DCDE"/>
    <w:rsid w:val="EFE9B306"/>
    <w:rsid w:val="EFEB23CC"/>
    <w:rsid w:val="EFED7D1D"/>
    <w:rsid w:val="F36F6918"/>
    <w:rsid w:val="F5770F10"/>
    <w:rsid w:val="F57EDFE2"/>
    <w:rsid w:val="F5FFD446"/>
    <w:rsid w:val="F6C7003E"/>
    <w:rsid w:val="F6FB068E"/>
    <w:rsid w:val="F71F11D5"/>
    <w:rsid w:val="F7C9ECBF"/>
    <w:rsid w:val="F7FF9D61"/>
    <w:rsid w:val="F8FDD4FF"/>
    <w:rsid w:val="FAA3803C"/>
    <w:rsid w:val="FACFAF7F"/>
    <w:rsid w:val="FB7B2B39"/>
    <w:rsid w:val="FB7B679B"/>
    <w:rsid w:val="FBADC47E"/>
    <w:rsid w:val="FBBF1462"/>
    <w:rsid w:val="FBED4322"/>
    <w:rsid w:val="FBF9EA15"/>
    <w:rsid w:val="FEDBF9B4"/>
    <w:rsid w:val="FEED175D"/>
    <w:rsid w:val="FEFE6A5D"/>
    <w:rsid w:val="FF1C9903"/>
    <w:rsid w:val="FF5F4483"/>
    <w:rsid w:val="FF7B1E8E"/>
    <w:rsid w:val="FF7ED876"/>
    <w:rsid w:val="FFDFC184"/>
    <w:rsid w:val="FFDFC73D"/>
    <w:rsid w:val="FFF44789"/>
    <w:rsid w:val="FFF9B2DB"/>
    <w:rsid w:val="FFF9E8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600" w:lineRule="exact"/>
      <w:ind w:firstLine="720" w:firstLineChars="200"/>
      <w:jc w:val="both"/>
    </w:pPr>
    <w:rPr>
      <w:rFonts w:eastAsia="仿宋_GB2312" w:asciiTheme="minorHAnsi" w:hAnsiTheme="minorHAnsi" w:cstheme="minorBidi"/>
      <w:kern w:val="2"/>
      <w:sz w:val="32"/>
      <w:szCs w:val="24"/>
      <w:lang w:val="en-US" w:eastAsia="zh-CN" w:bidi="ar-SA"/>
    </w:rPr>
  </w:style>
  <w:style w:type="paragraph" w:styleId="3">
    <w:name w:val="heading 1"/>
    <w:basedOn w:val="1"/>
    <w:next w:val="1"/>
    <w:link w:val="35"/>
    <w:qFormat/>
    <w:uiPriority w:val="0"/>
    <w:pPr>
      <w:keepNext/>
      <w:keepLines/>
      <w:ind w:firstLine="0" w:firstLineChars="0"/>
      <w:jc w:val="center"/>
      <w:outlineLvl w:val="0"/>
    </w:pPr>
    <w:rPr>
      <w:rFonts w:eastAsia="黑体"/>
      <w:kern w:val="44"/>
      <w:sz w:val="36"/>
    </w:rPr>
  </w:style>
  <w:style w:type="paragraph" w:styleId="4">
    <w:name w:val="heading 2"/>
    <w:basedOn w:val="1"/>
    <w:next w:val="1"/>
    <w:link w:val="36"/>
    <w:unhideWhenUsed/>
    <w:qFormat/>
    <w:uiPriority w:val="0"/>
    <w:pPr>
      <w:keepNext/>
      <w:keepLines/>
      <w:spacing w:before="50" w:beforeLines="50" w:after="50" w:afterLines="50"/>
      <w:ind w:firstLine="0" w:firstLineChars="0"/>
      <w:jc w:val="center"/>
      <w:outlineLvl w:val="1"/>
    </w:pPr>
    <w:rPr>
      <w:rFonts w:ascii="Arial" w:hAnsi="Arial" w:eastAsia="楷体_GB2312"/>
      <w:b/>
    </w:rPr>
  </w:style>
  <w:style w:type="paragraph" w:styleId="5">
    <w:name w:val="heading 3"/>
    <w:basedOn w:val="1"/>
    <w:next w:val="1"/>
    <w:unhideWhenUsed/>
    <w:qFormat/>
    <w:uiPriority w:val="0"/>
    <w:pPr>
      <w:spacing w:before="20" w:beforeLines="20" w:after="20" w:afterLines="20"/>
      <w:ind w:firstLine="0" w:firstLineChars="0"/>
      <w:jc w:val="center"/>
      <w:outlineLvl w:val="2"/>
    </w:pPr>
    <w:rPr>
      <w:rFonts w:ascii="Times New Roman" w:hAnsi="Times New Roman" w:eastAsia="楷体_GB2312"/>
      <w:b/>
    </w:rPr>
  </w:style>
  <w:style w:type="paragraph" w:styleId="6">
    <w:name w:val="heading 4"/>
    <w:basedOn w:val="1"/>
    <w:next w:val="1"/>
    <w:semiHidden/>
    <w:unhideWhenUsed/>
    <w:qFormat/>
    <w:uiPriority w:val="0"/>
    <w:pPr>
      <w:keepNext/>
      <w:keepLines/>
      <w:numPr>
        <w:ilvl w:val="3"/>
        <w:numId w:val="1"/>
      </w:numPr>
      <w:jc w:val="left"/>
      <w:outlineLvl w:val="3"/>
    </w:pPr>
    <w:rPr>
      <w:rFonts w:ascii="Arial" w:hAnsi="Arial"/>
      <w:b/>
    </w:rPr>
  </w:style>
  <w:style w:type="paragraph" w:styleId="7">
    <w:name w:val="heading 5"/>
    <w:basedOn w:val="1"/>
    <w:next w:val="1"/>
    <w:semiHidden/>
    <w:unhideWhenUsed/>
    <w:qFormat/>
    <w:uiPriority w:val="0"/>
    <w:pPr>
      <w:keepNext/>
      <w:keepLines/>
      <w:spacing w:before="280" w:after="290" w:line="376" w:lineRule="auto"/>
      <w:outlineLvl w:val="4"/>
    </w:pPr>
    <w:rPr>
      <w:b/>
      <w:bCs/>
      <w:sz w:val="28"/>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Heading3"/>
    <w:basedOn w:val="1"/>
    <w:next w:val="1"/>
    <w:qFormat/>
    <w:uiPriority w:val="0"/>
    <w:pPr>
      <w:spacing w:line="360" w:lineRule="auto"/>
      <w:ind w:firstLine="480"/>
      <w:textAlignment w:val="baseline"/>
    </w:pPr>
    <w:rPr>
      <w:rFonts w:ascii="Calibri" w:hAnsi="Calibri" w:eastAsia="仿宋_GB2312" w:cs="等线"/>
    </w:rPr>
  </w:style>
  <w:style w:type="paragraph" w:styleId="8">
    <w:name w:val="table of authorities"/>
    <w:basedOn w:val="1"/>
    <w:next w:val="1"/>
    <w:unhideWhenUsed/>
    <w:qFormat/>
    <w:uiPriority w:val="99"/>
    <w:pPr>
      <w:ind w:left="420" w:leftChars="200"/>
    </w:pPr>
  </w:style>
  <w:style w:type="paragraph" w:styleId="9">
    <w:name w:val="Normal Indent"/>
    <w:basedOn w:val="1"/>
    <w:qFormat/>
    <w:uiPriority w:val="0"/>
    <w:pPr>
      <w:suppressAutoHyphens/>
      <w:ind w:firstLine="420"/>
    </w:pPr>
    <w:rPr>
      <w:rFonts w:ascii="Calibri" w:hAnsi="Calibri" w:eastAsia="宋体" w:cs="Times New Roman"/>
      <w:sz w:val="21"/>
      <w:szCs w:val="22"/>
    </w:rPr>
  </w:style>
  <w:style w:type="paragraph" w:styleId="10">
    <w:name w:val="Body Text"/>
    <w:basedOn w:val="1"/>
    <w:link w:val="41"/>
    <w:qFormat/>
    <w:uiPriority w:val="0"/>
    <w:pPr>
      <w:spacing w:after="120"/>
    </w:pPr>
  </w:style>
  <w:style w:type="paragraph" w:styleId="11">
    <w:name w:val="Body Text Indent"/>
    <w:basedOn w:val="1"/>
    <w:next w:val="9"/>
    <w:qFormat/>
    <w:uiPriority w:val="0"/>
    <w:pPr>
      <w:spacing w:line="560" w:lineRule="atLeast"/>
      <w:ind w:left="-85" w:leftChars="-85" w:firstLine="600"/>
    </w:pPr>
    <w:rPr>
      <w:rFonts w:hint="eastAsia" w:ascii="仿宋_GB2312" w:hAnsi="Times New Roman"/>
      <w:sz w:val="30"/>
      <w:szCs w:val="20"/>
    </w:rPr>
  </w:style>
  <w:style w:type="paragraph" w:styleId="12">
    <w:name w:val="footer"/>
    <w:basedOn w:val="1"/>
    <w:qFormat/>
    <w:uiPriority w:val="0"/>
    <w:pPr>
      <w:tabs>
        <w:tab w:val="center" w:pos="4153"/>
        <w:tab w:val="right" w:pos="8306"/>
      </w:tabs>
      <w:spacing w:line="240" w:lineRule="atLeast"/>
      <w:jc w:val="left"/>
    </w:pPr>
    <w:rPr>
      <w:sz w:val="18"/>
      <w:szCs w:val="18"/>
    </w:rPr>
  </w:style>
  <w:style w:type="paragraph" w:styleId="13">
    <w:name w:val="header"/>
    <w:basedOn w:val="1"/>
    <w:next w:val="10"/>
    <w:qFormat/>
    <w:uiPriority w:val="0"/>
    <w:pPr>
      <w:tabs>
        <w:tab w:val="center" w:pos="4153"/>
        <w:tab w:val="right" w:pos="8306"/>
      </w:tabs>
      <w:spacing w:line="240" w:lineRule="atLeast"/>
      <w:jc w:val="center"/>
    </w:pPr>
    <w:rPr>
      <w:sz w:val="18"/>
      <w:szCs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Normal (Web)"/>
    <w:basedOn w:val="1"/>
    <w:next w:val="1"/>
    <w:qFormat/>
    <w:uiPriority w:val="0"/>
    <w:pPr>
      <w:spacing w:beforeAutospacing="1" w:afterAutospacing="1"/>
      <w:jc w:val="left"/>
    </w:pPr>
    <w:rPr>
      <w:rFonts w:cs="Times New Roman"/>
      <w:kern w:val="0"/>
      <w:sz w:val="24"/>
    </w:rPr>
  </w:style>
  <w:style w:type="paragraph" w:styleId="17">
    <w:name w:val="Title"/>
    <w:basedOn w:val="1"/>
    <w:next w:val="1"/>
    <w:qFormat/>
    <w:uiPriority w:val="0"/>
    <w:pPr>
      <w:spacing w:before="240" w:after="60"/>
      <w:jc w:val="center"/>
      <w:outlineLvl w:val="0"/>
    </w:pPr>
    <w:rPr>
      <w:rFonts w:ascii="Arial" w:hAnsi="Arial"/>
      <w:b/>
    </w:rPr>
  </w:style>
  <w:style w:type="paragraph" w:styleId="18">
    <w:name w:val="Body Text First Indent"/>
    <w:basedOn w:val="1"/>
    <w:next w:val="9"/>
    <w:qFormat/>
    <w:uiPriority w:val="0"/>
    <w:pPr>
      <w:ind w:firstLine="420" w:firstLineChars="100"/>
    </w:pPr>
  </w:style>
  <w:style w:type="paragraph" w:styleId="19">
    <w:name w:val="Body Text First Indent 2"/>
    <w:basedOn w:val="11"/>
    <w:next w:val="1"/>
    <w:qFormat/>
    <w:uiPriority w:val="0"/>
    <w:pPr>
      <w:ind w:firstLine="420"/>
    </w:pPr>
    <w:rPr>
      <w:rFonts w:ascii="Times New Roman"/>
      <w:color w:val="000000"/>
    </w:rPr>
  </w:style>
  <w:style w:type="table" w:styleId="21">
    <w:name w:val="Table Grid"/>
    <w:basedOn w:val="2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Emphasis"/>
    <w:basedOn w:val="22"/>
    <w:qFormat/>
    <w:uiPriority w:val="0"/>
    <w:rPr>
      <w:i/>
    </w:rPr>
  </w:style>
  <w:style w:type="character" w:styleId="25">
    <w:name w:val="Hyperlink"/>
    <w:basedOn w:val="22"/>
    <w:qFormat/>
    <w:uiPriority w:val="0"/>
    <w:rPr>
      <w:color w:val="0000FF"/>
      <w:u w:val="single"/>
    </w:rPr>
  </w:style>
  <w:style w:type="table" w:customStyle="1" w:styleId="26">
    <w:name w:val="网格型1"/>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7">
    <w:name w:val="正文首行缩进 21"/>
    <w:basedOn w:val="28"/>
    <w:next w:val="16"/>
    <w:qFormat/>
    <w:uiPriority w:val="0"/>
    <w:pPr>
      <w:spacing w:before="100" w:beforeAutospacing="1" w:after="100" w:afterAutospacing="1"/>
      <w:ind w:firstLine="200"/>
    </w:pPr>
  </w:style>
  <w:style w:type="paragraph" w:customStyle="1" w:styleId="28">
    <w:name w:val="正文文本缩进1"/>
    <w:basedOn w:val="1"/>
    <w:qFormat/>
    <w:uiPriority w:val="0"/>
    <w:pPr>
      <w:ind w:left="200" w:leftChars="200"/>
    </w:pPr>
  </w:style>
  <w:style w:type="paragraph" w:customStyle="1" w:styleId="29">
    <w:name w:val="表格"/>
    <w:qFormat/>
    <w:uiPriority w:val="0"/>
    <w:pPr>
      <w:widowControl w:val="0"/>
      <w:overflowPunct w:val="0"/>
      <w:spacing w:line="360" w:lineRule="auto"/>
      <w:jc w:val="center"/>
      <w:textAlignment w:val="center"/>
    </w:pPr>
    <w:rPr>
      <w:rFonts w:ascii="宋体" w:hAnsi="宋体" w:eastAsia="楷体_GB2312" w:cs="宋体"/>
      <w:b/>
      <w:bCs/>
      <w:color w:val="FFFFFF"/>
      <w:sz w:val="28"/>
      <w:lang w:val="en-US" w:eastAsia="zh-CN" w:bidi="ar-SA"/>
    </w:rPr>
  </w:style>
  <w:style w:type="paragraph" w:customStyle="1" w:styleId="30">
    <w:name w:val="内容块-13-a"/>
    <w:basedOn w:val="1"/>
    <w:next w:val="1"/>
    <w:qFormat/>
    <w:uiPriority w:val="0"/>
    <w:pPr>
      <w:keepLines/>
      <w:pBdr>
        <w:top w:val="single" w:color="DFA7A5" w:sz="4" w:space="10"/>
        <w:left w:val="single" w:color="DFA7A5" w:sz="4" w:space="17"/>
        <w:bottom w:val="single" w:color="DFA7A5" w:sz="4" w:space="10"/>
        <w:right w:val="single" w:color="DFA7A5" w:sz="4" w:space="17"/>
      </w:pBdr>
      <w:shd w:val="clear" w:color="auto" w:fill="FBF6F5"/>
      <w:spacing w:line="400" w:lineRule="exact"/>
      <w:textAlignment w:val="center"/>
    </w:pPr>
    <w:rPr>
      <w:rFonts w:ascii="Times New Roman" w:hAnsi="Times New Roman" w:eastAsia="宋体"/>
      <w:sz w:val="24"/>
      <w:szCs w:val="21"/>
    </w:rPr>
  </w:style>
  <w:style w:type="paragraph" w:customStyle="1" w:styleId="31">
    <w:name w:val="方正小标宋简体"/>
    <w:basedOn w:val="17"/>
    <w:next w:val="1"/>
    <w:qFormat/>
    <w:uiPriority w:val="0"/>
    <w:pPr>
      <w:keepNext/>
      <w:keepLines/>
      <w:spacing w:line="240" w:lineRule="auto"/>
    </w:pPr>
    <w:rPr>
      <w:rFonts w:hint="eastAsia" w:ascii="方正公文小标宋" w:hAnsi="方正公文小标宋" w:eastAsia="方正公文小标宋" w:cs="方正公文小标宋"/>
      <w:b w:val="0"/>
      <w:kern w:val="44"/>
      <w:sz w:val="44"/>
    </w:rPr>
  </w:style>
  <w:style w:type="paragraph" w:customStyle="1" w:styleId="32">
    <w:name w:val="一级标题黑体"/>
    <w:basedOn w:val="1"/>
    <w:next w:val="1"/>
    <w:qFormat/>
    <w:uiPriority w:val="0"/>
    <w:pPr>
      <w:keepNext/>
      <w:keepLines/>
      <w:spacing w:line="560" w:lineRule="exact"/>
      <w:outlineLvl w:val="0"/>
    </w:pPr>
    <w:rPr>
      <w:rFonts w:eastAsia="黑体"/>
      <w:kern w:val="44"/>
    </w:rPr>
  </w:style>
  <w:style w:type="paragraph" w:customStyle="1" w:styleId="33">
    <w:name w:val="二级标题楷体"/>
    <w:basedOn w:val="1"/>
    <w:qFormat/>
    <w:uiPriority w:val="0"/>
    <w:pPr>
      <w:spacing w:line="560" w:lineRule="exact"/>
      <w:ind w:firstLine="420"/>
    </w:pPr>
    <w:rPr>
      <w:rFonts w:hint="eastAsia" w:ascii="楷体_GB2312" w:hAnsi="楷体_GB2312" w:eastAsia="楷体_GB2312" w:cs="楷体_GB2312"/>
      <w:b/>
      <w:bCs/>
      <w:szCs w:val="32"/>
    </w:rPr>
  </w:style>
  <w:style w:type="table" w:customStyle="1" w:styleId="34">
    <w:name w:val="网格型2"/>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5">
    <w:name w:val="标题 1 字符"/>
    <w:link w:val="3"/>
    <w:qFormat/>
    <w:uiPriority w:val="0"/>
    <w:rPr>
      <w:rFonts w:eastAsia="黑体"/>
      <w:kern w:val="44"/>
      <w:sz w:val="36"/>
    </w:rPr>
  </w:style>
  <w:style w:type="character" w:customStyle="1" w:styleId="36">
    <w:name w:val="标题 2 字符"/>
    <w:link w:val="4"/>
    <w:qFormat/>
    <w:uiPriority w:val="0"/>
    <w:rPr>
      <w:rFonts w:ascii="Arial" w:hAnsi="Arial" w:eastAsia="楷体_GB2312"/>
      <w:b/>
    </w:rPr>
  </w:style>
  <w:style w:type="paragraph" w:customStyle="1" w:styleId="37">
    <w:name w:val="正文格式"/>
    <w:basedOn w:val="1"/>
    <w:qFormat/>
    <w:uiPriority w:val="99"/>
    <w:pPr>
      <w:spacing w:line="400" w:lineRule="exact"/>
      <w:ind w:firstLine="200"/>
      <w:jc w:val="left"/>
    </w:pPr>
    <w:rPr>
      <w:sz w:val="24"/>
    </w:rPr>
  </w:style>
  <w:style w:type="paragraph" w:customStyle="1" w:styleId="38">
    <w:name w:val="Normal Indent1"/>
    <w:qFormat/>
    <w:uiPriority w:val="0"/>
    <w:pPr>
      <w:widowControl w:val="0"/>
      <w:ind w:firstLine="420" w:firstLineChars="200"/>
      <w:jc w:val="both"/>
    </w:pPr>
    <w:rPr>
      <w:rFonts w:ascii="Times New Roman" w:hAnsi="Times New Roman" w:eastAsia="宋体" w:cs="Times New Roman"/>
      <w:kern w:val="2"/>
      <w:sz w:val="21"/>
      <w:szCs w:val="22"/>
      <w:lang w:val="en-US" w:eastAsia="zh-CN" w:bidi="ar-SA"/>
    </w:rPr>
  </w:style>
  <w:style w:type="character" w:customStyle="1" w:styleId="39">
    <w:name w:val="强调1"/>
    <w:basedOn w:val="40"/>
    <w:qFormat/>
    <w:uiPriority w:val="0"/>
    <w:rPr>
      <w:rFonts w:eastAsia="仿宋_GB2312" w:asciiTheme="minorHAnsi" w:hAnsiTheme="minorHAnsi" w:cstheme="minorBidi"/>
      <w:kern w:val="2"/>
      <w:sz w:val="32"/>
      <w:szCs w:val="24"/>
      <w:lang w:val="en-US" w:eastAsia="zh-CN" w:bidi="ar-SA"/>
    </w:rPr>
  </w:style>
  <w:style w:type="character" w:customStyle="1" w:styleId="40">
    <w:name w:val="默认段落字体1"/>
    <w:semiHidden/>
    <w:qFormat/>
    <w:uiPriority w:val="0"/>
  </w:style>
  <w:style w:type="character" w:customStyle="1" w:styleId="41">
    <w:name w:val="正文文本 字符"/>
    <w:basedOn w:val="22"/>
    <w:link w:val="10"/>
    <w:qFormat/>
    <w:uiPriority w:val="0"/>
    <w:rPr>
      <w:rFonts w:eastAsia="仿宋_GB2312" w:asciiTheme="minorHAnsi" w:hAnsiTheme="minorHAnsi" w:cstheme="minorBidi"/>
      <w:kern w:val="2"/>
      <w:sz w:val="32"/>
      <w:szCs w:val="24"/>
    </w:rPr>
  </w:style>
  <w:style w:type="paragraph" w:customStyle="1" w:styleId="42">
    <w:name w:val="指标表"/>
    <w:basedOn w:val="1"/>
    <w:qFormat/>
    <w:uiPriority w:val="0"/>
    <w:pPr>
      <w:widowControl/>
      <w:snapToGrid w:val="0"/>
      <w:jc w:val="center"/>
      <w:textAlignment w:val="center"/>
    </w:pPr>
    <w:rPr>
      <w:rFonts w:eastAsia="仿宋_GB2312"/>
      <w:color w:val="000000"/>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c274345e-f395-4802-ab8e-3244ab161e1c</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309A0AE2</paraID>
      <start xmlns="http://schemas.wps.cn/vas-ai-hub/contract-review">24</start>
      <end xmlns="http://schemas.wps.cn/vas-ai-hub/contract-review">30</end>
      <status xmlns="http://schemas.wps.cn/vas-ai-hub/contract-review">modified</status>
      <modifiedWord xmlns="http://schemas.wps.cn/vas-ai-hub/contract-review">省委、省政府</modifiedWord>
      <trackRevisions xmlns="http://schemas.wps.cn/vas-ai-hub/contract-review">false</trackRevisions>
    </reviewItem>
    <reviewItem xmlns="http://schemas.wps.cn/vas-ai-hub/contract-review">
      <errorID xmlns="http://schemas.wps.cn/vas-ai-hub/contract-review">dc8299cc-9756-4b36-b908-9c2dc3d780b3</errorID>
      <errorWord xmlns="http://schemas.wps.cn/vas-ai-hub/contract-review">市委市政府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市委、市政府</item>
      </candidateList>
      <explain xmlns="http://schemas.wps.cn/vas-ai-hub/contract-review"/>
      <paraID xmlns="http://schemas.wps.cn/vas-ai-hub/contract-review">309A0AE2</paraID>
      <start xmlns="http://schemas.wps.cn/vas-ai-hub/contract-review">31</start>
      <end xmlns="http://schemas.wps.cn/vas-ai-hub/contract-review">37</end>
      <status xmlns="http://schemas.wps.cn/vas-ai-hub/contract-review">modified</status>
      <modifiedWord xmlns="http://schemas.wps.cn/vas-ai-hub/contract-review">市委、市政府</modifiedWord>
      <trackRevisions xmlns="http://schemas.wps.cn/vas-ai-hub/contract-review">false</trackRevisions>
    </reviewItem>
    <reviewItem xmlns="http://schemas.wps.cn/vas-ai-hub/contract-review">
      <errorID xmlns="http://schemas.wps.cn/vas-ai-hub/contract-review">ef419310-66b0-4a93-9696-5c631a4ad36d</errorID>
      <errorWord xmlns="http://schemas.wps.cn/vas-ai-hub/contract-review">、和</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和</item>
      </candidateList>
      <explain xmlns="http://schemas.wps.cn/vas-ai-hub/contract-review">“及”“和”“等”连词前不宜使用顿号，建议删除（或使用逗号）。</explain>
      <paraID xmlns="http://schemas.wps.cn/vas-ai-hub/contract-review">23A4386B</paraID>
      <start xmlns="http://schemas.wps.cn/vas-ai-hub/contract-review">67</start>
      <end xmlns="http://schemas.wps.cn/vas-ai-hub/contract-review">69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58b669cf-9a65-4555-83bc-808cb1a9a1b3</errorID>
      <errorWord xmlns="http://schemas.wps.cn/vas-ai-hub/contract-review">、和</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和</item>
      </candidateList>
      <explain xmlns="http://schemas.wps.cn/vas-ai-hub/contract-review">“及”“和”“等”连词前不宜使用顿号，建议删除（或使用逗号）。</explain>
      <paraID xmlns="http://schemas.wps.cn/vas-ai-hub/contract-review">5A2FEC8C</paraID>
      <start xmlns="http://schemas.wps.cn/vas-ai-hub/contract-review">18</start>
      <end xmlns="http://schemas.wps.cn/vas-ai-hub/contract-review">20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55aa0e63-98e8-4350-a9c9-ac7e6a374d83</errorID>
      <errorWord xmlns="http://schemas.wps.cn/vas-ai-hub/contract-review">无杆泵</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螺杆泵</item>
      </candidateList>
      <explain xmlns="http://schemas.wps.cn/vas-ai-hub/contract-review"/>
      <paraID xmlns="http://schemas.wps.cn/vas-ai-hub/contract-review">40678E55</paraID>
      <start xmlns="http://schemas.wps.cn/vas-ai-hub/contract-review">34</start>
      <end xmlns="http://schemas.wps.cn/vas-ai-hub/contract-review">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dcb633c8-3325-4386-b604-05644b431cb9</errorID>
      <errorWord xmlns="http://schemas.wps.cn/vas-ai-hub/contract-review">扩大内需为战略</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扩大内需战略</item>
      </candidateList>
      <explain xmlns="http://schemas.wps.cn/vas-ai-hub/contract-review">词汇“扩大内需战略”在特定场景下为固定表述形式，请确认此处的“扩大内需为战略”是否存在不当。</explain>
      <paraID xmlns="http://schemas.wps.cn/vas-ai-hub/contract-review">  B4C7E5</paraID>
      <start xmlns="http://schemas.wps.cn/vas-ai-hub/contract-review">1</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b0d164b8-995f-40ba-9c1a-b9d122888cca</errorID>
      <errorWord xmlns="http://schemas.wps.cn/vas-ai-hub/contract-review">带货</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4E60BBAC</paraID>
      <start xmlns="http://schemas.wps.cn/vas-ai-hub/contract-review">66</start>
      <end xmlns="http://schemas.wps.cn/vas-ai-hub/contract-review">68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417aadad-c836-4cec-8d75-a5c3b50ab0c6</errorID>
      <errorWord xmlns="http://schemas.wps.cn/vas-ai-hub/contract-review">算中心基础设施</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算力基础设施</item>
      </candidateList>
      <explain xmlns="http://schemas.wps.cn/vas-ai-hub/contract-review">词汇“算力基础设施”在特定场景下为固定表述形式，请确认此处的“算中心基础设施”是否存在不当。</explain>
      <paraID xmlns="http://schemas.wps.cn/vas-ai-hub/contract-review">210B03B4</paraID>
      <start xmlns="http://schemas.wps.cn/vas-ai-hub/contract-review">212</start>
      <end xmlns="http://schemas.wps.cn/vas-ai-hub/contract-review">219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77982aa5-68a2-46d2-8f5b-46675537921f</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、产</item>
      </candidateList>
      <explain xmlns="http://schemas.wps.cn/vas-ai-hub/contract-review"/>
      <paraID xmlns="http://schemas.wps.cn/vas-ai-hub/contract-review">272C82A6</paraID>
      <start xmlns="http://schemas.wps.cn/vas-ai-hub/contract-review">49</start>
      <end xmlns="http://schemas.wps.cn/vas-ai-hub/contract-review">50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881bfae1-e4fe-412d-b6c3-7479ff6703db</errorID>
      <errorWord xmlns="http://schemas.wps.cn/vas-ai-hub/contract-review">内卷</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公文中禁止出现该词语</explain>
      <paraID xmlns="http://schemas.wps.cn/vas-ai-hub/contract-review">1A464371</paraID>
      <start xmlns="http://schemas.wps.cn/vas-ai-hub/contract-review">164</start>
      <end xmlns="http://schemas.wps.cn/vas-ai-hub/contract-review">166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0212ceb4-f21f-49d7-9165-38264a715694</errorID>
      <errorWord xmlns="http://schemas.wps.cn/vas-ai-hub/contract-review">湿扫</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湿地</item>
      </candidateList>
      <explain xmlns="http://schemas.wps.cn/vas-ai-hub/contract-review"/>
      <paraID xmlns="http://schemas.wps.cn/vas-ai-hub/contract-review"> 73A06EA</paraID>
      <start xmlns="http://schemas.wps.cn/vas-ai-hub/contract-review">53</start>
      <end xmlns="http://schemas.wps.cn/vas-ai-hub/contract-review">55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0df7a9f9-02be-4303-b4c1-7418295baf7e</errorID>
      <errorWord xmlns="http://schemas.wps.cn/vas-ai-hub/contract-review">复合</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符合</item>
      </candidateList>
      <explain xmlns="http://schemas.wps.cn/vas-ai-hub/contract-review">“复合～要求”搭配不当，建议修改为“符合～要求”。</explain>
      <paraID xmlns="http://schemas.wps.cn/vas-ai-hub/contract-review"> 1B87BE6</paraID>
      <start xmlns="http://schemas.wps.cn/vas-ai-hub/contract-review">60</start>
      <end xmlns="http://schemas.wps.cn/vas-ai-hub/contract-review">62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2cfcb845-1ac8-477d-9a66-e0c7ba63dfe8</errorID>
      <errorWord xmlns="http://schemas.wps.cn/vas-ai-hub/contract-review">美乡村建设</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美丽乡村建设</item>
      </candidateList>
      <explain xmlns="http://schemas.wps.cn/vas-ai-hub/contract-review">词汇“美丽乡村建设”在特定场景下为固定表述形式，请确认此处的“美乡村建设”是否存在不当。</explain>
      <paraID xmlns="http://schemas.wps.cn/vas-ai-hub/contract-review">5FB4E620</paraID>
      <start xmlns="http://schemas.wps.cn/vas-ai-hub/contract-review">7</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0fd0e859-658e-47df-83ac-3679aacd4026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5BEE569B</paraID>
      <start xmlns="http://schemas.wps.cn/vas-ai-hub/contract-review">285</start>
      <end xmlns="http://schemas.wps.cn/vas-ai-hub/contract-review">286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ebbf89d2-064f-42d0-b69d-ae33629a40aa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C723297</paraID>
      <start xmlns="http://schemas.wps.cn/vas-ai-hub/contract-review">193</start>
      <end xmlns="http://schemas.wps.cn/vas-ai-hub/contract-review">194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3912fe27-59b5-4bb5-b078-25df381a32b6</errorID>
      <errorWord xmlns="http://schemas.wps.cn/vas-ai-hub/contract-review">土沃</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沃土</item>
      </candidateList>
      <explain xmlns="http://schemas.wps.cn/vas-ai-hub/contract-review"/>
      <paraID xmlns="http://schemas.wps.cn/vas-ai-hub/contract-review">4737992E</paraID>
      <start xmlns="http://schemas.wps.cn/vas-ai-hub/contract-review">17</start>
      <end xmlns="http://schemas.wps.cn/vas-ai-hub/contract-review">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d125b161-fdf8-4961-b78b-76ac83298336</errorID>
      <errorWord xmlns="http://schemas.wps.cn/vas-ai-hub/contract-review">固体废弃物综合治理</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固体废物综合治理</item>
      </candidateList>
      <explain xmlns="http://schemas.wps.cn/vas-ai-hub/contract-review">词汇“固体废物综合治理”在特定场景下为固定表述形式，请确认此处的“固体废弃物综合治理”是否存在不当。</explain>
      <paraID xmlns="http://schemas.wps.cn/vas-ai-hub/contract-review">64680FE1</paraID>
      <start xmlns="http://schemas.wps.cn/vas-ai-hub/contract-review">2</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da732968-bfda-44b9-8677-18be2244b3c2</errorID>
      <errorWord xmlns="http://schemas.wps.cn/vas-ai-hub/contract-review">湿扫</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湿地</item>
      </candidateList>
      <explain xmlns="http://schemas.wps.cn/vas-ai-hub/contract-review"/>
      <paraID xmlns="http://schemas.wps.cn/vas-ai-hub/contract-review">2C132DAA</paraID>
      <start xmlns="http://schemas.wps.cn/vas-ai-hub/contract-review">418</start>
      <end xmlns="http://schemas.wps.cn/vas-ai-hub/contract-review">420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224dbc72-ee6b-4c49-adfb-66111a60323b</errorID>
      <errorWord xmlns="http://schemas.wps.cn/vas-ai-hub/contract-review">增强民生福祉</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增进民生福祉</item>
      </candidateList>
      <explain xmlns="http://schemas.wps.cn/vas-ai-hub/contract-review">词汇“增进民生福祉”在特定场景下为固定表述形式，请确认此处的“增强民生福祉”是否存在不当。</explain>
      <paraID xmlns="http://schemas.wps.cn/vas-ai-hub/contract-review">6C037BCC</paraID>
      <start xmlns="http://schemas.wps.cn/vas-ai-hub/contract-review">9</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4431f726-946c-47be-bd67-98377948c7fa</errorID>
      <errorWord xmlns="http://schemas.wps.cn/vas-ai-hub/contract-review">公共医院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公立医院</item>
      </candidateList>
      <explain xmlns="http://schemas.wps.cn/vas-ai-hub/contract-review"/>
      <paraID xmlns="http://schemas.wps.cn/vas-ai-hub/contract-review">65C9020B</paraID>
      <start xmlns="http://schemas.wps.cn/vas-ai-hub/contract-review">190</start>
      <end xmlns="http://schemas.wps.cn/vas-ai-hub/contract-review">194</end>
      <status xmlns="http://schemas.wps.cn/vas-ai-hub/contract-review">modified</status>
      <modifiedWord xmlns="http://schemas.wps.cn/vas-ai-hub/contract-review">公立医院</modifiedWord>
      <trackRevisions xmlns="http://schemas.wps.cn/vas-ai-hub/contract-review">false</trackRevisions>
    </reviewItem>
    <reviewItem xmlns="http://schemas.wps.cn/vas-ai-hub/contract-review">
      <errorID xmlns="http://schemas.wps.cn/vas-ai-hub/contract-review">2d9a30ed-e668-4403-bb15-44be68961fc8</errorID>
      <errorWord xmlns="http://schemas.wps.cn/vas-ai-hub/contract-review">访</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防</item>
      </candidateList>
      <explain xmlns="http://schemas.wps.cn/vas-ai-hub/contract-review"/>
      <paraID xmlns="http://schemas.wps.cn/vas-ai-hub/contract-review">2C8534D4</paraID>
      <start xmlns="http://schemas.wps.cn/vas-ai-hub/contract-review">24</start>
      <end xmlns="http://schemas.wps.cn/vas-ai-hub/contract-review">25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566d50e3-4088-4cfd-920a-a46b1ba2828c</errorID>
      <errorWord xmlns="http://schemas.wps.cn/vas-ai-hub/contract-review">服务提供的</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服务提供者</item>
      </candidateList>
      <explain xmlns="http://schemas.wps.cn/vas-ai-hub/contract-review"/>
      <paraID xmlns="http://schemas.wps.cn/vas-ai-hub/contract-review">1C47915C</paraID>
      <start xmlns="http://schemas.wps.cn/vas-ai-hub/contract-review">159</start>
      <end xmlns="http://schemas.wps.cn/vas-ai-hub/contract-review">164</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3.xml><?xml version="1.0" encoding="utf-8"?>
<b:Sources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29C60B-8D1F-422F-BFB0-8658AEA9E2E4}">
  <ds:schemaRefs/>
</ds:datastoreItem>
</file>

<file path=customXml/itemProps3.xml><?xml version="1.0" encoding="utf-8"?>
<ds:datastoreItem xmlns:ds="http://schemas.openxmlformats.org/officeDocument/2006/customXml" ds:itemID="{6E69E109-F895-49E3-AAB4-94C8AFC0E092}">
  <ds:schemaRefs/>
</ds:datastoreItem>
</file>

<file path=docProps/app.xml><?xml version="1.0" encoding="utf-8"?>
<Properties xmlns="http://schemas.openxmlformats.org/officeDocument/2006/extended-properties" xmlns:vt="http://schemas.openxmlformats.org/officeDocument/2006/docPropsVTypes">
  <Template>Normal.dotm</Template>
  <Pages>153</Pages>
  <Words>12821</Words>
  <Characters>13346</Characters>
  <Lines>567</Lines>
  <Paragraphs>159</Paragraphs>
  <TotalTime>27</TotalTime>
  <ScaleCrop>false</ScaleCrop>
  <LinksUpToDate>false</LinksUpToDate>
  <CharactersWithSpaces>13697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2025-10-17T20:14:00Z</dcterms:created>
  <dc:creator>Quincy</dc:creator>
  <cp:lastModifiedBy>郭无敌</cp:lastModifiedBy>
  <dcterms:modified xsi:type="dcterms:W3CDTF">2026-09-17T09:55:52Z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7A3C63815E230664A848AB6A622CA1D7_43</vt:lpwstr>
  </property>
  <property fmtid="{D5CDD505-2E9C-101B-9397-08002B2CF9AE}" pid="4" name="KSOTemplateDocerSaveRecord">
    <vt:lpwstr>eyJoZGlkIjoiOWFkNDMzYTllZjhiMmQ1NDhhMzNkNzA1YjZiMDUzYTkiLCJ1c2VySWQiOiIzMzI1NTM0OTgifQ==</vt:lpwstr>
  </property>
</Properties>
</file>